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charts/chart16.xml" ContentType="application/vnd.openxmlformats-officedocument.drawingml.chart+xml"/>
  <Override PartName="/word/charts/chart17.xml" ContentType="application/vnd.openxmlformats-officedocument.drawingml.chart+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charts/chart18.xml" ContentType="application/vnd.openxmlformats-officedocument.drawingml.chart+xml"/>
  <Override PartName="/word/charts/chart19.xml" ContentType="application/vnd.openxmlformats-officedocument.drawingml.chart+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charts/chart20.xml" ContentType="application/vnd.openxmlformats-officedocument.drawingml.chart+xml"/>
  <Override PartName="/word/charts/chart21.xml" ContentType="application/vnd.openxmlformats-officedocument.drawingml.chart+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charts/chart22.xml" ContentType="application/vnd.openxmlformats-officedocument.drawingml.chart+xml"/>
  <Override PartName="/word/charts/chart23.xml" ContentType="application/vnd.openxmlformats-officedocument.drawingml.chart+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charts/chart24.xml" ContentType="application/vnd.openxmlformats-officedocument.drawingml.chart+xml"/>
  <Override PartName="/word/charts/chart25.xml" ContentType="application/vnd.openxmlformats-officedocument.drawingml.chart+xml"/>
  <Override PartName="/word/header20.xml" ContentType="application/vnd.openxmlformats-officedocument.wordprocessingml.header+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header21.xml" ContentType="application/vnd.openxmlformats-officedocument.wordprocessingml.header+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DocumentTitle"/>
    <w:bookmarkStart w:id="1" w:name="_GoBack"/>
    <w:bookmarkEnd w:id="0"/>
    <w:bookmarkEnd w:id="1"/>
    <w:p w14:paraId="1BC8174C" w14:textId="77777777" w:rsidR="00DC0958" w:rsidRPr="004B1BF4" w:rsidRDefault="00781CD3" w:rsidP="00C93734">
      <w:pPr>
        <w:pStyle w:val="DocSubTitle"/>
        <w:jc w:val="both"/>
      </w:pPr>
      <w:r w:rsidRPr="004B1BF4">
        <w:fldChar w:fldCharType="begin"/>
      </w:r>
      <w:r w:rsidR="00D0111C" w:rsidRPr="004B1BF4">
        <w:instrText xml:space="preserve"> DOCVARIABLE  DocReportTitle  \* MERGEFORMAT </w:instrText>
      </w:r>
      <w:r w:rsidRPr="004B1BF4">
        <w:fldChar w:fldCharType="separate"/>
      </w:r>
      <w:r w:rsidR="00E95E1A">
        <w:t>North East Lincolnshire Sector Study</w:t>
      </w:r>
      <w:r w:rsidRPr="004B1BF4">
        <w:fldChar w:fldCharType="end"/>
      </w:r>
    </w:p>
    <w:p w14:paraId="66327AED" w14:textId="77777777" w:rsidR="001E222E" w:rsidRDefault="001E222E" w:rsidP="00C93734">
      <w:pPr>
        <w:pStyle w:val="ClientName"/>
        <w:jc w:val="both"/>
      </w:pPr>
      <w:bookmarkStart w:id="2" w:name="ClientName"/>
      <w:bookmarkEnd w:id="2"/>
    </w:p>
    <w:p w14:paraId="39A2B867" w14:textId="77777777" w:rsidR="009D5CB3" w:rsidRPr="004B1BF4" w:rsidRDefault="001E222E" w:rsidP="00C93734">
      <w:pPr>
        <w:pStyle w:val="ClientName"/>
        <w:jc w:val="both"/>
      </w:pPr>
      <w:r>
        <w:t xml:space="preserve">Cofely GDF-Suez &amp; </w:t>
      </w:r>
      <w:fldSimple w:instr=" DOCVARIABLE  ClientName  \* MERGEFORMAT ">
        <w:r w:rsidR="00E95E1A">
          <w:t>North East Lincolnshire Council</w:t>
        </w:r>
      </w:fldSimple>
    </w:p>
    <w:p w14:paraId="32892D3F" w14:textId="77777777" w:rsidR="00815EA9" w:rsidRPr="004B1BF4" w:rsidRDefault="00BF1A6E" w:rsidP="00C93734">
      <w:pPr>
        <w:pStyle w:val="DocDate"/>
        <w:jc w:val="both"/>
      </w:pPr>
      <w:bookmarkStart w:id="3" w:name="DocumentDate"/>
      <w:bookmarkEnd w:id="3"/>
      <w:r>
        <w:t xml:space="preserve">Final Report  - </w:t>
      </w:r>
      <w:r w:rsidR="000E33E6">
        <w:t>July</w:t>
      </w:r>
      <w:r w:rsidR="00362148">
        <w:t xml:space="preserve"> 2014</w:t>
      </w:r>
    </w:p>
    <w:bookmarkStart w:id="4" w:name="AdditionalInformation"/>
    <w:bookmarkEnd w:id="4"/>
    <w:p w14:paraId="53999DF5" w14:textId="77777777" w:rsidR="00DC0958" w:rsidRPr="004B1BF4" w:rsidRDefault="00781CD3" w:rsidP="00C93734">
      <w:pPr>
        <w:ind w:right="1700"/>
        <w:jc w:val="both"/>
      </w:pPr>
      <w:r w:rsidRPr="004B1BF4">
        <w:fldChar w:fldCharType="begin"/>
      </w:r>
      <w:r w:rsidR="00D0111C" w:rsidRPr="004B1BF4">
        <w:instrText xml:space="preserve"> DOCVARIABLE  AdditionalInformation  \* MERGEFORMAT </w:instrText>
      </w:r>
      <w:r w:rsidRPr="004B1BF4">
        <w:fldChar w:fldCharType="separate"/>
      </w:r>
      <w:r w:rsidR="00E95E1A" w:rsidRPr="00E95E1A">
        <w:rPr>
          <w:bCs/>
        </w:rPr>
        <w:t xml:space="preserve"> </w:t>
      </w:r>
      <w:r w:rsidRPr="004B1BF4">
        <w:fldChar w:fldCharType="end"/>
      </w:r>
    </w:p>
    <w:p w14:paraId="474D9233" w14:textId="77777777" w:rsidR="00E13EFD" w:rsidRPr="004B1BF4" w:rsidRDefault="00E13EFD" w:rsidP="00C93734">
      <w:pPr>
        <w:pStyle w:val="Heading1NoTOC"/>
        <w:jc w:val="both"/>
      </w:pPr>
    </w:p>
    <w:p w14:paraId="05EE9256" w14:textId="77777777" w:rsidR="00DC0958" w:rsidRPr="004B1BF4" w:rsidRDefault="00DC0958" w:rsidP="00C93734">
      <w:pPr>
        <w:pStyle w:val="Heading1NoTOC"/>
        <w:jc w:val="both"/>
        <w:sectPr w:rsidR="00DC0958" w:rsidRPr="004B1BF4" w:rsidSect="00E27DF5">
          <w:headerReference w:type="first" r:id="rId14"/>
          <w:pgSz w:w="11906" w:h="16838" w:code="9"/>
          <w:pgMar w:top="510" w:right="1134" w:bottom="964" w:left="1022" w:header="284" w:footer="510" w:gutter="0"/>
          <w:cols w:space="708"/>
          <w:titlePg/>
          <w:docGrid w:linePitch="360"/>
        </w:sectPr>
      </w:pPr>
    </w:p>
    <w:p w14:paraId="2C709E9F" w14:textId="77777777" w:rsidR="00017172" w:rsidRPr="004B1BF4" w:rsidRDefault="00E1773F" w:rsidP="00C93734">
      <w:pPr>
        <w:pStyle w:val="Heading1NoTOC"/>
        <w:jc w:val="both"/>
        <w:rPr>
          <w:rFonts w:eastAsiaTheme="majorEastAsia" w:cstheme="majorBidi"/>
        </w:rPr>
      </w:pPr>
      <w:bookmarkStart w:id="5" w:name="NoticePage"/>
      <w:r w:rsidRPr="004B1BF4">
        <w:rPr>
          <w:rFonts w:eastAsiaTheme="majorEastAsia" w:cstheme="majorBidi"/>
        </w:rPr>
        <w:lastRenderedPageBreak/>
        <w:t>Notice</w:t>
      </w:r>
    </w:p>
    <w:p w14:paraId="77820822" w14:textId="77777777" w:rsidR="00E1773F" w:rsidRPr="004B1BF4" w:rsidRDefault="00E1773F" w:rsidP="00C93734">
      <w:pPr>
        <w:jc w:val="both"/>
      </w:pPr>
      <w:r w:rsidRPr="004B1BF4">
        <w:t xml:space="preserve">This document and its contents have been prepared and are intended solely for </w:t>
      </w:r>
      <w:fldSimple w:instr=" DOCVARIABLE  ClientName  \* MERGEFORMAT ">
        <w:r w:rsidR="00E95E1A">
          <w:t>North East Lincolnshire Council</w:t>
        </w:r>
      </w:fldSimple>
      <w:r w:rsidRPr="004B1BF4">
        <w:t xml:space="preserve">’s information and use in relation to </w:t>
      </w:r>
      <w:r w:rsidR="00B877A8">
        <w:t xml:space="preserve">the local plan. </w:t>
      </w:r>
    </w:p>
    <w:p w14:paraId="527F0067" w14:textId="77777777" w:rsidR="00E1773F" w:rsidRPr="004B1BF4" w:rsidRDefault="00E1773F" w:rsidP="00C93734">
      <w:pPr>
        <w:jc w:val="both"/>
      </w:pPr>
      <w:r w:rsidRPr="004B1BF4">
        <w:t>ATKINS assumes no responsibility to any other party in respect of or arising out of or in connection with this document and/or its contents.</w:t>
      </w:r>
    </w:p>
    <w:p w14:paraId="6D3F5997" w14:textId="77777777" w:rsidR="004733A1" w:rsidRPr="004B1BF4" w:rsidRDefault="004733A1" w:rsidP="00C93734">
      <w:pPr>
        <w:jc w:val="both"/>
      </w:pPr>
      <w:r w:rsidRPr="004B1BF4">
        <w:t xml:space="preserve">This document has </w:t>
      </w:r>
      <w:r w:rsidR="00781CD3">
        <w:fldChar w:fldCharType="begin"/>
      </w:r>
      <w:r w:rsidR="00234FFA">
        <w:instrText xml:space="preserve"> NUMPAGES  \# "0" \* Arabic  \* MERGEFORMAT </w:instrText>
      </w:r>
      <w:r w:rsidR="00781CD3">
        <w:fldChar w:fldCharType="separate"/>
      </w:r>
      <w:r w:rsidR="00E95E1A">
        <w:rPr>
          <w:noProof/>
        </w:rPr>
        <w:t>122</w:t>
      </w:r>
      <w:r w:rsidR="00781CD3">
        <w:rPr>
          <w:noProof/>
        </w:rPr>
        <w:fldChar w:fldCharType="end"/>
      </w:r>
      <w:r w:rsidRPr="004B1BF4">
        <w:t xml:space="preserve"> pages including the cover.</w:t>
      </w:r>
    </w:p>
    <w:p w14:paraId="325CDE75" w14:textId="77777777" w:rsidR="00E1773F" w:rsidRPr="004B1BF4" w:rsidRDefault="00E1773F" w:rsidP="00C93734">
      <w:pPr>
        <w:pStyle w:val="Heading3NoNumb"/>
        <w:spacing w:after="120"/>
        <w:jc w:val="both"/>
        <w:rPr>
          <w:rFonts w:eastAsiaTheme="majorEastAsia" w:cstheme="majorBidi"/>
        </w:rPr>
      </w:pPr>
      <w:r w:rsidRPr="004B1BF4">
        <w:rPr>
          <w:rFonts w:eastAsiaTheme="majorEastAsia" w:cstheme="majorBidi"/>
        </w:rPr>
        <w:t xml:space="preserve">Document </w:t>
      </w:r>
      <w:r w:rsidR="00445313" w:rsidRPr="004B1BF4">
        <w:rPr>
          <w:rFonts w:eastAsiaTheme="majorEastAsia" w:cstheme="majorBidi"/>
        </w:rPr>
        <w:t>h</w:t>
      </w:r>
      <w:r w:rsidRPr="004B1BF4">
        <w:rPr>
          <w:rFonts w:eastAsiaTheme="majorEastAsia" w:cstheme="majorBidi"/>
        </w:rPr>
        <w:t>istory</w:t>
      </w:r>
    </w:p>
    <w:tbl>
      <w:tblPr>
        <w:tblStyle w:val="Atkins14pt"/>
        <w:tblW w:w="9639" w:type="dxa"/>
        <w:tblLayout w:type="fixed"/>
        <w:tblLook w:val="0600" w:firstRow="0" w:lastRow="0" w:firstColumn="0" w:lastColumn="0" w:noHBand="1" w:noVBand="1"/>
      </w:tblPr>
      <w:tblGrid>
        <w:gridCol w:w="1029"/>
        <w:gridCol w:w="2386"/>
        <w:gridCol w:w="1405"/>
        <w:gridCol w:w="1311"/>
        <w:gridCol w:w="1311"/>
        <w:gridCol w:w="1205"/>
        <w:gridCol w:w="992"/>
      </w:tblGrid>
      <w:tr w:rsidR="00131877" w:rsidRPr="004B1BF4" w14:paraId="65B01205" w14:textId="77777777" w:rsidTr="00D21F89">
        <w:tc>
          <w:tcPr>
            <w:tcW w:w="4820" w:type="dxa"/>
            <w:gridSpan w:val="3"/>
            <w:shd w:val="clear" w:color="auto" w:fill="F0EEEB" w:themeFill="accent6" w:themeFillTint="99"/>
          </w:tcPr>
          <w:p w14:paraId="2FCEF7DC" w14:textId="77777777" w:rsidR="00131877" w:rsidRPr="00282B77" w:rsidRDefault="00131877" w:rsidP="00C93734">
            <w:pPr>
              <w:pStyle w:val="TableHeading"/>
              <w:jc w:val="both"/>
              <w:rPr>
                <w:b w:val="0"/>
                <w:color w:val="auto"/>
              </w:rPr>
            </w:pPr>
            <w:r w:rsidRPr="00282B77">
              <w:rPr>
                <w:color w:val="auto"/>
              </w:rPr>
              <w:t xml:space="preserve">Job number: </w:t>
            </w:r>
            <w:fldSimple w:instr=" DOCVARIABLE  DocJobNumber  \* MERGEFORMAT ">
              <w:r w:rsidR="00E95E1A" w:rsidRPr="00E95E1A">
                <w:rPr>
                  <w:bCs/>
                  <w:color w:val="auto"/>
                </w:rPr>
                <w:t>5127325</w:t>
              </w:r>
            </w:fldSimple>
          </w:p>
        </w:tc>
        <w:tc>
          <w:tcPr>
            <w:tcW w:w="4819" w:type="dxa"/>
            <w:gridSpan w:val="4"/>
            <w:shd w:val="clear" w:color="auto" w:fill="F0EEEB" w:themeFill="accent6" w:themeFillTint="99"/>
          </w:tcPr>
          <w:p w14:paraId="32078618" w14:textId="77777777" w:rsidR="00131877" w:rsidRPr="00282B77" w:rsidRDefault="00131877" w:rsidP="00C93734">
            <w:pPr>
              <w:pStyle w:val="TableHeading"/>
              <w:jc w:val="both"/>
              <w:rPr>
                <w:b w:val="0"/>
                <w:color w:val="auto"/>
              </w:rPr>
            </w:pPr>
            <w:r w:rsidRPr="00282B77">
              <w:rPr>
                <w:color w:val="auto"/>
              </w:rPr>
              <w:t xml:space="preserve">Document ref: </w:t>
            </w:r>
            <w:fldSimple w:instr=" DOCVARIABLE  DocReference  \* MERGEFORMAT ">
              <w:r w:rsidR="00E95E1A" w:rsidRPr="00E95E1A">
                <w:rPr>
                  <w:color w:val="auto"/>
                </w:rPr>
                <w:t>5127325</w:t>
              </w:r>
            </w:fldSimple>
          </w:p>
        </w:tc>
      </w:tr>
      <w:tr w:rsidR="00F66D4C" w:rsidRPr="004B1BF4" w14:paraId="2CE511C9" w14:textId="77777777" w:rsidTr="00CA7D99">
        <w:tc>
          <w:tcPr>
            <w:tcW w:w="1029" w:type="dxa"/>
            <w:shd w:val="clear" w:color="auto" w:fill="F0EEEB" w:themeFill="accent6" w:themeFillTint="99"/>
          </w:tcPr>
          <w:p w14:paraId="2EB038B6" w14:textId="77777777" w:rsidR="00131877" w:rsidRPr="00282B77" w:rsidRDefault="00282B77" w:rsidP="00C93734">
            <w:pPr>
              <w:pStyle w:val="TableHeading"/>
              <w:jc w:val="both"/>
              <w:rPr>
                <w:b w:val="0"/>
                <w:color w:val="auto"/>
              </w:rPr>
            </w:pPr>
            <w:r w:rsidRPr="00282B77">
              <w:rPr>
                <w:b w:val="0"/>
                <w:color w:val="auto"/>
              </w:rPr>
              <w:t xml:space="preserve">Version </w:t>
            </w:r>
          </w:p>
        </w:tc>
        <w:tc>
          <w:tcPr>
            <w:tcW w:w="2386" w:type="dxa"/>
            <w:shd w:val="clear" w:color="auto" w:fill="F0EEEB" w:themeFill="accent6" w:themeFillTint="99"/>
          </w:tcPr>
          <w:p w14:paraId="397C715D" w14:textId="77777777" w:rsidR="00131877" w:rsidRPr="00282B77" w:rsidRDefault="00131877" w:rsidP="00C93734">
            <w:pPr>
              <w:pStyle w:val="TableHeading"/>
              <w:jc w:val="both"/>
              <w:rPr>
                <w:b w:val="0"/>
                <w:color w:val="auto"/>
              </w:rPr>
            </w:pPr>
            <w:r w:rsidRPr="00282B77">
              <w:rPr>
                <w:b w:val="0"/>
                <w:color w:val="auto"/>
              </w:rPr>
              <w:t xml:space="preserve">Purpose </w:t>
            </w:r>
            <w:r w:rsidR="00445313" w:rsidRPr="00282B77">
              <w:rPr>
                <w:b w:val="0"/>
                <w:color w:val="auto"/>
              </w:rPr>
              <w:t>d</w:t>
            </w:r>
            <w:r w:rsidRPr="00282B77">
              <w:rPr>
                <w:b w:val="0"/>
                <w:color w:val="auto"/>
              </w:rPr>
              <w:t>escription</w:t>
            </w:r>
          </w:p>
        </w:tc>
        <w:tc>
          <w:tcPr>
            <w:tcW w:w="1405" w:type="dxa"/>
            <w:shd w:val="clear" w:color="auto" w:fill="F0EEEB" w:themeFill="accent6" w:themeFillTint="99"/>
          </w:tcPr>
          <w:p w14:paraId="7615CF0E" w14:textId="77777777" w:rsidR="00131877" w:rsidRPr="00282B77" w:rsidRDefault="00131877" w:rsidP="00C93734">
            <w:pPr>
              <w:pStyle w:val="TableHeading"/>
              <w:jc w:val="both"/>
              <w:rPr>
                <w:b w:val="0"/>
                <w:color w:val="auto"/>
              </w:rPr>
            </w:pPr>
            <w:r w:rsidRPr="00282B77">
              <w:rPr>
                <w:b w:val="0"/>
                <w:color w:val="auto"/>
              </w:rPr>
              <w:t>Originated</w:t>
            </w:r>
          </w:p>
        </w:tc>
        <w:tc>
          <w:tcPr>
            <w:tcW w:w="1311" w:type="dxa"/>
            <w:shd w:val="clear" w:color="auto" w:fill="F0EEEB" w:themeFill="accent6" w:themeFillTint="99"/>
          </w:tcPr>
          <w:p w14:paraId="3DB536DC" w14:textId="77777777" w:rsidR="00131877" w:rsidRPr="00282B77" w:rsidRDefault="00131877" w:rsidP="00C93734">
            <w:pPr>
              <w:pStyle w:val="TableHeading"/>
              <w:jc w:val="both"/>
              <w:rPr>
                <w:b w:val="0"/>
                <w:color w:val="auto"/>
              </w:rPr>
            </w:pPr>
            <w:r w:rsidRPr="00282B77">
              <w:rPr>
                <w:b w:val="0"/>
                <w:color w:val="auto"/>
              </w:rPr>
              <w:t>Checked</w:t>
            </w:r>
          </w:p>
        </w:tc>
        <w:tc>
          <w:tcPr>
            <w:tcW w:w="1311" w:type="dxa"/>
            <w:shd w:val="clear" w:color="auto" w:fill="F0EEEB" w:themeFill="accent6" w:themeFillTint="99"/>
          </w:tcPr>
          <w:p w14:paraId="6C06699D" w14:textId="77777777" w:rsidR="00131877" w:rsidRPr="00282B77" w:rsidRDefault="00131877" w:rsidP="00C93734">
            <w:pPr>
              <w:pStyle w:val="TableHeading"/>
              <w:jc w:val="both"/>
              <w:rPr>
                <w:b w:val="0"/>
                <w:color w:val="auto"/>
              </w:rPr>
            </w:pPr>
            <w:r w:rsidRPr="00282B77">
              <w:rPr>
                <w:b w:val="0"/>
                <w:color w:val="auto"/>
              </w:rPr>
              <w:t>Reviewed</w:t>
            </w:r>
          </w:p>
        </w:tc>
        <w:tc>
          <w:tcPr>
            <w:tcW w:w="1205" w:type="dxa"/>
            <w:shd w:val="clear" w:color="auto" w:fill="F0EEEB" w:themeFill="accent6" w:themeFillTint="99"/>
          </w:tcPr>
          <w:p w14:paraId="4D0EA81E" w14:textId="77777777" w:rsidR="00131877" w:rsidRPr="00282B77" w:rsidRDefault="00131877" w:rsidP="00C93734">
            <w:pPr>
              <w:pStyle w:val="TableHeading"/>
              <w:jc w:val="both"/>
              <w:rPr>
                <w:b w:val="0"/>
                <w:color w:val="auto"/>
              </w:rPr>
            </w:pPr>
            <w:r w:rsidRPr="00282B77">
              <w:rPr>
                <w:b w:val="0"/>
                <w:color w:val="auto"/>
              </w:rPr>
              <w:t>Authorised</w:t>
            </w:r>
          </w:p>
        </w:tc>
        <w:tc>
          <w:tcPr>
            <w:tcW w:w="992" w:type="dxa"/>
            <w:shd w:val="clear" w:color="auto" w:fill="F0EEEB" w:themeFill="accent6" w:themeFillTint="99"/>
          </w:tcPr>
          <w:p w14:paraId="465458F2" w14:textId="77777777" w:rsidR="00131877" w:rsidRPr="00282B77" w:rsidRDefault="00131877" w:rsidP="00C93734">
            <w:pPr>
              <w:pStyle w:val="TableHeading"/>
              <w:jc w:val="both"/>
              <w:rPr>
                <w:b w:val="0"/>
                <w:color w:val="auto"/>
              </w:rPr>
            </w:pPr>
            <w:r w:rsidRPr="00282B77">
              <w:rPr>
                <w:b w:val="0"/>
                <w:color w:val="auto"/>
              </w:rPr>
              <w:t>Date</w:t>
            </w:r>
          </w:p>
        </w:tc>
      </w:tr>
      <w:tr w:rsidR="00E1773F" w:rsidRPr="004B1BF4" w14:paraId="5EF417AA" w14:textId="77777777" w:rsidTr="00CA7D99">
        <w:tc>
          <w:tcPr>
            <w:tcW w:w="1029" w:type="dxa"/>
          </w:tcPr>
          <w:p w14:paraId="6AE805A3" w14:textId="77777777" w:rsidR="00E1773F" w:rsidRPr="00282B77" w:rsidRDefault="00282B77" w:rsidP="00C93734">
            <w:pPr>
              <w:pStyle w:val="TableText"/>
              <w:jc w:val="both"/>
              <w:rPr>
                <w:color w:val="auto"/>
              </w:rPr>
            </w:pPr>
            <w:r w:rsidRPr="00282B77">
              <w:rPr>
                <w:color w:val="auto"/>
              </w:rPr>
              <w:t>1-11</w:t>
            </w:r>
          </w:p>
        </w:tc>
        <w:tc>
          <w:tcPr>
            <w:tcW w:w="2386" w:type="dxa"/>
          </w:tcPr>
          <w:p w14:paraId="622D3234" w14:textId="77777777" w:rsidR="00E1773F" w:rsidRPr="00282B77" w:rsidRDefault="00282B77" w:rsidP="00C93734">
            <w:pPr>
              <w:pStyle w:val="TableText"/>
              <w:jc w:val="both"/>
              <w:rPr>
                <w:color w:val="auto"/>
              </w:rPr>
            </w:pPr>
            <w:r w:rsidRPr="00282B77">
              <w:rPr>
                <w:color w:val="auto"/>
              </w:rPr>
              <w:t>Sectors Report</w:t>
            </w:r>
          </w:p>
        </w:tc>
        <w:tc>
          <w:tcPr>
            <w:tcW w:w="1405" w:type="dxa"/>
          </w:tcPr>
          <w:p w14:paraId="7AEBD59F" w14:textId="77777777" w:rsidR="00E1773F" w:rsidRPr="00282B77" w:rsidRDefault="00282B77" w:rsidP="00C93734">
            <w:pPr>
              <w:pStyle w:val="TableText"/>
              <w:jc w:val="both"/>
              <w:rPr>
                <w:color w:val="auto"/>
              </w:rPr>
            </w:pPr>
            <w:r w:rsidRPr="00282B77">
              <w:rPr>
                <w:color w:val="auto"/>
              </w:rPr>
              <w:t>JG/RJ/SS</w:t>
            </w:r>
          </w:p>
        </w:tc>
        <w:tc>
          <w:tcPr>
            <w:tcW w:w="1311" w:type="dxa"/>
          </w:tcPr>
          <w:p w14:paraId="446F21B5" w14:textId="77777777" w:rsidR="00E1773F" w:rsidRPr="00282B77" w:rsidRDefault="00282B77" w:rsidP="00C93734">
            <w:pPr>
              <w:pStyle w:val="TableText"/>
              <w:jc w:val="both"/>
              <w:rPr>
                <w:color w:val="auto"/>
              </w:rPr>
            </w:pPr>
            <w:r w:rsidRPr="00282B77">
              <w:rPr>
                <w:color w:val="auto"/>
              </w:rPr>
              <w:t>ID</w:t>
            </w:r>
          </w:p>
        </w:tc>
        <w:tc>
          <w:tcPr>
            <w:tcW w:w="1311" w:type="dxa"/>
          </w:tcPr>
          <w:p w14:paraId="766CFAC9" w14:textId="77777777" w:rsidR="00E1773F" w:rsidRPr="00282B77" w:rsidRDefault="00282B77" w:rsidP="00C93734">
            <w:pPr>
              <w:pStyle w:val="TableText"/>
              <w:jc w:val="both"/>
              <w:rPr>
                <w:color w:val="auto"/>
              </w:rPr>
            </w:pPr>
            <w:r w:rsidRPr="00282B77">
              <w:rPr>
                <w:color w:val="auto"/>
              </w:rPr>
              <w:t>RC</w:t>
            </w:r>
          </w:p>
        </w:tc>
        <w:tc>
          <w:tcPr>
            <w:tcW w:w="1205" w:type="dxa"/>
          </w:tcPr>
          <w:p w14:paraId="4DDDEFA6" w14:textId="77777777" w:rsidR="00E1773F" w:rsidRPr="00282B77" w:rsidRDefault="00282B77" w:rsidP="00C93734">
            <w:pPr>
              <w:pStyle w:val="TableText"/>
              <w:jc w:val="both"/>
              <w:rPr>
                <w:color w:val="auto"/>
              </w:rPr>
            </w:pPr>
            <w:r w:rsidRPr="00282B77">
              <w:rPr>
                <w:color w:val="auto"/>
              </w:rPr>
              <w:t>RC</w:t>
            </w:r>
          </w:p>
        </w:tc>
        <w:tc>
          <w:tcPr>
            <w:tcW w:w="992" w:type="dxa"/>
          </w:tcPr>
          <w:p w14:paraId="563F8C3E" w14:textId="77777777" w:rsidR="00E1773F" w:rsidRPr="00282B77" w:rsidRDefault="000E33E6" w:rsidP="00C93734">
            <w:pPr>
              <w:pStyle w:val="TableText"/>
              <w:jc w:val="both"/>
              <w:rPr>
                <w:color w:val="auto"/>
              </w:rPr>
            </w:pPr>
            <w:r>
              <w:rPr>
                <w:color w:val="auto"/>
              </w:rPr>
              <w:t>July 14</w:t>
            </w:r>
          </w:p>
        </w:tc>
      </w:tr>
    </w:tbl>
    <w:p w14:paraId="553CB93C" w14:textId="77777777" w:rsidR="004B1BF4" w:rsidRPr="004B1BF4" w:rsidRDefault="004B1BF4" w:rsidP="00C93734">
      <w:pPr>
        <w:pStyle w:val="Heading1NoTOC"/>
        <w:jc w:val="both"/>
      </w:pPr>
      <w:bookmarkStart w:id="6" w:name="NoticePage_Australia"/>
      <w:bookmarkStart w:id="7" w:name="ContentsPage"/>
      <w:bookmarkEnd w:id="5"/>
    </w:p>
    <w:p w14:paraId="159B22E4" w14:textId="77777777" w:rsidR="00ED7748" w:rsidRPr="004B1BF4" w:rsidRDefault="00ED7748" w:rsidP="00C93734">
      <w:pPr>
        <w:pStyle w:val="BodyText"/>
        <w:jc w:val="both"/>
      </w:pPr>
      <w:r w:rsidRPr="004B1BF4">
        <w:br w:type="page"/>
      </w:r>
    </w:p>
    <w:bookmarkEnd w:id="6"/>
    <w:p w14:paraId="7B965479" w14:textId="77777777" w:rsidR="00B7202B" w:rsidRPr="004B1BF4" w:rsidRDefault="00325DEF" w:rsidP="00C93734">
      <w:pPr>
        <w:pStyle w:val="Heading1NoTOC"/>
        <w:jc w:val="both"/>
        <w:rPr>
          <w:rFonts w:eastAsiaTheme="majorEastAsia" w:cstheme="majorBidi"/>
        </w:rPr>
      </w:pPr>
      <w:r w:rsidRPr="004B1BF4">
        <w:rPr>
          <w:rFonts w:eastAsiaTheme="majorEastAsia" w:cstheme="majorBidi"/>
        </w:rPr>
        <w:lastRenderedPageBreak/>
        <w:t>Table of c</w:t>
      </w:r>
      <w:r w:rsidR="00B7202B" w:rsidRPr="004B1BF4">
        <w:rPr>
          <w:rFonts w:eastAsiaTheme="majorEastAsia" w:cstheme="majorBidi"/>
        </w:rPr>
        <w:t>ontents</w:t>
      </w:r>
    </w:p>
    <w:p w14:paraId="5133A961" w14:textId="77777777" w:rsidR="00B7202B" w:rsidRPr="004B1BF4" w:rsidRDefault="00B7202B" w:rsidP="00C93734">
      <w:pPr>
        <w:pStyle w:val="Heading3NoNumb"/>
        <w:tabs>
          <w:tab w:val="right" w:pos="9638"/>
        </w:tabs>
        <w:jc w:val="both"/>
        <w:rPr>
          <w:rFonts w:eastAsiaTheme="majorEastAsia" w:cstheme="majorBidi"/>
        </w:rPr>
      </w:pPr>
      <w:r w:rsidRPr="004B1BF4">
        <w:rPr>
          <w:rFonts w:eastAsiaTheme="majorEastAsia" w:cstheme="majorBidi"/>
        </w:rPr>
        <w:t>Chapter</w:t>
      </w:r>
      <w:r w:rsidRPr="004B1BF4">
        <w:rPr>
          <w:rFonts w:eastAsiaTheme="majorEastAsia" w:cstheme="majorBidi"/>
        </w:rPr>
        <w:tab/>
        <w:t>Pages</w:t>
      </w:r>
    </w:p>
    <w:p w14:paraId="45F5DF28" w14:textId="77777777" w:rsidR="00E95E1A" w:rsidRDefault="00781CD3">
      <w:pPr>
        <w:pStyle w:val="TOC2"/>
        <w:rPr>
          <w:rFonts w:asciiTheme="minorHAnsi" w:eastAsiaTheme="minorEastAsia" w:hAnsiTheme="minorHAnsi"/>
          <w:b w:val="0"/>
          <w:noProof/>
          <w:color w:val="auto"/>
          <w:sz w:val="22"/>
          <w:lang w:eastAsia="en-GB"/>
        </w:rPr>
      </w:pPr>
      <w:r w:rsidRPr="004B1BF4">
        <w:fldChar w:fldCharType="begin"/>
      </w:r>
      <w:r w:rsidR="00B7202B" w:rsidRPr="004B1BF4">
        <w:instrText xml:space="preserve"> TOC \h \z \t "Heading 1,1,Heading 2,3,Heading 1NoNumb,2, Heading 2NoNumb,4</w:instrText>
      </w:r>
      <w:r w:rsidR="00050B9A" w:rsidRPr="004B1BF4">
        <w:instrText>,Heading 6,1,Heading 7,3,IntroHeading,6</w:instrText>
      </w:r>
      <w:r w:rsidR="00B7202B" w:rsidRPr="004B1BF4">
        <w:instrText xml:space="preserve">" </w:instrText>
      </w:r>
      <w:r w:rsidRPr="004B1BF4">
        <w:fldChar w:fldCharType="separate"/>
      </w:r>
      <w:hyperlink w:anchor="_Toc395103896" w:history="1">
        <w:r w:rsidR="00E95E1A" w:rsidRPr="005D49E8">
          <w:rPr>
            <w:rStyle w:val="Hyperlink"/>
            <w:noProof/>
          </w:rPr>
          <w:t>Executive Summary</w:t>
        </w:r>
        <w:r w:rsidR="00E95E1A">
          <w:rPr>
            <w:noProof/>
            <w:webHidden/>
          </w:rPr>
          <w:tab/>
        </w:r>
        <w:r>
          <w:rPr>
            <w:noProof/>
            <w:webHidden/>
          </w:rPr>
          <w:fldChar w:fldCharType="begin"/>
        </w:r>
        <w:r w:rsidR="00E95E1A">
          <w:rPr>
            <w:noProof/>
            <w:webHidden/>
          </w:rPr>
          <w:instrText xml:space="preserve"> PAGEREF _Toc395103896 \h </w:instrText>
        </w:r>
        <w:r>
          <w:rPr>
            <w:noProof/>
            <w:webHidden/>
          </w:rPr>
        </w:r>
        <w:r>
          <w:rPr>
            <w:noProof/>
            <w:webHidden/>
          </w:rPr>
          <w:fldChar w:fldCharType="separate"/>
        </w:r>
        <w:r w:rsidR="00BF1A6E">
          <w:rPr>
            <w:noProof/>
            <w:webHidden/>
          </w:rPr>
          <w:t>5</w:t>
        </w:r>
        <w:r>
          <w:rPr>
            <w:noProof/>
            <w:webHidden/>
          </w:rPr>
          <w:fldChar w:fldCharType="end"/>
        </w:r>
      </w:hyperlink>
    </w:p>
    <w:p w14:paraId="047ED11C" w14:textId="77777777" w:rsidR="00E95E1A" w:rsidRDefault="003C1E7A">
      <w:pPr>
        <w:pStyle w:val="TOC2"/>
        <w:rPr>
          <w:rFonts w:asciiTheme="minorHAnsi" w:eastAsiaTheme="minorEastAsia" w:hAnsiTheme="minorHAnsi"/>
          <w:b w:val="0"/>
          <w:noProof/>
          <w:color w:val="auto"/>
          <w:sz w:val="22"/>
          <w:lang w:eastAsia="en-GB"/>
        </w:rPr>
      </w:pPr>
      <w:hyperlink w:anchor="_Toc395103897" w:history="1">
        <w:r w:rsidR="00E95E1A" w:rsidRPr="005D49E8">
          <w:rPr>
            <w:rStyle w:val="Hyperlink"/>
            <w:noProof/>
          </w:rPr>
          <w:t>Executive Summary</w:t>
        </w:r>
        <w:r w:rsidR="00E95E1A">
          <w:rPr>
            <w:noProof/>
            <w:webHidden/>
          </w:rPr>
          <w:tab/>
        </w:r>
        <w:r w:rsidR="00781CD3">
          <w:rPr>
            <w:noProof/>
            <w:webHidden/>
          </w:rPr>
          <w:fldChar w:fldCharType="begin"/>
        </w:r>
        <w:r w:rsidR="00E95E1A">
          <w:rPr>
            <w:noProof/>
            <w:webHidden/>
          </w:rPr>
          <w:instrText xml:space="preserve"> PAGEREF _Toc395103897 \h </w:instrText>
        </w:r>
        <w:r w:rsidR="00781CD3">
          <w:rPr>
            <w:noProof/>
            <w:webHidden/>
          </w:rPr>
        </w:r>
        <w:r w:rsidR="00781CD3">
          <w:rPr>
            <w:noProof/>
            <w:webHidden/>
          </w:rPr>
          <w:fldChar w:fldCharType="separate"/>
        </w:r>
        <w:r w:rsidR="00BF1A6E">
          <w:rPr>
            <w:noProof/>
            <w:webHidden/>
          </w:rPr>
          <w:t>6</w:t>
        </w:r>
        <w:r w:rsidR="00781CD3">
          <w:rPr>
            <w:noProof/>
            <w:webHidden/>
          </w:rPr>
          <w:fldChar w:fldCharType="end"/>
        </w:r>
      </w:hyperlink>
    </w:p>
    <w:p w14:paraId="1028CEE8" w14:textId="77777777" w:rsidR="00E95E1A" w:rsidRDefault="003C1E7A">
      <w:pPr>
        <w:pStyle w:val="TOC4"/>
        <w:rPr>
          <w:rFonts w:asciiTheme="minorHAnsi" w:eastAsiaTheme="minorEastAsia" w:hAnsiTheme="minorHAnsi"/>
          <w:noProof/>
          <w:color w:val="auto"/>
          <w:sz w:val="22"/>
          <w:lang w:eastAsia="en-GB"/>
        </w:rPr>
      </w:pPr>
      <w:hyperlink w:anchor="_Toc395103898" w:history="1">
        <w:r w:rsidR="00E95E1A" w:rsidRPr="005D49E8">
          <w:rPr>
            <w:rStyle w:val="Hyperlink"/>
            <w:noProof/>
          </w:rPr>
          <w:t>Introduction</w:t>
        </w:r>
        <w:r w:rsidR="00E95E1A">
          <w:rPr>
            <w:noProof/>
            <w:webHidden/>
          </w:rPr>
          <w:tab/>
        </w:r>
        <w:r w:rsidR="00781CD3">
          <w:rPr>
            <w:noProof/>
            <w:webHidden/>
          </w:rPr>
          <w:fldChar w:fldCharType="begin"/>
        </w:r>
        <w:r w:rsidR="00E95E1A">
          <w:rPr>
            <w:noProof/>
            <w:webHidden/>
          </w:rPr>
          <w:instrText xml:space="preserve"> PAGEREF _Toc395103898 \h </w:instrText>
        </w:r>
        <w:r w:rsidR="00781CD3">
          <w:rPr>
            <w:noProof/>
            <w:webHidden/>
          </w:rPr>
        </w:r>
        <w:r w:rsidR="00781CD3">
          <w:rPr>
            <w:noProof/>
            <w:webHidden/>
          </w:rPr>
          <w:fldChar w:fldCharType="separate"/>
        </w:r>
        <w:r w:rsidR="00BF1A6E">
          <w:rPr>
            <w:noProof/>
            <w:webHidden/>
          </w:rPr>
          <w:t>6</w:t>
        </w:r>
        <w:r w:rsidR="00781CD3">
          <w:rPr>
            <w:noProof/>
            <w:webHidden/>
          </w:rPr>
          <w:fldChar w:fldCharType="end"/>
        </w:r>
      </w:hyperlink>
    </w:p>
    <w:p w14:paraId="08964272" w14:textId="77777777" w:rsidR="00E95E1A" w:rsidRDefault="003C1E7A">
      <w:pPr>
        <w:pStyle w:val="TOC4"/>
        <w:rPr>
          <w:rFonts w:asciiTheme="minorHAnsi" w:eastAsiaTheme="minorEastAsia" w:hAnsiTheme="minorHAnsi"/>
          <w:noProof/>
          <w:color w:val="auto"/>
          <w:sz w:val="22"/>
          <w:lang w:eastAsia="en-GB"/>
        </w:rPr>
      </w:pPr>
      <w:hyperlink w:anchor="_Toc395103899" w:history="1">
        <w:r w:rsidR="00E95E1A" w:rsidRPr="005D49E8">
          <w:rPr>
            <w:rStyle w:val="Hyperlink"/>
            <w:noProof/>
          </w:rPr>
          <w:t>Local context</w:t>
        </w:r>
        <w:r w:rsidR="00E95E1A">
          <w:rPr>
            <w:noProof/>
            <w:webHidden/>
          </w:rPr>
          <w:tab/>
        </w:r>
        <w:r w:rsidR="00781CD3">
          <w:rPr>
            <w:noProof/>
            <w:webHidden/>
          </w:rPr>
          <w:fldChar w:fldCharType="begin"/>
        </w:r>
        <w:r w:rsidR="00E95E1A">
          <w:rPr>
            <w:noProof/>
            <w:webHidden/>
          </w:rPr>
          <w:instrText xml:space="preserve"> PAGEREF _Toc395103899 \h </w:instrText>
        </w:r>
        <w:r w:rsidR="00781CD3">
          <w:rPr>
            <w:noProof/>
            <w:webHidden/>
          </w:rPr>
        </w:r>
        <w:r w:rsidR="00781CD3">
          <w:rPr>
            <w:noProof/>
            <w:webHidden/>
          </w:rPr>
          <w:fldChar w:fldCharType="separate"/>
        </w:r>
        <w:r w:rsidR="00BF1A6E">
          <w:rPr>
            <w:noProof/>
            <w:webHidden/>
          </w:rPr>
          <w:t>6</w:t>
        </w:r>
        <w:r w:rsidR="00781CD3">
          <w:rPr>
            <w:noProof/>
            <w:webHidden/>
          </w:rPr>
          <w:fldChar w:fldCharType="end"/>
        </w:r>
      </w:hyperlink>
    </w:p>
    <w:p w14:paraId="077FD0AE" w14:textId="77777777" w:rsidR="00E95E1A" w:rsidRDefault="003C1E7A">
      <w:pPr>
        <w:pStyle w:val="TOC4"/>
        <w:rPr>
          <w:rFonts w:asciiTheme="minorHAnsi" w:eastAsiaTheme="minorEastAsia" w:hAnsiTheme="minorHAnsi"/>
          <w:noProof/>
          <w:color w:val="auto"/>
          <w:sz w:val="22"/>
          <w:lang w:eastAsia="en-GB"/>
        </w:rPr>
      </w:pPr>
      <w:hyperlink w:anchor="_Toc395103900" w:history="1">
        <w:r w:rsidR="00E95E1A" w:rsidRPr="005D49E8">
          <w:rPr>
            <w:rStyle w:val="Hyperlink"/>
            <w:noProof/>
          </w:rPr>
          <w:t>The key sectors</w:t>
        </w:r>
        <w:r w:rsidR="00E95E1A">
          <w:rPr>
            <w:noProof/>
            <w:webHidden/>
          </w:rPr>
          <w:tab/>
        </w:r>
        <w:r w:rsidR="00781CD3">
          <w:rPr>
            <w:noProof/>
            <w:webHidden/>
          </w:rPr>
          <w:fldChar w:fldCharType="begin"/>
        </w:r>
        <w:r w:rsidR="00E95E1A">
          <w:rPr>
            <w:noProof/>
            <w:webHidden/>
          </w:rPr>
          <w:instrText xml:space="preserve"> PAGEREF _Toc395103900 \h </w:instrText>
        </w:r>
        <w:r w:rsidR="00781CD3">
          <w:rPr>
            <w:noProof/>
            <w:webHidden/>
          </w:rPr>
        </w:r>
        <w:r w:rsidR="00781CD3">
          <w:rPr>
            <w:noProof/>
            <w:webHidden/>
          </w:rPr>
          <w:fldChar w:fldCharType="separate"/>
        </w:r>
        <w:r w:rsidR="00BF1A6E">
          <w:rPr>
            <w:noProof/>
            <w:webHidden/>
          </w:rPr>
          <w:t>6</w:t>
        </w:r>
        <w:r w:rsidR="00781CD3">
          <w:rPr>
            <w:noProof/>
            <w:webHidden/>
          </w:rPr>
          <w:fldChar w:fldCharType="end"/>
        </w:r>
      </w:hyperlink>
    </w:p>
    <w:p w14:paraId="4D755EB4" w14:textId="77777777" w:rsidR="00E95E1A" w:rsidRDefault="003C1E7A">
      <w:pPr>
        <w:pStyle w:val="TOC4"/>
        <w:rPr>
          <w:rFonts w:asciiTheme="minorHAnsi" w:eastAsiaTheme="minorEastAsia" w:hAnsiTheme="minorHAnsi"/>
          <w:noProof/>
          <w:color w:val="auto"/>
          <w:sz w:val="22"/>
          <w:lang w:eastAsia="en-GB"/>
        </w:rPr>
      </w:pPr>
      <w:hyperlink w:anchor="_Toc395103901" w:history="1">
        <w:r w:rsidR="00E95E1A" w:rsidRPr="005D49E8">
          <w:rPr>
            <w:rStyle w:val="Hyperlink"/>
            <w:noProof/>
          </w:rPr>
          <w:t>Recommendations</w:t>
        </w:r>
        <w:r w:rsidR="00E95E1A">
          <w:rPr>
            <w:noProof/>
            <w:webHidden/>
          </w:rPr>
          <w:tab/>
        </w:r>
        <w:r w:rsidR="00781CD3">
          <w:rPr>
            <w:noProof/>
            <w:webHidden/>
          </w:rPr>
          <w:fldChar w:fldCharType="begin"/>
        </w:r>
        <w:r w:rsidR="00E95E1A">
          <w:rPr>
            <w:noProof/>
            <w:webHidden/>
          </w:rPr>
          <w:instrText xml:space="preserve"> PAGEREF _Toc395103901 \h </w:instrText>
        </w:r>
        <w:r w:rsidR="00781CD3">
          <w:rPr>
            <w:noProof/>
            <w:webHidden/>
          </w:rPr>
        </w:r>
        <w:r w:rsidR="00781CD3">
          <w:rPr>
            <w:noProof/>
            <w:webHidden/>
          </w:rPr>
          <w:fldChar w:fldCharType="separate"/>
        </w:r>
        <w:r w:rsidR="00BF1A6E">
          <w:rPr>
            <w:noProof/>
            <w:webHidden/>
          </w:rPr>
          <w:t>8</w:t>
        </w:r>
        <w:r w:rsidR="00781CD3">
          <w:rPr>
            <w:noProof/>
            <w:webHidden/>
          </w:rPr>
          <w:fldChar w:fldCharType="end"/>
        </w:r>
      </w:hyperlink>
    </w:p>
    <w:p w14:paraId="2ABF01C6" w14:textId="77777777" w:rsidR="00E95E1A" w:rsidRDefault="003C1E7A">
      <w:pPr>
        <w:pStyle w:val="TOC6"/>
        <w:rPr>
          <w:rFonts w:asciiTheme="minorHAnsi" w:eastAsiaTheme="minorEastAsia" w:hAnsiTheme="minorHAnsi"/>
          <w:b w:val="0"/>
          <w:noProof/>
          <w:color w:val="auto"/>
          <w:lang w:eastAsia="en-GB"/>
        </w:rPr>
      </w:pPr>
      <w:hyperlink w:anchor="_Toc395103902" w:history="1">
        <w:r w:rsidR="00E95E1A" w:rsidRPr="005D49E8">
          <w:rPr>
            <w:rStyle w:val="Hyperlink"/>
            <w:noProof/>
          </w:rPr>
          <w:t>Main Report</w:t>
        </w:r>
        <w:r w:rsidR="00E95E1A">
          <w:rPr>
            <w:noProof/>
            <w:webHidden/>
          </w:rPr>
          <w:tab/>
        </w:r>
        <w:r w:rsidR="00781CD3">
          <w:rPr>
            <w:noProof/>
            <w:webHidden/>
          </w:rPr>
          <w:fldChar w:fldCharType="begin"/>
        </w:r>
        <w:r w:rsidR="00E95E1A">
          <w:rPr>
            <w:noProof/>
            <w:webHidden/>
          </w:rPr>
          <w:instrText xml:space="preserve"> PAGEREF _Toc395103902 \h </w:instrText>
        </w:r>
        <w:r w:rsidR="00781CD3">
          <w:rPr>
            <w:noProof/>
            <w:webHidden/>
          </w:rPr>
        </w:r>
        <w:r w:rsidR="00781CD3">
          <w:rPr>
            <w:noProof/>
            <w:webHidden/>
          </w:rPr>
          <w:fldChar w:fldCharType="separate"/>
        </w:r>
        <w:r w:rsidR="00BF1A6E">
          <w:rPr>
            <w:noProof/>
            <w:webHidden/>
          </w:rPr>
          <w:t>10</w:t>
        </w:r>
        <w:r w:rsidR="00781CD3">
          <w:rPr>
            <w:noProof/>
            <w:webHidden/>
          </w:rPr>
          <w:fldChar w:fldCharType="end"/>
        </w:r>
      </w:hyperlink>
    </w:p>
    <w:p w14:paraId="7CB3CF5C" w14:textId="77777777" w:rsidR="00E95E1A" w:rsidRDefault="003C1E7A">
      <w:pPr>
        <w:pStyle w:val="TOC1"/>
        <w:rPr>
          <w:rFonts w:asciiTheme="minorHAnsi" w:eastAsiaTheme="minorEastAsia" w:hAnsiTheme="minorHAnsi"/>
          <w:b w:val="0"/>
          <w:noProof/>
          <w:color w:val="auto"/>
          <w:sz w:val="22"/>
          <w:lang w:eastAsia="en-GB"/>
        </w:rPr>
      </w:pPr>
      <w:hyperlink w:anchor="_Toc395103903" w:history="1">
        <w:r w:rsidR="00E95E1A" w:rsidRPr="005D49E8">
          <w:rPr>
            <w:rStyle w:val="Hyperlink"/>
            <w:noProof/>
          </w:rPr>
          <w:t>1.</w:t>
        </w:r>
        <w:r w:rsidR="00E95E1A">
          <w:rPr>
            <w:rFonts w:asciiTheme="minorHAnsi" w:eastAsiaTheme="minorEastAsia" w:hAnsiTheme="minorHAnsi"/>
            <w:b w:val="0"/>
            <w:noProof/>
            <w:color w:val="auto"/>
            <w:sz w:val="22"/>
            <w:lang w:eastAsia="en-GB"/>
          </w:rPr>
          <w:tab/>
        </w:r>
        <w:r w:rsidR="00E95E1A" w:rsidRPr="005D49E8">
          <w:rPr>
            <w:rStyle w:val="Hyperlink"/>
            <w:noProof/>
          </w:rPr>
          <w:t>Introduction</w:t>
        </w:r>
        <w:r w:rsidR="00E95E1A">
          <w:rPr>
            <w:noProof/>
            <w:webHidden/>
          </w:rPr>
          <w:tab/>
        </w:r>
        <w:r w:rsidR="00781CD3">
          <w:rPr>
            <w:noProof/>
            <w:webHidden/>
          </w:rPr>
          <w:fldChar w:fldCharType="begin"/>
        </w:r>
        <w:r w:rsidR="00E95E1A">
          <w:rPr>
            <w:noProof/>
            <w:webHidden/>
          </w:rPr>
          <w:instrText xml:space="preserve"> PAGEREF _Toc395103903 \h </w:instrText>
        </w:r>
        <w:r w:rsidR="00781CD3">
          <w:rPr>
            <w:noProof/>
            <w:webHidden/>
          </w:rPr>
        </w:r>
        <w:r w:rsidR="00781CD3">
          <w:rPr>
            <w:noProof/>
            <w:webHidden/>
          </w:rPr>
          <w:fldChar w:fldCharType="separate"/>
        </w:r>
        <w:r w:rsidR="00BF1A6E">
          <w:rPr>
            <w:noProof/>
            <w:webHidden/>
          </w:rPr>
          <w:t>11</w:t>
        </w:r>
        <w:r w:rsidR="00781CD3">
          <w:rPr>
            <w:noProof/>
            <w:webHidden/>
          </w:rPr>
          <w:fldChar w:fldCharType="end"/>
        </w:r>
      </w:hyperlink>
    </w:p>
    <w:p w14:paraId="1926F2BD" w14:textId="77777777" w:rsidR="00E95E1A" w:rsidRDefault="003C1E7A">
      <w:pPr>
        <w:pStyle w:val="TOC3"/>
        <w:rPr>
          <w:rFonts w:asciiTheme="minorHAnsi" w:eastAsiaTheme="minorEastAsia" w:hAnsiTheme="minorHAnsi"/>
          <w:noProof/>
          <w:color w:val="auto"/>
          <w:sz w:val="22"/>
          <w:lang w:eastAsia="en-GB"/>
        </w:rPr>
      </w:pPr>
      <w:hyperlink w:anchor="_Toc395103904" w:history="1">
        <w:r w:rsidR="00E95E1A" w:rsidRPr="005D49E8">
          <w:rPr>
            <w:rStyle w:val="Hyperlink"/>
            <w:noProof/>
          </w:rPr>
          <w:t>1.1.</w:t>
        </w:r>
        <w:r w:rsidR="00E95E1A">
          <w:rPr>
            <w:rFonts w:asciiTheme="minorHAnsi" w:eastAsiaTheme="minorEastAsia" w:hAnsiTheme="minorHAnsi"/>
            <w:noProof/>
            <w:color w:val="auto"/>
            <w:sz w:val="22"/>
            <w:lang w:eastAsia="en-GB"/>
          </w:rPr>
          <w:tab/>
        </w:r>
        <w:r w:rsidR="00E95E1A" w:rsidRPr="005D49E8">
          <w:rPr>
            <w:rStyle w:val="Hyperlink"/>
            <w:rFonts w:eastAsiaTheme="majorEastAsia" w:cstheme="majorBidi"/>
            <w:noProof/>
          </w:rPr>
          <w:t>Geographical Focus</w:t>
        </w:r>
        <w:r w:rsidR="00E95E1A">
          <w:rPr>
            <w:noProof/>
            <w:webHidden/>
          </w:rPr>
          <w:tab/>
        </w:r>
        <w:r w:rsidR="00781CD3">
          <w:rPr>
            <w:noProof/>
            <w:webHidden/>
          </w:rPr>
          <w:fldChar w:fldCharType="begin"/>
        </w:r>
        <w:r w:rsidR="00E95E1A">
          <w:rPr>
            <w:noProof/>
            <w:webHidden/>
          </w:rPr>
          <w:instrText xml:space="preserve"> PAGEREF _Toc395103904 \h </w:instrText>
        </w:r>
        <w:r w:rsidR="00781CD3">
          <w:rPr>
            <w:noProof/>
            <w:webHidden/>
          </w:rPr>
        </w:r>
        <w:r w:rsidR="00781CD3">
          <w:rPr>
            <w:noProof/>
            <w:webHidden/>
          </w:rPr>
          <w:fldChar w:fldCharType="separate"/>
        </w:r>
        <w:r w:rsidR="00BF1A6E">
          <w:rPr>
            <w:noProof/>
            <w:webHidden/>
          </w:rPr>
          <w:t>11</w:t>
        </w:r>
        <w:r w:rsidR="00781CD3">
          <w:rPr>
            <w:noProof/>
            <w:webHidden/>
          </w:rPr>
          <w:fldChar w:fldCharType="end"/>
        </w:r>
      </w:hyperlink>
    </w:p>
    <w:p w14:paraId="063AE8F2" w14:textId="77777777" w:rsidR="00E95E1A" w:rsidRDefault="003C1E7A">
      <w:pPr>
        <w:pStyle w:val="TOC3"/>
        <w:rPr>
          <w:rFonts w:asciiTheme="minorHAnsi" w:eastAsiaTheme="minorEastAsia" w:hAnsiTheme="minorHAnsi"/>
          <w:noProof/>
          <w:color w:val="auto"/>
          <w:sz w:val="22"/>
          <w:lang w:eastAsia="en-GB"/>
        </w:rPr>
      </w:pPr>
      <w:hyperlink w:anchor="_Toc395103905" w:history="1">
        <w:r w:rsidR="00E95E1A" w:rsidRPr="005D49E8">
          <w:rPr>
            <w:rStyle w:val="Hyperlink"/>
            <w:noProof/>
          </w:rPr>
          <w:t>1.2.</w:t>
        </w:r>
        <w:r w:rsidR="00E95E1A">
          <w:rPr>
            <w:rFonts w:asciiTheme="minorHAnsi" w:eastAsiaTheme="minorEastAsia" w:hAnsiTheme="minorHAnsi"/>
            <w:noProof/>
            <w:color w:val="auto"/>
            <w:sz w:val="22"/>
            <w:lang w:eastAsia="en-GB"/>
          </w:rPr>
          <w:tab/>
        </w:r>
        <w:r w:rsidR="00E95E1A" w:rsidRPr="005D49E8">
          <w:rPr>
            <w:rStyle w:val="Hyperlink"/>
            <w:noProof/>
          </w:rPr>
          <w:t>Structure</w:t>
        </w:r>
        <w:r w:rsidR="00E95E1A">
          <w:rPr>
            <w:noProof/>
            <w:webHidden/>
          </w:rPr>
          <w:tab/>
        </w:r>
        <w:r w:rsidR="00781CD3">
          <w:rPr>
            <w:noProof/>
            <w:webHidden/>
          </w:rPr>
          <w:fldChar w:fldCharType="begin"/>
        </w:r>
        <w:r w:rsidR="00E95E1A">
          <w:rPr>
            <w:noProof/>
            <w:webHidden/>
          </w:rPr>
          <w:instrText xml:space="preserve"> PAGEREF _Toc395103905 \h </w:instrText>
        </w:r>
        <w:r w:rsidR="00781CD3">
          <w:rPr>
            <w:noProof/>
            <w:webHidden/>
          </w:rPr>
        </w:r>
        <w:r w:rsidR="00781CD3">
          <w:rPr>
            <w:noProof/>
            <w:webHidden/>
          </w:rPr>
          <w:fldChar w:fldCharType="separate"/>
        </w:r>
        <w:r w:rsidR="00BF1A6E">
          <w:rPr>
            <w:noProof/>
            <w:webHidden/>
          </w:rPr>
          <w:t>12</w:t>
        </w:r>
        <w:r w:rsidR="00781CD3">
          <w:rPr>
            <w:noProof/>
            <w:webHidden/>
          </w:rPr>
          <w:fldChar w:fldCharType="end"/>
        </w:r>
      </w:hyperlink>
    </w:p>
    <w:p w14:paraId="1D074CCE" w14:textId="77777777" w:rsidR="00E95E1A" w:rsidRDefault="003C1E7A">
      <w:pPr>
        <w:pStyle w:val="TOC3"/>
        <w:rPr>
          <w:rFonts w:asciiTheme="minorHAnsi" w:eastAsiaTheme="minorEastAsia" w:hAnsiTheme="minorHAnsi"/>
          <w:noProof/>
          <w:color w:val="auto"/>
          <w:sz w:val="22"/>
          <w:lang w:eastAsia="en-GB"/>
        </w:rPr>
      </w:pPr>
      <w:hyperlink w:anchor="_Toc395103906" w:history="1">
        <w:r w:rsidR="00E95E1A" w:rsidRPr="005D49E8">
          <w:rPr>
            <w:rStyle w:val="Hyperlink"/>
            <w:noProof/>
          </w:rPr>
          <w:t>1.3.</w:t>
        </w:r>
        <w:r w:rsidR="00E95E1A">
          <w:rPr>
            <w:rFonts w:asciiTheme="minorHAnsi" w:eastAsiaTheme="minorEastAsia" w:hAnsiTheme="minorHAnsi"/>
            <w:noProof/>
            <w:color w:val="auto"/>
            <w:sz w:val="22"/>
            <w:lang w:eastAsia="en-GB"/>
          </w:rPr>
          <w:tab/>
        </w:r>
        <w:r w:rsidR="00E95E1A" w:rsidRPr="005D49E8">
          <w:rPr>
            <w:rStyle w:val="Hyperlink"/>
            <w:noProof/>
          </w:rPr>
          <w:t>Methodology</w:t>
        </w:r>
        <w:r w:rsidR="00E95E1A">
          <w:rPr>
            <w:noProof/>
            <w:webHidden/>
          </w:rPr>
          <w:tab/>
        </w:r>
        <w:r w:rsidR="00781CD3">
          <w:rPr>
            <w:noProof/>
            <w:webHidden/>
          </w:rPr>
          <w:fldChar w:fldCharType="begin"/>
        </w:r>
        <w:r w:rsidR="00E95E1A">
          <w:rPr>
            <w:noProof/>
            <w:webHidden/>
          </w:rPr>
          <w:instrText xml:space="preserve"> PAGEREF _Toc395103906 \h </w:instrText>
        </w:r>
        <w:r w:rsidR="00781CD3">
          <w:rPr>
            <w:noProof/>
            <w:webHidden/>
          </w:rPr>
        </w:r>
        <w:r w:rsidR="00781CD3">
          <w:rPr>
            <w:noProof/>
            <w:webHidden/>
          </w:rPr>
          <w:fldChar w:fldCharType="separate"/>
        </w:r>
        <w:r w:rsidR="00BF1A6E">
          <w:rPr>
            <w:noProof/>
            <w:webHidden/>
          </w:rPr>
          <w:t>13</w:t>
        </w:r>
        <w:r w:rsidR="00781CD3">
          <w:rPr>
            <w:noProof/>
            <w:webHidden/>
          </w:rPr>
          <w:fldChar w:fldCharType="end"/>
        </w:r>
      </w:hyperlink>
    </w:p>
    <w:p w14:paraId="3C1A39DA" w14:textId="77777777" w:rsidR="00E95E1A" w:rsidRDefault="003C1E7A">
      <w:pPr>
        <w:pStyle w:val="TOC1"/>
        <w:rPr>
          <w:rFonts w:asciiTheme="minorHAnsi" w:eastAsiaTheme="minorEastAsia" w:hAnsiTheme="minorHAnsi"/>
          <w:b w:val="0"/>
          <w:noProof/>
          <w:color w:val="auto"/>
          <w:sz w:val="22"/>
          <w:lang w:eastAsia="en-GB"/>
        </w:rPr>
      </w:pPr>
      <w:hyperlink w:anchor="_Toc395103907" w:history="1">
        <w:r w:rsidR="00E95E1A" w:rsidRPr="005D49E8">
          <w:rPr>
            <w:rStyle w:val="Hyperlink"/>
            <w:noProof/>
          </w:rPr>
          <w:t>2.</w:t>
        </w:r>
        <w:r w:rsidR="00E95E1A">
          <w:rPr>
            <w:rFonts w:asciiTheme="minorHAnsi" w:eastAsiaTheme="minorEastAsia" w:hAnsiTheme="minorHAnsi"/>
            <w:b w:val="0"/>
            <w:noProof/>
            <w:color w:val="auto"/>
            <w:sz w:val="22"/>
            <w:lang w:eastAsia="en-GB"/>
          </w:rPr>
          <w:tab/>
        </w:r>
        <w:r w:rsidR="00E95E1A" w:rsidRPr="005D49E8">
          <w:rPr>
            <w:rStyle w:val="Hyperlink"/>
            <w:noProof/>
          </w:rPr>
          <w:t>Local Policy &amp; Economic Context</w:t>
        </w:r>
        <w:r w:rsidR="00E95E1A">
          <w:rPr>
            <w:noProof/>
            <w:webHidden/>
          </w:rPr>
          <w:tab/>
        </w:r>
        <w:r w:rsidR="00781CD3">
          <w:rPr>
            <w:noProof/>
            <w:webHidden/>
          </w:rPr>
          <w:fldChar w:fldCharType="begin"/>
        </w:r>
        <w:r w:rsidR="00E95E1A">
          <w:rPr>
            <w:noProof/>
            <w:webHidden/>
          </w:rPr>
          <w:instrText xml:space="preserve"> PAGEREF _Toc395103907 \h </w:instrText>
        </w:r>
        <w:r w:rsidR="00781CD3">
          <w:rPr>
            <w:noProof/>
            <w:webHidden/>
          </w:rPr>
        </w:r>
        <w:r w:rsidR="00781CD3">
          <w:rPr>
            <w:noProof/>
            <w:webHidden/>
          </w:rPr>
          <w:fldChar w:fldCharType="separate"/>
        </w:r>
        <w:r w:rsidR="00BF1A6E">
          <w:rPr>
            <w:noProof/>
            <w:webHidden/>
          </w:rPr>
          <w:t>14</w:t>
        </w:r>
        <w:r w:rsidR="00781CD3">
          <w:rPr>
            <w:noProof/>
            <w:webHidden/>
          </w:rPr>
          <w:fldChar w:fldCharType="end"/>
        </w:r>
      </w:hyperlink>
    </w:p>
    <w:p w14:paraId="552A30D1" w14:textId="77777777" w:rsidR="00E95E1A" w:rsidRDefault="003C1E7A">
      <w:pPr>
        <w:pStyle w:val="TOC3"/>
        <w:rPr>
          <w:rFonts w:asciiTheme="minorHAnsi" w:eastAsiaTheme="minorEastAsia" w:hAnsiTheme="minorHAnsi"/>
          <w:noProof/>
          <w:color w:val="auto"/>
          <w:sz w:val="22"/>
          <w:lang w:eastAsia="en-GB"/>
        </w:rPr>
      </w:pPr>
      <w:hyperlink w:anchor="_Toc395103908" w:history="1">
        <w:r w:rsidR="00E95E1A" w:rsidRPr="005D49E8">
          <w:rPr>
            <w:rStyle w:val="Hyperlink"/>
            <w:noProof/>
          </w:rPr>
          <w:t>2.1.</w:t>
        </w:r>
        <w:r w:rsidR="00E95E1A">
          <w:rPr>
            <w:rFonts w:asciiTheme="minorHAnsi" w:eastAsiaTheme="minorEastAsia" w:hAnsiTheme="minorHAnsi"/>
            <w:noProof/>
            <w:color w:val="auto"/>
            <w:sz w:val="22"/>
            <w:lang w:eastAsia="en-GB"/>
          </w:rPr>
          <w:tab/>
        </w:r>
        <w:r w:rsidR="00E95E1A" w:rsidRPr="005D49E8">
          <w:rPr>
            <w:rStyle w:val="Hyperlink"/>
            <w:noProof/>
          </w:rPr>
          <w:t>Introduction</w:t>
        </w:r>
        <w:r w:rsidR="00E95E1A">
          <w:rPr>
            <w:noProof/>
            <w:webHidden/>
          </w:rPr>
          <w:tab/>
        </w:r>
        <w:r w:rsidR="00781CD3">
          <w:rPr>
            <w:noProof/>
            <w:webHidden/>
          </w:rPr>
          <w:fldChar w:fldCharType="begin"/>
        </w:r>
        <w:r w:rsidR="00E95E1A">
          <w:rPr>
            <w:noProof/>
            <w:webHidden/>
          </w:rPr>
          <w:instrText xml:space="preserve"> PAGEREF _Toc395103908 \h </w:instrText>
        </w:r>
        <w:r w:rsidR="00781CD3">
          <w:rPr>
            <w:noProof/>
            <w:webHidden/>
          </w:rPr>
        </w:r>
        <w:r w:rsidR="00781CD3">
          <w:rPr>
            <w:noProof/>
            <w:webHidden/>
          </w:rPr>
          <w:fldChar w:fldCharType="separate"/>
        </w:r>
        <w:r w:rsidR="00BF1A6E">
          <w:rPr>
            <w:noProof/>
            <w:webHidden/>
          </w:rPr>
          <w:t>14</w:t>
        </w:r>
        <w:r w:rsidR="00781CD3">
          <w:rPr>
            <w:noProof/>
            <w:webHidden/>
          </w:rPr>
          <w:fldChar w:fldCharType="end"/>
        </w:r>
      </w:hyperlink>
    </w:p>
    <w:p w14:paraId="4E9FACD9" w14:textId="77777777" w:rsidR="00E95E1A" w:rsidRDefault="003C1E7A">
      <w:pPr>
        <w:pStyle w:val="TOC3"/>
        <w:rPr>
          <w:rFonts w:asciiTheme="minorHAnsi" w:eastAsiaTheme="minorEastAsia" w:hAnsiTheme="minorHAnsi"/>
          <w:noProof/>
          <w:color w:val="auto"/>
          <w:sz w:val="22"/>
          <w:lang w:eastAsia="en-GB"/>
        </w:rPr>
      </w:pPr>
      <w:hyperlink w:anchor="_Toc395103909" w:history="1">
        <w:r w:rsidR="00E95E1A" w:rsidRPr="005D49E8">
          <w:rPr>
            <w:rStyle w:val="Hyperlink"/>
            <w:noProof/>
          </w:rPr>
          <w:t>2.2.</w:t>
        </w:r>
        <w:r w:rsidR="00E95E1A">
          <w:rPr>
            <w:rFonts w:asciiTheme="minorHAnsi" w:eastAsiaTheme="minorEastAsia" w:hAnsiTheme="minorHAnsi"/>
            <w:noProof/>
            <w:color w:val="auto"/>
            <w:sz w:val="22"/>
            <w:lang w:eastAsia="en-GB"/>
          </w:rPr>
          <w:tab/>
        </w:r>
        <w:r w:rsidR="00E95E1A" w:rsidRPr="005D49E8">
          <w:rPr>
            <w:rStyle w:val="Hyperlink"/>
            <w:noProof/>
          </w:rPr>
          <w:t>Local Policy Context</w:t>
        </w:r>
        <w:r w:rsidR="00E95E1A">
          <w:rPr>
            <w:noProof/>
            <w:webHidden/>
          </w:rPr>
          <w:tab/>
        </w:r>
        <w:r w:rsidR="00781CD3">
          <w:rPr>
            <w:noProof/>
            <w:webHidden/>
          </w:rPr>
          <w:fldChar w:fldCharType="begin"/>
        </w:r>
        <w:r w:rsidR="00E95E1A">
          <w:rPr>
            <w:noProof/>
            <w:webHidden/>
          </w:rPr>
          <w:instrText xml:space="preserve"> PAGEREF _Toc395103909 \h </w:instrText>
        </w:r>
        <w:r w:rsidR="00781CD3">
          <w:rPr>
            <w:noProof/>
            <w:webHidden/>
          </w:rPr>
        </w:r>
        <w:r w:rsidR="00781CD3">
          <w:rPr>
            <w:noProof/>
            <w:webHidden/>
          </w:rPr>
          <w:fldChar w:fldCharType="separate"/>
        </w:r>
        <w:r w:rsidR="00BF1A6E">
          <w:rPr>
            <w:noProof/>
            <w:webHidden/>
          </w:rPr>
          <w:t>14</w:t>
        </w:r>
        <w:r w:rsidR="00781CD3">
          <w:rPr>
            <w:noProof/>
            <w:webHidden/>
          </w:rPr>
          <w:fldChar w:fldCharType="end"/>
        </w:r>
      </w:hyperlink>
    </w:p>
    <w:p w14:paraId="5EB6E263" w14:textId="77777777" w:rsidR="00E95E1A" w:rsidRDefault="003C1E7A">
      <w:pPr>
        <w:pStyle w:val="TOC3"/>
        <w:rPr>
          <w:rFonts w:asciiTheme="minorHAnsi" w:eastAsiaTheme="minorEastAsia" w:hAnsiTheme="minorHAnsi"/>
          <w:noProof/>
          <w:color w:val="auto"/>
          <w:sz w:val="22"/>
          <w:lang w:eastAsia="en-GB"/>
        </w:rPr>
      </w:pPr>
      <w:hyperlink w:anchor="_Toc395103910" w:history="1">
        <w:r w:rsidR="00E95E1A" w:rsidRPr="005D49E8">
          <w:rPr>
            <w:rStyle w:val="Hyperlink"/>
            <w:noProof/>
          </w:rPr>
          <w:t>2.3.</w:t>
        </w:r>
        <w:r w:rsidR="00E95E1A">
          <w:rPr>
            <w:rFonts w:asciiTheme="minorHAnsi" w:eastAsiaTheme="minorEastAsia" w:hAnsiTheme="minorHAnsi"/>
            <w:noProof/>
            <w:color w:val="auto"/>
            <w:sz w:val="22"/>
            <w:lang w:eastAsia="en-GB"/>
          </w:rPr>
          <w:tab/>
        </w:r>
        <w:r w:rsidR="00E95E1A" w:rsidRPr="005D49E8">
          <w:rPr>
            <w:rStyle w:val="Hyperlink"/>
            <w:noProof/>
          </w:rPr>
          <w:t>Local economic context</w:t>
        </w:r>
        <w:r w:rsidR="00E95E1A">
          <w:rPr>
            <w:noProof/>
            <w:webHidden/>
          </w:rPr>
          <w:tab/>
        </w:r>
        <w:r w:rsidR="00781CD3">
          <w:rPr>
            <w:noProof/>
            <w:webHidden/>
          </w:rPr>
          <w:fldChar w:fldCharType="begin"/>
        </w:r>
        <w:r w:rsidR="00E95E1A">
          <w:rPr>
            <w:noProof/>
            <w:webHidden/>
          </w:rPr>
          <w:instrText xml:space="preserve"> PAGEREF _Toc395103910 \h </w:instrText>
        </w:r>
        <w:r w:rsidR="00781CD3">
          <w:rPr>
            <w:noProof/>
            <w:webHidden/>
          </w:rPr>
        </w:r>
        <w:r w:rsidR="00781CD3">
          <w:rPr>
            <w:noProof/>
            <w:webHidden/>
          </w:rPr>
          <w:fldChar w:fldCharType="separate"/>
        </w:r>
        <w:r w:rsidR="00BF1A6E">
          <w:rPr>
            <w:noProof/>
            <w:webHidden/>
          </w:rPr>
          <w:t>21</w:t>
        </w:r>
        <w:r w:rsidR="00781CD3">
          <w:rPr>
            <w:noProof/>
            <w:webHidden/>
          </w:rPr>
          <w:fldChar w:fldCharType="end"/>
        </w:r>
      </w:hyperlink>
    </w:p>
    <w:p w14:paraId="2917DCD6" w14:textId="77777777" w:rsidR="00E95E1A" w:rsidRDefault="003C1E7A">
      <w:pPr>
        <w:pStyle w:val="TOC6"/>
        <w:rPr>
          <w:rFonts w:asciiTheme="minorHAnsi" w:eastAsiaTheme="minorEastAsia" w:hAnsiTheme="minorHAnsi"/>
          <w:b w:val="0"/>
          <w:noProof/>
          <w:color w:val="auto"/>
          <w:lang w:eastAsia="en-GB"/>
        </w:rPr>
      </w:pPr>
      <w:hyperlink w:anchor="_Toc395103911" w:history="1">
        <w:r w:rsidR="00E95E1A" w:rsidRPr="005D49E8">
          <w:rPr>
            <w:rStyle w:val="Hyperlink"/>
            <w:noProof/>
          </w:rPr>
          <w:t>Business Survey &amp; Economic Impact Assessment</w:t>
        </w:r>
        <w:r w:rsidR="00E95E1A">
          <w:rPr>
            <w:noProof/>
            <w:webHidden/>
          </w:rPr>
          <w:tab/>
        </w:r>
        <w:r w:rsidR="00781CD3">
          <w:rPr>
            <w:noProof/>
            <w:webHidden/>
          </w:rPr>
          <w:fldChar w:fldCharType="begin"/>
        </w:r>
        <w:r w:rsidR="00E95E1A">
          <w:rPr>
            <w:noProof/>
            <w:webHidden/>
          </w:rPr>
          <w:instrText xml:space="preserve"> PAGEREF _Toc395103911 \h </w:instrText>
        </w:r>
        <w:r w:rsidR="00781CD3">
          <w:rPr>
            <w:noProof/>
            <w:webHidden/>
          </w:rPr>
        </w:r>
        <w:r w:rsidR="00781CD3">
          <w:rPr>
            <w:noProof/>
            <w:webHidden/>
          </w:rPr>
          <w:fldChar w:fldCharType="separate"/>
        </w:r>
        <w:r w:rsidR="00BF1A6E">
          <w:rPr>
            <w:noProof/>
            <w:webHidden/>
          </w:rPr>
          <w:t>32</w:t>
        </w:r>
        <w:r w:rsidR="00781CD3">
          <w:rPr>
            <w:noProof/>
            <w:webHidden/>
          </w:rPr>
          <w:fldChar w:fldCharType="end"/>
        </w:r>
      </w:hyperlink>
    </w:p>
    <w:p w14:paraId="137FD4A9" w14:textId="77777777" w:rsidR="00E95E1A" w:rsidRDefault="003C1E7A">
      <w:pPr>
        <w:pStyle w:val="TOC1"/>
        <w:rPr>
          <w:rFonts w:asciiTheme="minorHAnsi" w:eastAsiaTheme="minorEastAsia" w:hAnsiTheme="minorHAnsi"/>
          <w:b w:val="0"/>
          <w:noProof/>
          <w:color w:val="auto"/>
          <w:sz w:val="22"/>
          <w:lang w:eastAsia="en-GB"/>
        </w:rPr>
      </w:pPr>
      <w:hyperlink w:anchor="_Toc395103912" w:history="1">
        <w:r w:rsidR="00E95E1A" w:rsidRPr="005D49E8">
          <w:rPr>
            <w:rStyle w:val="Hyperlink"/>
            <w:noProof/>
          </w:rPr>
          <w:t>3.</w:t>
        </w:r>
        <w:r w:rsidR="00E95E1A">
          <w:rPr>
            <w:rFonts w:asciiTheme="minorHAnsi" w:eastAsiaTheme="minorEastAsia" w:hAnsiTheme="minorHAnsi"/>
            <w:b w:val="0"/>
            <w:noProof/>
            <w:color w:val="auto"/>
            <w:sz w:val="22"/>
            <w:lang w:eastAsia="en-GB"/>
          </w:rPr>
          <w:tab/>
        </w:r>
        <w:r w:rsidR="00E95E1A" w:rsidRPr="005D49E8">
          <w:rPr>
            <w:rStyle w:val="Hyperlink"/>
            <w:noProof/>
          </w:rPr>
          <w:t>Business Survey &amp; Economic Impact Assessment</w:t>
        </w:r>
        <w:r w:rsidR="00E95E1A">
          <w:rPr>
            <w:noProof/>
            <w:webHidden/>
          </w:rPr>
          <w:tab/>
        </w:r>
        <w:r w:rsidR="00781CD3">
          <w:rPr>
            <w:noProof/>
            <w:webHidden/>
          </w:rPr>
          <w:fldChar w:fldCharType="begin"/>
        </w:r>
        <w:r w:rsidR="00E95E1A">
          <w:rPr>
            <w:noProof/>
            <w:webHidden/>
          </w:rPr>
          <w:instrText xml:space="preserve"> PAGEREF _Toc395103912 \h </w:instrText>
        </w:r>
        <w:r w:rsidR="00781CD3">
          <w:rPr>
            <w:noProof/>
            <w:webHidden/>
          </w:rPr>
        </w:r>
        <w:r w:rsidR="00781CD3">
          <w:rPr>
            <w:noProof/>
            <w:webHidden/>
          </w:rPr>
          <w:fldChar w:fldCharType="separate"/>
        </w:r>
        <w:r w:rsidR="00BF1A6E">
          <w:rPr>
            <w:noProof/>
            <w:webHidden/>
          </w:rPr>
          <w:t>33</w:t>
        </w:r>
        <w:r w:rsidR="00781CD3">
          <w:rPr>
            <w:noProof/>
            <w:webHidden/>
          </w:rPr>
          <w:fldChar w:fldCharType="end"/>
        </w:r>
      </w:hyperlink>
    </w:p>
    <w:p w14:paraId="2A0E25D9" w14:textId="77777777" w:rsidR="00E95E1A" w:rsidRDefault="003C1E7A">
      <w:pPr>
        <w:pStyle w:val="TOC3"/>
        <w:rPr>
          <w:rFonts w:asciiTheme="minorHAnsi" w:eastAsiaTheme="minorEastAsia" w:hAnsiTheme="minorHAnsi"/>
          <w:noProof/>
          <w:color w:val="auto"/>
          <w:sz w:val="22"/>
          <w:lang w:eastAsia="en-GB"/>
        </w:rPr>
      </w:pPr>
      <w:hyperlink w:anchor="_Toc395103913" w:history="1">
        <w:r w:rsidR="00E95E1A" w:rsidRPr="005D49E8">
          <w:rPr>
            <w:rStyle w:val="Hyperlink"/>
            <w:noProof/>
          </w:rPr>
          <w:t>3.1.</w:t>
        </w:r>
        <w:r w:rsidR="00E95E1A">
          <w:rPr>
            <w:rFonts w:asciiTheme="minorHAnsi" w:eastAsiaTheme="minorEastAsia" w:hAnsiTheme="minorHAnsi"/>
            <w:noProof/>
            <w:color w:val="auto"/>
            <w:sz w:val="22"/>
            <w:lang w:eastAsia="en-GB"/>
          </w:rPr>
          <w:tab/>
        </w:r>
        <w:r w:rsidR="00E95E1A" w:rsidRPr="005D49E8">
          <w:rPr>
            <w:rStyle w:val="Hyperlink"/>
            <w:noProof/>
          </w:rPr>
          <w:t>Sector Contribution to GDP</w:t>
        </w:r>
        <w:r w:rsidR="00E95E1A">
          <w:rPr>
            <w:noProof/>
            <w:webHidden/>
          </w:rPr>
          <w:tab/>
        </w:r>
        <w:r w:rsidR="00781CD3">
          <w:rPr>
            <w:noProof/>
            <w:webHidden/>
          </w:rPr>
          <w:fldChar w:fldCharType="begin"/>
        </w:r>
        <w:r w:rsidR="00E95E1A">
          <w:rPr>
            <w:noProof/>
            <w:webHidden/>
          </w:rPr>
          <w:instrText xml:space="preserve"> PAGEREF _Toc395103913 \h </w:instrText>
        </w:r>
        <w:r w:rsidR="00781CD3">
          <w:rPr>
            <w:noProof/>
            <w:webHidden/>
          </w:rPr>
        </w:r>
        <w:r w:rsidR="00781CD3">
          <w:rPr>
            <w:noProof/>
            <w:webHidden/>
          </w:rPr>
          <w:fldChar w:fldCharType="separate"/>
        </w:r>
        <w:r w:rsidR="00BF1A6E">
          <w:rPr>
            <w:noProof/>
            <w:webHidden/>
          </w:rPr>
          <w:t>33</w:t>
        </w:r>
        <w:r w:rsidR="00781CD3">
          <w:rPr>
            <w:noProof/>
            <w:webHidden/>
          </w:rPr>
          <w:fldChar w:fldCharType="end"/>
        </w:r>
      </w:hyperlink>
    </w:p>
    <w:p w14:paraId="7BCEB01F" w14:textId="77777777" w:rsidR="00E95E1A" w:rsidRDefault="003C1E7A">
      <w:pPr>
        <w:pStyle w:val="TOC3"/>
        <w:rPr>
          <w:rFonts w:asciiTheme="minorHAnsi" w:eastAsiaTheme="minorEastAsia" w:hAnsiTheme="minorHAnsi"/>
          <w:noProof/>
          <w:color w:val="auto"/>
          <w:sz w:val="22"/>
          <w:lang w:eastAsia="en-GB"/>
        </w:rPr>
      </w:pPr>
      <w:hyperlink w:anchor="_Toc395103914" w:history="1">
        <w:r w:rsidR="00E95E1A" w:rsidRPr="005D49E8">
          <w:rPr>
            <w:rStyle w:val="Hyperlink"/>
            <w:noProof/>
          </w:rPr>
          <w:t>3.2.</w:t>
        </w:r>
        <w:r w:rsidR="00E95E1A">
          <w:rPr>
            <w:rFonts w:asciiTheme="minorHAnsi" w:eastAsiaTheme="minorEastAsia" w:hAnsiTheme="minorHAnsi"/>
            <w:noProof/>
            <w:color w:val="auto"/>
            <w:sz w:val="22"/>
            <w:lang w:eastAsia="en-GB"/>
          </w:rPr>
          <w:tab/>
        </w:r>
        <w:r w:rsidR="00E95E1A" w:rsidRPr="005D49E8">
          <w:rPr>
            <w:rStyle w:val="Hyperlink"/>
            <w:noProof/>
          </w:rPr>
          <w:t>Employment Impact</w:t>
        </w:r>
        <w:r w:rsidR="00E95E1A">
          <w:rPr>
            <w:noProof/>
            <w:webHidden/>
          </w:rPr>
          <w:tab/>
        </w:r>
        <w:r w:rsidR="00781CD3">
          <w:rPr>
            <w:noProof/>
            <w:webHidden/>
          </w:rPr>
          <w:fldChar w:fldCharType="begin"/>
        </w:r>
        <w:r w:rsidR="00E95E1A">
          <w:rPr>
            <w:noProof/>
            <w:webHidden/>
          </w:rPr>
          <w:instrText xml:space="preserve"> PAGEREF _Toc395103914 \h </w:instrText>
        </w:r>
        <w:r w:rsidR="00781CD3">
          <w:rPr>
            <w:noProof/>
            <w:webHidden/>
          </w:rPr>
        </w:r>
        <w:r w:rsidR="00781CD3">
          <w:rPr>
            <w:noProof/>
            <w:webHidden/>
          </w:rPr>
          <w:fldChar w:fldCharType="separate"/>
        </w:r>
        <w:r w:rsidR="00BF1A6E">
          <w:rPr>
            <w:noProof/>
            <w:webHidden/>
          </w:rPr>
          <w:t>34</w:t>
        </w:r>
        <w:r w:rsidR="00781CD3">
          <w:rPr>
            <w:noProof/>
            <w:webHidden/>
          </w:rPr>
          <w:fldChar w:fldCharType="end"/>
        </w:r>
      </w:hyperlink>
    </w:p>
    <w:p w14:paraId="4347A19A" w14:textId="77777777" w:rsidR="00E95E1A" w:rsidRDefault="003C1E7A">
      <w:pPr>
        <w:pStyle w:val="TOC3"/>
        <w:rPr>
          <w:rFonts w:asciiTheme="minorHAnsi" w:eastAsiaTheme="minorEastAsia" w:hAnsiTheme="minorHAnsi"/>
          <w:noProof/>
          <w:color w:val="auto"/>
          <w:sz w:val="22"/>
          <w:lang w:eastAsia="en-GB"/>
        </w:rPr>
      </w:pPr>
      <w:hyperlink w:anchor="_Toc395103915" w:history="1">
        <w:r w:rsidR="00E95E1A" w:rsidRPr="005D49E8">
          <w:rPr>
            <w:rStyle w:val="Hyperlink"/>
            <w:noProof/>
          </w:rPr>
          <w:t>3.3.</w:t>
        </w:r>
        <w:r w:rsidR="00E95E1A">
          <w:rPr>
            <w:rFonts w:asciiTheme="minorHAnsi" w:eastAsiaTheme="minorEastAsia" w:hAnsiTheme="minorHAnsi"/>
            <w:noProof/>
            <w:color w:val="auto"/>
            <w:sz w:val="22"/>
            <w:lang w:eastAsia="en-GB"/>
          </w:rPr>
          <w:tab/>
        </w:r>
        <w:r w:rsidR="00E95E1A" w:rsidRPr="005D49E8">
          <w:rPr>
            <w:rStyle w:val="Hyperlink"/>
            <w:noProof/>
          </w:rPr>
          <w:t>Size and Type of Business</w:t>
        </w:r>
        <w:r w:rsidR="00E95E1A">
          <w:rPr>
            <w:noProof/>
            <w:webHidden/>
          </w:rPr>
          <w:tab/>
        </w:r>
        <w:r w:rsidR="00781CD3">
          <w:rPr>
            <w:noProof/>
            <w:webHidden/>
          </w:rPr>
          <w:fldChar w:fldCharType="begin"/>
        </w:r>
        <w:r w:rsidR="00E95E1A">
          <w:rPr>
            <w:noProof/>
            <w:webHidden/>
          </w:rPr>
          <w:instrText xml:space="preserve"> PAGEREF _Toc395103915 \h </w:instrText>
        </w:r>
        <w:r w:rsidR="00781CD3">
          <w:rPr>
            <w:noProof/>
            <w:webHidden/>
          </w:rPr>
        </w:r>
        <w:r w:rsidR="00781CD3">
          <w:rPr>
            <w:noProof/>
            <w:webHidden/>
          </w:rPr>
          <w:fldChar w:fldCharType="separate"/>
        </w:r>
        <w:r w:rsidR="00BF1A6E">
          <w:rPr>
            <w:noProof/>
            <w:webHidden/>
          </w:rPr>
          <w:t>36</w:t>
        </w:r>
        <w:r w:rsidR="00781CD3">
          <w:rPr>
            <w:noProof/>
            <w:webHidden/>
          </w:rPr>
          <w:fldChar w:fldCharType="end"/>
        </w:r>
      </w:hyperlink>
    </w:p>
    <w:p w14:paraId="2E0F7307" w14:textId="77777777" w:rsidR="00E95E1A" w:rsidRDefault="003C1E7A">
      <w:pPr>
        <w:pStyle w:val="TOC3"/>
        <w:rPr>
          <w:rFonts w:asciiTheme="minorHAnsi" w:eastAsiaTheme="minorEastAsia" w:hAnsiTheme="minorHAnsi"/>
          <w:noProof/>
          <w:color w:val="auto"/>
          <w:sz w:val="22"/>
          <w:lang w:eastAsia="en-GB"/>
        </w:rPr>
      </w:pPr>
      <w:hyperlink w:anchor="_Toc395103916" w:history="1">
        <w:r w:rsidR="00E95E1A" w:rsidRPr="005D49E8">
          <w:rPr>
            <w:rStyle w:val="Hyperlink"/>
            <w:noProof/>
          </w:rPr>
          <w:t>3.4.</w:t>
        </w:r>
        <w:r w:rsidR="00E95E1A">
          <w:rPr>
            <w:rFonts w:asciiTheme="minorHAnsi" w:eastAsiaTheme="minorEastAsia" w:hAnsiTheme="minorHAnsi"/>
            <w:noProof/>
            <w:color w:val="auto"/>
            <w:sz w:val="22"/>
            <w:lang w:eastAsia="en-GB"/>
          </w:rPr>
          <w:tab/>
        </w:r>
        <w:r w:rsidR="00E95E1A" w:rsidRPr="005D49E8">
          <w:rPr>
            <w:rStyle w:val="Hyperlink"/>
            <w:noProof/>
          </w:rPr>
          <w:t>Supply Chain Impacts</w:t>
        </w:r>
        <w:r w:rsidR="00E95E1A">
          <w:rPr>
            <w:noProof/>
            <w:webHidden/>
          </w:rPr>
          <w:tab/>
        </w:r>
        <w:r w:rsidR="00781CD3">
          <w:rPr>
            <w:noProof/>
            <w:webHidden/>
          </w:rPr>
          <w:fldChar w:fldCharType="begin"/>
        </w:r>
        <w:r w:rsidR="00E95E1A">
          <w:rPr>
            <w:noProof/>
            <w:webHidden/>
          </w:rPr>
          <w:instrText xml:space="preserve"> PAGEREF _Toc395103916 \h </w:instrText>
        </w:r>
        <w:r w:rsidR="00781CD3">
          <w:rPr>
            <w:noProof/>
            <w:webHidden/>
          </w:rPr>
        </w:r>
        <w:r w:rsidR="00781CD3">
          <w:rPr>
            <w:noProof/>
            <w:webHidden/>
          </w:rPr>
          <w:fldChar w:fldCharType="separate"/>
        </w:r>
        <w:r w:rsidR="00BF1A6E">
          <w:rPr>
            <w:noProof/>
            <w:webHidden/>
          </w:rPr>
          <w:t>38</w:t>
        </w:r>
        <w:r w:rsidR="00781CD3">
          <w:rPr>
            <w:noProof/>
            <w:webHidden/>
          </w:rPr>
          <w:fldChar w:fldCharType="end"/>
        </w:r>
      </w:hyperlink>
    </w:p>
    <w:p w14:paraId="21BCA478" w14:textId="77777777" w:rsidR="00E95E1A" w:rsidRDefault="003C1E7A">
      <w:pPr>
        <w:pStyle w:val="TOC3"/>
        <w:rPr>
          <w:rFonts w:asciiTheme="minorHAnsi" w:eastAsiaTheme="minorEastAsia" w:hAnsiTheme="minorHAnsi"/>
          <w:noProof/>
          <w:color w:val="auto"/>
          <w:sz w:val="22"/>
          <w:lang w:eastAsia="en-GB"/>
        </w:rPr>
      </w:pPr>
      <w:hyperlink w:anchor="_Toc395103917" w:history="1">
        <w:r w:rsidR="00E95E1A" w:rsidRPr="005D49E8">
          <w:rPr>
            <w:rStyle w:val="Hyperlink"/>
            <w:noProof/>
          </w:rPr>
          <w:t>3.5.</w:t>
        </w:r>
        <w:r w:rsidR="00E95E1A">
          <w:rPr>
            <w:rFonts w:asciiTheme="minorHAnsi" w:eastAsiaTheme="minorEastAsia" w:hAnsiTheme="minorHAnsi"/>
            <w:noProof/>
            <w:color w:val="auto"/>
            <w:sz w:val="22"/>
            <w:lang w:eastAsia="en-GB"/>
          </w:rPr>
          <w:tab/>
        </w:r>
        <w:r w:rsidR="00E95E1A" w:rsidRPr="005D49E8">
          <w:rPr>
            <w:rStyle w:val="Hyperlink"/>
            <w:noProof/>
          </w:rPr>
          <w:t>Workforce &amp; Skills</w:t>
        </w:r>
        <w:r w:rsidR="00E95E1A">
          <w:rPr>
            <w:noProof/>
            <w:webHidden/>
          </w:rPr>
          <w:tab/>
        </w:r>
        <w:r w:rsidR="00781CD3">
          <w:rPr>
            <w:noProof/>
            <w:webHidden/>
          </w:rPr>
          <w:fldChar w:fldCharType="begin"/>
        </w:r>
        <w:r w:rsidR="00E95E1A">
          <w:rPr>
            <w:noProof/>
            <w:webHidden/>
          </w:rPr>
          <w:instrText xml:space="preserve"> PAGEREF _Toc395103917 \h </w:instrText>
        </w:r>
        <w:r w:rsidR="00781CD3">
          <w:rPr>
            <w:noProof/>
            <w:webHidden/>
          </w:rPr>
        </w:r>
        <w:r w:rsidR="00781CD3">
          <w:rPr>
            <w:noProof/>
            <w:webHidden/>
          </w:rPr>
          <w:fldChar w:fldCharType="separate"/>
        </w:r>
        <w:r w:rsidR="00BF1A6E">
          <w:rPr>
            <w:noProof/>
            <w:webHidden/>
          </w:rPr>
          <w:t>40</w:t>
        </w:r>
        <w:r w:rsidR="00781CD3">
          <w:rPr>
            <w:noProof/>
            <w:webHidden/>
          </w:rPr>
          <w:fldChar w:fldCharType="end"/>
        </w:r>
      </w:hyperlink>
    </w:p>
    <w:p w14:paraId="5CFE49A9" w14:textId="77777777" w:rsidR="00E95E1A" w:rsidRDefault="003C1E7A">
      <w:pPr>
        <w:pStyle w:val="TOC3"/>
        <w:rPr>
          <w:rFonts w:asciiTheme="minorHAnsi" w:eastAsiaTheme="minorEastAsia" w:hAnsiTheme="minorHAnsi"/>
          <w:noProof/>
          <w:color w:val="auto"/>
          <w:sz w:val="22"/>
          <w:lang w:eastAsia="en-GB"/>
        </w:rPr>
      </w:pPr>
      <w:hyperlink w:anchor="_Toc395103918" w:history="1">
        <w:r w:rsidR="00E95E1A" w:rsidRPr="005D49E8">
          <w:rPr>
            <w:rStyle w:val="Hyperlink"/>
            <w:noProof/>
          </w:rPr>
          <w:t>3.6.</w:t>
        </w:r>
        <w:r w:rsidR="00E95E1A">
          <w:rPr>
            <w:rFonts w:asciiTheme="minorHAnsi" w:eastAsiaTheme="minorEastAsia" w:hAnsiTheme="minorHAnsi"/>
            <w:noProof/>
            <w:color w:val="auto"/>
            <w:sz w:val="22"/>
            <w:lang w:eastAsia="en-GB"/>
          </w:rPr>
          <w:tab/>
        </w:r>
        <w:r w:rsidR="00E95E1A" w:rsidRPr="005D49E8">
          <w:rPr>
            <w:rStyle w:val="Hyperlink"/>
            <w:noProof/>
          </w:rPr>
          <w:t>Business Growth Prospects</w:t>
        </w:r>
        <w:r w:rsidR="00E95E1A">
          <w:rPr>
            <w:noProof/>
            <w:webHidden/>
          </w:rPr>
          <w:tab/>
        </w:r>
        <w:r w:rsidR="00781CD3">
          <w:rPr>
            <w:noProof/>
            <w:webHidden/>
          </w:rPr>
          <w:fldChar w:fldCharType="begin"/>
        </w:r>
        <w:r w:rsidR="00E95E1A">
          <w:rPr>
            <w:noProof/>
            <w:webHidden/>
          </w:rPr>
          <w:instrText xml:space="preserve"> PAGEREF _Toc395103918 \h </w:instrText>
        </w:r>
        <w:r w:rsidR="00781CD3">
          <w:rPr>
            <w:noProof/>
            <w:webHidden/>
          </w:rPr>
        </w:r>
        <w:r w:rsidR="00781CD3">
          <w:rPr>
            <w:noProof/>
            <w:webHidden/>
          </w:rPr>
          <w:fldChar w:fldCharType="separate"/>
        </w:r>
        <w:r w:rsidR="00BF1A6E">
          <w:rPr>
            <w:noProof/>
            <w:webHidden/>
          </w:rPr>
          <w:t>40</w:t>
        </w:r>
        <w:r w:rsidR="00781CD3">
          <w:rPr>
            <w:noProof/>
            <w:webHidden/>
          </w:rPr>
          <w:fldChar w:fldCharType="end"/>
        </w:r>
      </w:hyperlink>
    </w:p>
    <w:p w14:paraId="225CCFD5" w14:textId="77777777" w:rsidR="00E95E1A" w:rsidRDefault="003C1E7A">
      <w:pPr>
        <w:pStyle w:val="TOC3"/>
        <w:rPr>
          <w:rFonts w:asciiTheme="minorHAnsi" w:eastAsiaTheme="minorEastAsia" w:hAnsiTheme="minorHAnsi"/>
          <w:noProof/>
          <w:color w:val="auto"/>
          <w:sz w:val="22"/>
          <w:lang w:eastAsia="en-GB"/>
        </w:rPr>
      </w:pPr>
      <w:hyperlink w:anchor="_Toc395103919" w:history="1">
        <w:r w:rsidR="00E95E1A" w:rsidRPr="005D49E8">
          <w:rPr>
            <w:rStyle w:val="Hyperlink"/>
            <w:noProof/>
          </w:rPr>
          <w:t>3.7.</w:t>
        </w:r>
        <w:r w:rsidR="00E95E1A">
          <w:rPr>
            <w:rFonts w:asciiTheme="minorHAnsi" w:eastAsiaTheme="minorEastAsia" w:hAnsiTheme="minorHAnsi"/>
            <w:noProof/>
            <w:color w:val="auto"/>
            <w:sz w:val="22"/>
            <w:lang w:eastAsia="en-GB"/>
          </w:rPr>
          <w:tab/>
        </w:r>
        <w:r w:rsidR="00E95E1A" w:rsidRPr="005D49E8">
          <w:rPr>
            <w:rStyle w:val="Hyperlink"/>
            <w:noProof/>
          </w:rPr>
          <w:t>Location Decision</w:t>
        </w:r>
        <w:r w:rsidR="00E95E1A">
          <w:rPr>
            <w:noProof/>
            <w:webHidden/>
          </w:rPr>
          <w:tab/>
        </w:r>
        <w:r w:rsidR="00781CD3">
          <w:rPr>
            <w:noProof/>
            <w:webHidden/>
          </w:rPr>
          <w:fldChar w:fldCharType="begin"/>
        </w:r>
        <w:r w:rsidR="00E95E1A">
          <w:rPr>
            <w:noProof/>
            <w:webHidden/>
          </w:rPr>
          <w:instrText xml:space="preserve"> PAGEREF _Toc395103919 \h </w:instrText>
        </w:r>
        <w:r w:rsidR="00781CD3">
          <w:rPr>
            <w:noProof/>
            <w:webHidden/>
          </w:rPr>
        </w:r>
        <w:r w:rsidR="00781CD3">
          <w:rPr>
            <w:noProof/>
            <w:webHidden/>
          </w:rPr>
          <w:fldChar w:fldCharType="separate"/>
        </w:r>
        <w:r w:rsidR="00BF1A6E">
          <w:rPr>
            <w:noProof/>
            <w:webHidden/>
          </w:rPr>
          <w:t>42</w:t>
        </w:r>
        <w:r w:rsidR="00781CD3">
          <w:rPr>
            <w:noProof/>
            <w:webHidden/>
          </w:rPr>
          <w:fldChar w:fldCharType="end"/>
        </w:r>
      </w:hyperlink>
    </w:p>
    <w:p w14:paraId="5D9DE662" w14:textId="77777777" w:rsidR="00E95E1A" w:rsidRDefault="003C1E7A">
      <w:pPr>
        <w:pStyle w:val="TOC6"/>
        <w:rPr>
          <w:rFonts w:asciiTheme="minorHAnsi" w:eastAsiaTheme="minorEastAsia" w:hAnsiTheme="minorHAnsi"/>
          <w:b w:val="0"/>
          <w:noProof/>
          <w:color w:val="auto"/>
          <w:lang w:eastAsia="en-GB"/>
        </w:rPr>
      </w:pPr>
      <w:hyperlink w:anchor="_Toc395103920" w:history="1">
        <w:r w:rsidR="00E95E1A" w:rsidRPr="005D49E8">
          <w:rPr>
            <w:rStyle w:val="Hyperlink"/>
            <w:noProof/>
          </w:rPr>
          <w:t>Port &amp; Logistics</w:t>
        </w:r>
        <w:r w:rsidR="00E95E1A">
          <w:rPr>
            <w:noProof/>
            <w:webHidden/>
          </w:rPr>
          <w:tab/>
        </w:r>
        <w:r w:rsidR="00781CD3">
          <w:rPr>
            <w:noProof/>
            <w:webHidden/>
          </w:rPr>
          <w:fldChar w:fldCharType="begin"/>
        </w:r>
        <w:r w:rsidR="00E95E1A">
          <w:rPr>
            <w:noProof/>
            <w:webHidden/>
          </w:rPr>
          <w:instrText xml:space="preserve"> PAGEREF _Toc395103920 \h </w:instrText>
        </w:r>
        <w:r w:rsidR="00781CD3">
          <w:rPr>
            <w:noProof/>
            <w:webHidden/>
          </w:rPr>
        </w:r>
        <w:r w:rsidR="00781CD3">
          <w:rPr>
            <w:noProof/>
            <w:webHidden/>
          </w:rPr>
          <w:fldChar w:fldCharType="separate"/>
        </w:r>
        <w:r w:rsidR="00BF1A6E">
          <w:rPr>
            <w:noProof/>
            <w:webHidden/>
          </w:rPr>
          <w:t>46</w:t>
        </w:r>
        <w:r w:rsidR="00781CD3">
          <w:rPr>
            <w:noProof/>
            <w:webHidden/>
          </w:rPr>
          <w:fldChar w:fldCharType="end"/>
        </w:r>
      </w:hyperlink>
    </w:p>
    <w:p w14:paraId="0D9C2CCC" w14:textId="77777777" w:rsidR="00E95E1A" w:rsidRDefault="003C1E7A">
      <w:pPr>
        <w:pStyle w:val="TOC1"/>
        <w:rPr>
          <w:rFonts w:asciiTheme="minorHAnsi" w:eastAsiaTheme="minorEastAsia" w:hAnsiTheme="minorHAnsi"/>
          <w:b w:val="0"/>
          <w:noProof/>
          <w:color w:val="auto"/>
          <w:sz w:val="22"/>
          <w:lang w:eastAsia="en-GB"/>
        </w:rPr>
      </w:pPr>
      <w:hyperlink w:anchor="_Toc395103921" w:history="1">
        <w:r w:rsidR="00E95E1A" w:rsidRPr="005D49E8">
          <w:rPr>
            <w:rStyle w:val="Hyperlink"/>
            <w:noProof/>
          </w:rPr>
          <w:t>4.</w:t>
        </w:r>
        <w:r w:rsidR="00E95E1A">
          <w:rPr>
            <w:rFonts w:asciiTheme="minorHAnsi" w:eastAsiaTheme="minorEastAsia" w:hAnsiTheme="minorHAnsi"/>
            <w:b w:val="0"/>
            <w:noProof/>
            <w:color w:val="auto"/>
            <w:sz w:val="22"/>
            <w:lang w:eastAsia="en-GB"/>
          </w:rPr>
          <w:tab/>
        </w:r>
        <w:r w:rsidR="00E95E1A" w:rsidRPr="005D49E8">
          <w:rPr>
            <w:rStyle w:val="Hyperlink"/>
            <w:noProof/>
          </w:rPr>
          <w:t>Ports &amp; Logistics</w:t>
        </w:r>
        <w:r w:rsidR="00E95E1A">
          <w:rPr>
            <w:noProof/>
            <w:webHidden/>
          </w:rPr>
          <w:tab/>
        </w:r>
        <w:r w:rsidR="00781CD3">
          <w:rPr>
            <w:noProof/>
            <w:webHidden/>
          </w:rPr>
          <w:fldChar w:fldCharType="begin"/>
        </w:r>
        <w:r w:rsidR="00E95E1A">
          <w:rPr>
            <w:noProof/>
            <w:webHidden/>
          </w:rPr>
          <w:instrText xml:space="preserve"> PAGEREF _Toc395103921 \h </w:instrText>
        </w:r>
        <w:r w:rsidR="00781CD3">
          <w:rPr>
            <w:noProof/>
            <w:webHidden/>
          </w:rPr>
        </w:r>
        <w:r w:rsidR="00781CD3">
          <w:rPr>
            <w:noProof/>
            <w:webHidden/>
          </w:rPr>
          <w:fldChar w:fldCharType="separate"/>
        </w:r>
        <w:r w:rsidR="00BF1A6E">
          <w:rPr>
            <w:noProof/>
            <w:webHidden/>
          </w:rPr>
          <w:t>47</w:t>
        </w:r>
        <w:r w:rsidR="00781CD3">
          <w:rPr>
            <w:noProof/>
            <w:webHidden/>
          </w:rPr>
          <w:fldChar w:fldCharType="end"/>
        </w:r>
      </w:hyperlink>
    </w:p>
    <w:p w14:paraId="3B6F56DE" w14:textId="77777777" w:rsidR="00E95E1A" w:rsidRDefault="003C1E7A">
      <w:pPr>
        <w:pStyle w:val="TOC6"/>
        <w:rPr>
          <w:rFonts w:asciiTheme="minorHAnsi" w:eastAsiaTheme="minorEastAsia" w:hAnsiTheme="minorHAnsi"/>
          <w:b w:val="0"/>
          <w:noProof/>
          <w:color w:val="auto"/>
          <w:lang w:eastAsia="en-GB"/>
        </w:rPr>
      </w:pPr>
      <w:hyperlink w:anchor="_Toc395103922" w:history="1">
        <w:r w:rsidR="00E95E1A" w:rsidRPr="005D49E8">
          <w:rPr>
            <w:rStyle w:val="Hyperlink"/>
            <w:noProof/>
          </w:rPr>
          <w:t>Food Processing</w:t>
        </w:r>
        <w:r w:rsidR="00E95E1A">
          <w:rPr>
            <w:noProof/>
            <w:webHidden/>
          </w:rPr>
          <w:tab/>
        </w:r>
        <w:r w:rsidR="00781CD3">
          <w:rPr>
            <w:noProof/>
            <w:webHidden/>
          </w:rPr>
          <w:fldChar w:fldCharType="begin"/>
        </w:r>
        <w:r w:rsidR="00E95E1A">
          <w:rPr>
            <w:noProof/>
            <w:webHidden/>
          </w:rPr>
          <w:instrText xml:space="preserve"> PAGEREF _Toc395103922 \h </w:instrText>
        </w:r>
        <w:r w:rsidR="00781CD3">
          <w:rPr>
            <w:noProof/>
            <w:webHidden/>
          </w:rPr>
        </w:r>
        <w:r w:rsidR="00781CD3">
          <w:rPr>
            <w:noProof/>
            <w:webHidden/>
          </w:rPr>
          <w:fldChar w:fldCharType="separate"/>
        </w:r>
        <w:r w:rsidR="00BF1A6E">
          <w:rPr>
            <w:noProof/>
            <w:webHidden/>
          </w:rPr>
          <w:t>56</w:t>
        </w:r>
        <w:r w:rsidR="00781CD3">
          <w:rPr>
            <w:noProof/>
            <w:webHidden/>
          </w:rPr>
          <w:fldChar w:fldCharType="end"/>
        </w:r>
      </w:hyperlink>
    </w:p>
    <w:p w14:paraId="39644470" w14:textId="77777777" w:rsidR="00E95E1A" w:rsidRDefault="003C1E7A">
      <w:pPr>
        <w:pStyle w:val="TOC1"/>
        <w:rPr>
          <w:rFonts w:asciiTheme="minorHAnsi" w:eastAsiaTheme="minorEastAsia" w:hAnsiTheme="minorHAnsi"/>
          <w:b w:val="0"/>
          <w:noProof/>
          <w:color w:val="auto"/>
          <w:sz w:val="22"/>
          <w:lang w:eastAsia="en-GB"/>
        </w:rPr>
      </w:pPr>
      <w:hyperlink w:anchor="_Toc395103923" w:history="1">
        <w:r w:rsidR="00E95E1A" w:rsidRPr="005D49E8">
          <w:rPr>
            <w:rStyle w:val="Hyperlink"/>
            <w:noProof/>
          </w:rPr>
          <w:t>5.</w:t>
        </w:r>
        <w:r w:rsidR="00E95E1A">
          <w:rPr>
            <w:rFonts w:asciiTheme="minorHAnsi" w:eastAsiaTheme="minorEastAsia" w:hAnsiTheme="minorHAnsi"/>
            <w:b w:val="0"/>
            <w:noProof/>
            <w:color w:val="auto"/>
            <w:sz w:val="22"/>
            <w:lang w:eastAsia="en-GB"/>
          </w:rPr>
          <w:tab/>
        </w:r>
        <w:r w:rsidR="00E95E1A" w:rsidRPr="005D49E8">
          <w:rPr>
            <w:rStyle w:val="Hyperlink"/>
            <w:noProof/>
          </w:rPr>
          <w:t>Food Processing</w:t>
        </w:r>
        <w:r w:rsidR="00E95E1A">
          <w:rPr>
            <w:noProof/>
            <w:webHidden/>
          </w:rPr>
          <w:tab/>
        </w:r>
        <w:r w:rsidR="00781CD3">
          <w:rPr>
            <w:noProof/>
            <w:webHidden/>
          </w:rPr>
          <w:fldChar w:fldCharType="begin"/>
        </w:r>
        <w:r w:rsidR="00E95E1A">
          <w:rPr>
            <w:noProof/>
            <w:webHidden/>
          </w:rPr>
          <w:instrText xml:space="preserve"> PAGEREF _Toc395103923 \h </w:instrText>
        </w:r>
        <w:r w:rsidR="00781CD3">
          <w:rPr>
            <w:noProof/>
            <w:webHidden/>
          </w:rPr>
        </w:r>
        <w:r w:rsidR="00781CD3">
          <w:rPr>
            <w:noProof/>
            <w:webHidden/>
          </w:rPr>
          <w:fldChar w:fldCharType="separate"/>
        </w:r>
        <w:r w:rsidR="00BF1A6E">
          <w:rPr>
            <w:noProof/>
            <w:webHidden/>
          </w:rPr>
          <w:t>57</w:t>
        </w:r>
        <w:r w:rsidR="00781CD3">
          <w:rPr>
            <w:noProof/>
            <w:webHidden/>
          </w:rPr>
          <w:fldChar w:fldCharType="end"/>
        </w:r>
      </w:hyperlink>
    </w:p>
    <w:p w14:paraId="56A24298" w14:textId="77777777" w:rsidR="00E95E1A" w:rsidRDefault="003C1E7A">
      <w:pPr>
        <w:pStyle w:val="TOC6"/>
        <w:rPr>
          <w:rFonts w:asciiTheme="minorHAnsi" w:eastAsiaTheme="minorEastAsia" w:hAnsiTheme="minorHAnsi"/>
          <w:b w:val="0"/>
          <w:noProof/>
          <w:color w:val="auto"/>
          <w:lang w:eastAsia="en-GB"/>
        </w:rPr>
      </w:pPr>
      <w:hyperlink w:anchor="_Toc395103924" w:history="1">
        <w:r w:rsidR="00E95E1A" w:rsidRPr="005D49E8">
          <w:rPr>
            <w:rStyle w:val="Hyperlink"/>
            <w:noProof/>
          </w:rPr>
          <w:t>Chemicals and Process Industries</w:t>
        </w:r>
        <w:r w:rsidR="00E95E1A">
          <w:rPr>
            <w:noProof/>
            <w:webHidden/>
          </w:rPr>
          <w:tab/>
        </w:r>
        <w:r w:rsidR="00781CD3">
          <w:rPr>
            <w:noProof/>
            <w:webHidden/>
          </w:rPr>
          <w:fldChar w:fldCharType="begin"/>
        </w:r>
        <w:r w:rsidR="00E95E1A">
          <w:rPr>
            <w:noProof/>
            <w:webHidden/>
          </w:rPr>
          <w:instrText xml:space="preserve"> PAGEREF _Toc395103924 \h </w:instrText>
        </w:r>
        <w:r w:rsidR="00781CD3">
          <w:rPr>
            <w:noProof/>
            <w:webHidden/>
          </w:rPr>
        </w:r>
        <w:r w:rsidR="00781CD3">
          <w:rPr>
            <w:noProof/>
            <w:webHidden/>
          </w:rPr>
          <w:fldChar w:fldCharType="separate"/>
        </w:r>
        <w:r w:rsidR="00BF1A6E">
          <w:rPr>
            <w:noProof/>
            <w:webHidden/>
          </w:rPr>
          <w:t>67</w:t>
        </w:r>
        <w:r w:rsidR="00781CD3">
          <w:rPr>
            <w:noProof/>
            <w:webHidden/>
          </w:rPr>
          <w:fldChar w:fldCharType="end"/>
        </w:r>
      </w:hyperlink>
    </w:p>
    <w:p w14:paraId="29E1AD1E" w14:textId="77777777" w:rsidR="00E95E1A" w:rsidRDefault="003C1E7A">
      <w:pPr>
        <w:pStyle w:val="TOC1"/>
        <w:rPr>
          <w:rFonts w:asciiTheme="minorHAnsi" w:eastAsiaTheme="minorEastAsia" w:hAnsiTheme="minorHAnsi"/>
          <w:b w:val="0"/>
          <w:noProof/>
          <w:color w:val="auto"/>
          <w:sz w:val="22"/>
          <w:lang w:eastAsia="en-GB"/>
        </w:rPr>
      </w:pPr>
      <w:hyperlink w:anchor="_Toc395103925" w:history="1">
        <w:r w:rsidR="00E95E1A" w:rsidRPr="005D49E8">
          <w:rPr>
            <w:rStyle w:val="Hyperlink"/>
            <w:noProof/>
          </w:rPr>
          <w:t>6.</w:t>
        </w:r>
        <w:r w:rsidR="00E95E1A">
          <w:rPr>
            <w:rFonts w:asciiTheme="minorHAnsi" w:eastAsiaTheme="minorEastAsia" w:hAnsiTheme="minorHAnsi"/>
            <w:b w:val="0"/>
            <w:noProof/>
            <w:color w:val="auto"/>
            <w:sz w:val="22"/>
            <w:lang w:eastAsia="en-GB"/>
          </w:rPr>
          <w:tab/>
        </w:r>
        <w:r w:rsidR="00E95E1A" w:rsidRPr="005D49E8">
          <w:rPr>
            <w:rStyle w:val="Hyperlink"/>
            <w:noProof/>
          </w:rPr>
          <w:t>Chemicals and Process Industries</w:t>
        </w:r>
        <w:r w:rsidR="00E95E1A">
          <w:rPr>
            <w:noProof/>
            <w:webHidden/>
          </w:rPr>
          <w:tab/>
        </w:r>
        <w:r w:rsidR="00781CD3">
          <w:rPr>
            <w:noProof/>
            <w:webHidden/>
          </w:rPr>
          <w:fldChar w:fldCharType="begin"/>
        </w:r>
        <w:r w:rsidR="00E95E1A">
          <w:rPr>
            <w:noProof/>
            <w:webHidden/>
          </w:rPr>
          <w:instrText xml:space="preserve"> PAGEREF _Toc395103925 \h </w:instrText>
        </w:r>
        <w:r w:rsidR="00781CD3">
          <w:rPr>
            <w:noProof/>
            <w:webHidden/>
          </w:rPr>
        </w:r>
        <w:r w:rsidR="00781CD3">
          <w:rPr>
            <w:noProof/>
            <w:webHidden/>
          </w:rPr>
          <w:fldChar w:fldCharType="separate"/>
        </w:r>
        <w:r w:rsidR="00BF1A6E">
          <w:rPr>
            <w:noProof/>
            <w:webHidden/>
          </w:rPr>
          <w:t>68</w:t>
        </w:r>
        <w:r w:rsidR="00781CD3">
          <w:rPr>
            <w:noProof/>
            <w:webHidden/>
          </w:rPr>
          <w:fldChar w:fldCharType="end"/>
        </w:r>
      </w:hyperlink>
    </w:p>
    <w:p w14:paraId="51BB20F4" w14:textId="77777777" w:rsidR="00E95E1A" w:rsidRDefault="003C1E7A">
      <w:pPr>
        <w:pStyle w:val="TOC6"/>
        <w:rPr>
          <w:rFonts w:asciiTheme="minorHAnsi" w:eastAsiaTheme="minorEastAsia" w:hAnsiTheme="minorHAnsi"/>
          <w:b w:val="0"/>
          <w:noProof/>
          <w:color w:val="auto"/>
          <w:lang w:eastAsia="en-GB"/>
        </w:rPr>
      </w:pPr>
      <w:hyperlink w:anchor="_Toc395103926" w:history="1">
        <w:r w:rsidR="00E95E1A" w:rsidRPr="005D49E8">
          <w:rPr>
            <w:rStyle w:val="Hyperlink"/>
            <w:noProof/>
          </w:rPr>
          <w:t>Renewables &amp; Energy</w:t>
        </w:r>
        <w:r w:rsidR="00E95E1A">
          <w:rPr>
            <w:noProof/>
            <w:webHidden/>
          </w:rPr>
          <w:tab/>
        </w:r>
        <w:r w:rsidR="00781CD3">
          <w:rPr>
            <w:noProof/>
            <w:webHidden/>
          </w:rPr>
          <w:fldChar w:fldCharType="begin"/>
        </w:r>
        <w:r w:rsidR="00E95E1A">
          <w:rPr>
            <w:noProof/>
            <w:webHidden/>
          </w:rPr>
          <w:instrText xml:space="preserve"> PAGEREF _Toc395103926 \h </w:instrText>
        </w:r>
        <w:r w:rsidR="00781CD3">
          <w:rPr>
            <w:noProof/>
            <w:webHidden/>
          </w:rPr>
        </w:r>
        <w:r w:rsidR="00781CD3">
          <w:rPr>
            <w:noProof/>
            <w:webHidden/>
          </w:rPr>
          <w:fldChar w:fldCharType="separate"/>
        </w:r>
        <w:r w:rsidR="00BF1A6E">
          <w:rPr>
            <w:noProof/>
            <w:webHidden/>
          </w:rPr>
          <w:t>76</w:t>
        </w:r>
        <w:r w:rsidR="00781CD3">
          <w:rPr>
            <w:noProof/>
            <w:webHidden/>
          </w:rPr>
          <w:fldChar w:fldCharType="end"/>
        </w:r>
      </w:hyperlink>
    </w:p>
    <w:p w14:paraId="12EC0E4E" w14:textId="77777777" w:rsidR="00E95E1A" w:rsidRDefault="003C1E7A">
      <w:pPr>
        <w:pStyle w:val="TOC1"/>
        <w:rPr>
          <w:rFonts w:asciiTheme="minorHAnsi" w:eastAsiaTheme="minorEastAsia" w:hAnsiTheme="minorHAnsi"/>
          <w:b w:val="0"/>
          <w:noProof/>
          <w:color w:val="auto"/>
          <w:sz w:val="22"/>
          <w:lang w:eastAsia="en-GB"/>
        </w:rPr>
      </w:pPr>
      <w:hyperlink w:anchor="_Toc395103927" w:history="1">
        <w:r w:rsidR="00E95E1A" w:rsidRPr="005D49E8">
          <w:rPr>
            <w:rStyle w:val="Hyperlink"/>
            <w:noProof/>
          </w:rPr>
          <w:t>7.</w:t>
        </w:r>
        <w:r w:rsidR="00E95E1A">
          <w:rPr>
            <w:rFonts w:asciiTheme="minorHAnsi" w:eastAsiaTheme="minorEastAsia" w:hAnsiTheme="minorHAnsi"/>
            <w:b w:val="0"/>
            <w:noProof/>
            <w:color w:val="auto"/>
            <w:sz w:val="22"/>
            <w:lang w:eastAsia="en-GB"/>
          </w:rPr>
          <w:tab/>
        </w:r>
        <w:r w:rsidR="00E95E1A" w:rsidRPr="005D49E8">
          <w:rPr>
            <w:rStyle w:val="Hyperlink"/>
            <w:noProof/>
          </w:rPr>
          <w:t>Renewables &amp; Energy</w:t>
        </w:r>
        <w:r w:rsidR="00E95E1A">
          <w:rPr>
            <w:noProof/>
            <w:webHidden/>
          </w:rPr>
          <w:tab/>
        </w:r>
        <w:r w:rsidR="00781CD3">
          <w:rPr>
            <w:noProof/>
            <w:webHidden/>
          </w:rPr>
          <w:fldChar w:fldCharType="begin"/>
        </w:r>
        <w:r w:rsidR="00E95E1A">
          <w:rPr>
            <w:noProof/>
            <w:webHidden/>
          </w:rPr>
          <w:instrText xml:space="preserve"> PAGEREF _Toc395103927 \h </w:instrText>
        </w:r>
        <w:r w:rsidR="00781CD3">
          <w:rPr>
            <w:noProof/>
            <w:webHidden/>
          </w:rPr>
        </w:r>
        <w:r w:rsidR="00781CD3">
          <w:rPr>
            <w:noProof/>
            <w:webHidden/>
          </w:rPr>
          <w:fldChar w:fldCharType="separate"/>
        </w:r>
        <w:r w:rsidR="00BF1A6E">
          <w:rPr>
            <w:noProof/>
            <w:webHidden/>
          </w:rPr>
          <w:t>77</w:t>
        </w:r>
        <w:r w:rsidR="00781CD3">
          <w:rPr>
            <w:noProof/>
            <w:webHidden/>
          </w:rPr>
          <w:fldChar w:fldCharType="end"/>
        </w:r>
      </w:hyperlink>
    </w:p>
    <w:p w14:paraId="04ED7BC4" w14:textId="77777777" w:rsidR="00E95E1A" w:rsidRDefault="003C1E7A">
      <w:pPr>
        <w:pStyle w:val="TOC6"/>
        <w:rPr>
          <w:rFonts w:asciiTheme="minorHAnsi" w:eastAsiaTheme="minorEastAsia" w:hAnsiTheme="minorHAnsi"/>
          <w:b w:val="0"/>
          <w:noProof/>
          <w:color w:val="auto"/>
          <w:lang w:eastAsia="en-GB"/>
        </w:rPr>
      </w:pPr>
      <w:hyperlink w:anchor="_Toc395103928" w:history="1">
        <w:r w:rsidR="00E95E1A" w:rsidRPr="005D49E8">
          <w:rPr>
            <w:rStyle w:val="Hyperlink"/>
            <w:noProof/>
          </w:rPr>
          <w:t>Visitor Economy, Services &amp; Retail</w:t>
        </w:r>
        <w:r w:rsidR="00E95E1A">
          <w:rPr>
            <w:noProof/>
            <w:webHidden/>
          </w:rPr>
          <w:tab/>
        </w:r>
        <w:r w:rsidR="00781CD3">
          <w:rPr>
            <w:noProof/>
            <w:webHidden/>
          </w:rPr>
          <w:fldChar w:fldCharType="begin"/>
        </w:r>
        <w:r w:rsidR="00E95E1A">
          <w:rPr>
            <w:noProof/>
            <w:webHidden/>
          </w:rPr>
          <w:instrText xml:space="preserve"> PAGEREF _Toc395103928 \h </w:instrText>
        </w:r>
        <w:r w:rsidR="00781CD3">
          <w:rPr>
            <w:noProof/>
            <w:webHidden/>
          </w:rPr>
        </w:r>
        <w:r w:rsidR="00781CD3">
          <w:rPr>
            <w:noProof/>
            <w:webHidden/>
          </w:rPr>
          <w:fldChar w:fldCharType="separate"/>
        </w:r>
        <w:r w:rsidR="00BF1A6E">
          <w:rPr>
            <w:noProof/>
            <w:webHidden/>
          </w:rPr>
          <w:t>89</w:t>
        </w:r>
        <w:r w:rsidR="00781CD3">
          <w:rPr>
            <w:noProof/>
            <w:webHidden/>
          </w:rPr>
          <w:fldChar w:fldCharType="end"/>
        </w:r>
      </w:hyperlink>
    </w:p>
    <w:p w14:paraId="25B1AEE0" w14:textId="77777777" w:rsidR="00E95E1A" w:rsidRDefault="003C1E7A">
      <w:pPr>
        <w:pStyle w:val="TOC1"/>
        <w:rPr>
          <w:rFonts w:asciiTheme="minorHAnsi" w:eastAsiaTheme="minorEastAsia" w:hAnsiTheme="minorHAnsi"/>
          <w:b w:val="0"/>
          <w:noProof/>
          <w:color w:val="auto"/>
          <w:sz w:val="22"/>
          <w:lang w:eastAsia="en-GB"/>
        </w:rPr>
      </w:pPr>
      <w:hyperlink w:anchor="_Toc395103929" w:history="1">
        <w:r w:rsidR="00E95E1A" w:rsidRPr="005D49E8">
          <w:rPr>
            <w:rStyle w:val="Hyperlink"/>
            <w:noProof/>
          </w:rPr>
          <w:t>8.</w:t>
        </w:r>
        <w:r w:rsidR="00E95E1A">
          <w:rPr>
            <w:rFonts w:asciiTheme="minorHAnsi" w:eastAsiaTheme="minorEastAsia" w:hAnsiTheme="minorHAnsi"/>
            <w:b w:val="0"/>
            <w:noProof/>
            <w:color w:val="auto"/>
            <w:sz w:val="22"/>
            <w:lang w:eastAsia="en-GB"/>
          </w:rPr>
          <w:tab/>
        </w:r>
        <w:r w:rsidR="00E95E1A" w:rsidRPr="005D49E8">
          <w:rPr>
            <w:rStyle w:val="Hyperlink"/>
            <w:noProof/>
          </w:rPr>
          <w:t>Visitor Economy, Services &amp; Retail</w:t>
        </w:r>
        <w:r w:rsidR="00E95E1A">
          <w:rPr>
            <w:noProof/>
            <w:webHidden/>
          </w:rPr>
          <w:tab/>
        </w:r>
        <w:r w:rsidR="00781CD3">
          <w:rPr>
            <w:noProof/>
            <w:webHidden/>
          </w:rPr>
          <w:fldChar w:fldCharType="begin"/>
        </w:r>
        <w:r w:rsidR="00E95E1A">
          <w:rPr>
            <w:noProof/>
            <w:webHidden/>
          </w:rPr>
          <w:instrText xml:space="preserve"> PAGEREF _Toc395103929 \h </w:instrText>
        </w:r>
        <w:r w:rsidR="00781CD3">
          <w:rPr>
            <w:noProof/>
            <w:webHidden/>
          </w:rPr>
        </w:r>
        <w:r w:rsidR="00781CD3">
          <w:rPr>
            <w:noProof/>
            <w:webHidden/>
          </w:rPr>
          <w:fldChar w:fldCharType="separate"/>
        </w:r>
        <w:r w:rsidR="00BF1A6E">
          <w:rPr>
            <w:noProof/>
            <w:webHidden/>
          </w:rPr>
          <w:t>90</w:t>
        </w:r>
        <w:r w:rsidR="00781CD3">
          <w:rPr>
            <w:noProof/>
            <w:webHidden/>
          </w:rPr>
          <w:fldChar w:fldCharType="end"/>
        </w:r>
      </w:hyperlink>
    </w:p>
    <w:p w14:paraId="2C8E8258" w14:textId="77777777" w:rsidR="00E95E1A" w:rsidRDefault="003C1E7A">
      <w:pPr>
        <w:pStyle w:val="TOC3"/>
        <w:rPr>
          <w:rFonts w:asciiTheme="minorHAnsi" w:eastAsiaTheme="minorEastAsia" w:hAnsiTheme="minorHAnsi"/>
          <w:noProof/>
          <w:color w:val="auto"/>
          <w:sz w:val="22"/>
          <w:lang w:eastAsia="en-GB"/>
        </w:rPr>
      </w:pPr>
      <w:hyperlink w:anchor="_Toc395103930" w:history="1">
        <w:r w:rsidR="00E95E1A" w:rsidRPr="005D49E8">
          <w:rPr>
            <w:rStyle w:val="Hyperlink"/>
            <w:noProof/>
          </w:rPr>
          <w:t>8.1.</w:t>
        </w:r>
        <w:r w:rsidR="00E95E1A">
          <w:rPr>
            <w:rFonts w:asciiTheme="minorHAnsi" w:eastAsiaTheme="minorEastAsia" w:hAnsiTheme="minorHAnsi"/>
            <w:noProof/>
            <w:color w:val="auto"/>
            <w:sz w:val="22"/>
            <w:lang w:eastAsia="en-GB"/>
          </w:rPr>
          <w:tab/>
        </w:r>
        <w:r w:rsidR="00E95E1A" w:rsidRPr="005D49E8">
          <w:rPr>
            <w:rStyle w:val="Hyperlink"/>
            <w:noProof/>
          </w:rPr>
          <w:t>Context</w:t>
        </w:r>
        <w:r w:rsidR="00E95E1A">
          <w:rPr>
            <w:noProof/>
            <w:webHidden/>
          </w:rPr>
          <w:tab/>
        </w:r>
        <w:r w:rsidR="00781CD3">
          <w:rPr>
            <w:noProof/>
            <w:webHidden/>
          </w:rPr>
          <w:fldChar w:fldCharType="begin"/>
        </w:r>
        <w:r w:rsidR="00E95E1A">
          <w:rPr>
            <w:noProof/>
            <w:webHidden/>
          </w:rPr>
          <w:instrText xml:space="preserve"> PAGEREF _Toc395103930 \h </w:instrText>
        </w:r>
        <w:r w:rsidR="00781CD3">
          <w:rPr>
            <w:noProof/>
            <w:webHidden/>
          </w:rPr>
        </w:r>
        <w:r w:rsidR="00781CD3">
          <w:rPr>
            <w:noProof/>
            <w:webHidden/>
          </w:rPr>
          <w:fldChar w:fldCharType="separate"/>
        </w:r>
        <w:r w:rsidR="00BF1A6E">
          <w:rPr>
            <w:noProof/>
            <w:webHidden/>
          </w:rPr>
          <w:t>90</w:t>
        </w:r>
        <w:r w:rsidR="00781CD3">
          <w:rPr>
            <w:noProof/>
            <w:webHidden/>
          </w:rPr>
          <w:fldChar w:fldCharType="end"/>
        </w:r>
      </w:hyperlink>
    </w:p>
    <w:p w14:paraId="722B41EF" w14:textId="77777777" w:rsidR="00E95E1A" w:rsidRDefault="003C1E7A">
      <w:pPr>
        <w:pStyle w:val="TOC6"/>
        <w:rPr>
          <w:rFonts w:asciiTheme="minorHAnsi" w:eastAsiaTheme="minorEastAsia" w:hAnsiTheme="minorHAnsi"/>
          <w:b w:val="0"/>
          <w:noProof/>
          <w:color w:val="auto"/>
          <w:lang w:eastAsia="en-GB"/>
        </w:rPr>
      </w:pPr>
      <w:hyperlink w:anchor="_Toc395103931" w:history="1">
        <w:r w:rsidR="00E95E1A" w:rsidRPr="005D49E8">
          <w:rPr>
            <w:rStyle w:val="Hyperlink"/>
            <w:noProof/>
          </w:rPr>
          <w:t>Summary &amp; Conclusions</w:t>
        </w:r>
        <w:r w:rsidR="00E95E1A">
          <w:rPr>
            <w:noProof/>
            <w:webHidden/>
          </w:rPr>
          <w:tab/>
        </w:r>
        <w:r w:rsidR="00781CD3">
          <w:rPr>
            <w:noProof/>
            <w:webHidden/>
          </w:rPr>
          <w:fldChar w:fldCharType="begin"/>
        </w:r>
        <w:r w:rsidR="00E95E1A">
          <w:rPr>
            <w:noProof/>
            <w:webHidden/>
          </w:rPr>
          <w:instrText xml:space="preserve"> PAGEREF _Toc395103931 \h </w:instrText>
        </w:r>
        <w:r w:rsidR="00781CD3">
          <w:rPr>
            <w:noProof/>
            <w:webHidden/>
          </w:rPr>
        </w:r>
        <w:r w:rsidR="00781CD3">
          <w:rPr>
            <w:noProof/>
            <w:webHidden/>
          </w:rPr>
          <w:fldChar w:fldCharType="separate"/>
        </w:r>
        <w:r w:rsidR="00BF1A6E">
          <w:rPr>
            <w:noProof/>
            <w:webHidden/>
          </w:rPr>
          <w:t>97</w:t>
        </w:r>
        <w:r w:rsidR="00781CD3">
          <w:rPr>
            <w:noProof/>
            <w:webHidden/>
          </w:rPr>
          <w:fldChar w:fldCharType="end"/>
        </w:r>
      </w:hyperlink>
    </w:p>
    <w:p w14:paraId="008D511C" w14:textId="77777777" w:rsidR="00E95E1A" w:rsidRDefault="003C1E7A">
      <w:pPr>
        <w:pStyle w:val="TOC1"/>
        <w:rPr>
          <w:rFonts w:asciiTheme="minorHAnsi" w:eastAsiaTheme="minorEastAsia" w:hAnsiTheme="minorHAnsi"/>
          <w:b w:val="0"/>
          <w:noProof/>
          <w:color w:val="auto"/>
          <w:sz w:val="22"/>
          <w:lang w:eastAsia="en-GB"/>
        </w:rPr>
      </w:pPr>
      <w:hyperlink w:anchor="_Toc395103933" w:history="1">
        <w:r w:rsidR="00E95E1A" w:rsidRPr="005D49E8">
          <w:rPr>
            <w:rStyle w:val="Hyperlink"/>
            <w:noProof/>
          </w:rPr>
          <w:t>9.</w:t>
        </w:r>
        <w:r w:rsidR="00E95E1A">
          <w:rPr>
            <w:rFonts w:asciiTheme="minorHAnsi" w:eastAsiaTheme="minorEastAsia" w:hAnsiTheme="minorHAnsi"/>
            <w:b w:val="0"/>
            <w:noProof/>
            <w:color w:val="auto"/>
            <w:sz w:val="22"/>
            <w:lang w:eastAsia="en-GB"/>
          </w:rPr>
          <w:tab/>
        </w:r>
        <w:r w:rsidR="00E95E1A" w:rsidRPr="005D49E8">
          <w:rPr>
            <w:rStyle w:val="Hyperlink"/>
            <w:noProof/>
          </w:rPr>
          <w:t>Summary &amp; Conclusions</w:t>
        </w:r>
        <w:r w:rsidR="00E95E1A">
          <w:rPr>
            <w:noProof/>
            <w:webHidden/>
          </w:rPr>
          <w:tab/>
        </w:r>
        <w:r w:rsidR="00781CD3">
          <w:rPr>
            <w:noProof/>
            <w:webHidden/>
          </w:rPr>
          <w:fldChar w:fldCharType="begin"/>
        </w:r>
        <w:r w:rsidR="00E95E1A">
          <w:rPr>
            <w:noProof/>
            <w:webHidden/>
          </w:rPr>
          <w:instrText xml:space="preserve"> PAGEREF _Toc395103933 \h </w:instrText>
        </w:r>
        <w:r w:rsidR="00781CD3">
          <w:rPr>
            <w:noProof/>
            <w:webHidden/>
          </w:rPr>
        </w:r>
        <w:r w:rsidR="00781CD3">
          <w:rPr>
            <w:noProof/>
            <w:webHidden/>
          </w:rPr>
          <w:fldChar w:fldCharType="separate"/>
        </w:r>
        <w:r w:rsidR="00BF1A6E">
          <w:rPr>
            <w:noProof/>
            <w:webHidden/>
          </w:rPr>
          <w:t>99</w:t>
        </w:r>
        <w:r w:rsidR="00781CD3">
          <w:rPr>
            <w:noProof/>
            <w:webHidden/>
          </w:rPr>
          <w:fldChar w:fldCharType="end"/>
        </w:r>
      </w:hyperlink>
    </w:p>
    <w:p w14:paraId="486D4636" w14:textId="77777777" w:rsidR="00E95E1A" w:rsidRDefault="003C1E7A">
      <w:pPr>
        <w:pStyle w:val="TOC3"/>
        <w:rPr>
          <w:rFonts w:asciiTheme="minorHAnsi" w:eastAsiaTheme="minorEastAsia" w:hAnsiTheme="minorHAnsi"/>
          <w:noProof/>
          <w:color w:val="auto"/>
          <w:sz w:val="22"/>
          <w:lang w:eastAsia="en-GB"/>
        </w:rPr>
      </w:pPr>
      <w:hyperlink w:anchor="_Toc395103934" w:history="1">
        <w:r w:rsidR="00E95E1A" w:rsidRPr="005D49E8">
          <w:rPr>
            <w:rStyle w:val="Hyperlink"/>
            <w:noProof/>
          </w:rPr>
          <w:t>9.1.</w:t>
        </w:r>
        <w:r w:rsidR="00E95E1A">
          <w:rPr>
            <w:rFonts w:asciiTheme="minorHAnsi" w:eastAsiaTheme="minorEastAsia" w:hAnsiTheme="minorHAnsi"/>
            <w:noProof/>
            <w:color w:val="auto"/>
            <w:sz w:val="22"/>
            <w:lang w:eastAsia="en-GB"/>
          </w:rPr>
          <w:tab/>
        </w:r>
        <w:r w:rsidR="00E95E1A" w:rsidRPr="005D49E8">
          <w:rPr>
            <w:rStyle w:val="Hyperlink"/>
            <w:noProof/>
          </w:rPr>
          <w:t>The Key Sectors</w:t>
        </w:r>
        <w:r w:rsidR="00E95E1A">
          <w:rPr>
            <w:noProof/>
            <w:webHidden/>
          </w:rPr>
          <w:tab/>
        </w:r>
        <w:r w:rsidR="00781CD3">
          <w:rPr>
            <w:noProof/>
            <w:webHidden/>
          </w:rPr>
          <w:fldChar w:fldCharType="begin"/>
        </w:r>
        <w:r w:rsidR="00E95E1A">
          <w:rPr>
            <w:noProof/>
            <w:webHidden/>
          </w:rPr>
          <w:instrText xml:space="preserve"> PAGEREF _Toc395103934 \h </w:instrText>
        </w:r>
        <w:r w:rsidR="00781CD3">
          <w:rPr>
            <w:noProof/>
            <w:webHidden/>
          </w:rPr>
        </w:r>
        <w:r w:rsidR="00781CD3">
          <w:rPr>
            <w:noProof/>
            <w:webHidden/>
          </w:rPr>
          <w:fldChar w:fldCharType="separate"/>
        </w:r>
        <w:r w:rsidR="00BF1A6E">
          <w:rPr>
            <w:noProof/>
            <w:webHidden/>
          </w:rPr>
          <w:t>99</w:t>
        </w:r>
        <w:r w:rsidR="00781CD3">
          <w:rPr>
            <w:noProof/>
            <w:webHidden/>
          </w:rPr>
          <w:fldChar w:fldCharType="end"/>
        </w:r>
      </w:hyperlink>
    </w:p>
    <w:p w14:paraId="232B5173" w14:textId="77777777" w:rsidR="00E95E1A" w:rsidRDefault="003C1E7A">
      <w:pPr>
        <w:pStyle w:val="TOC3"/>
        <w:rPr>
          <w:rFonts w:asciiTheme="minorHAnsi" w:eastAsiaTheme="minorEastAsia" w:hAnsiTheme="minorHAnsi"/>
          <w:noProof/>
          <w:color w:val="auto"/>
          <w:sz w:val="22"/>
          <w:lang w:eastAsia="en-GB"/>
        </w:rPr>
      </w:pPr>
      <w:hyperlink w:anchor="_Toc395103935" w:history="1">
        <w:r w:rsidR="00E95E1A" w:rsidRPr="005D49E8">
          <w:rPr>
            <w:rStyle w:val="Hyperlink"/>
            <w:noProof/>
          </w:rPr>
          <w:t>9.2.</w:t>
        </w:r>
        <w:r w:rsidR="00E95E1A">
          <w:rPr>
            <w:rFonts w:asciiTheme="minorHAnsi" w:eastAsiaTheme="minorEastAsia" w:hAnsiTheme="minorHAnsi"/>
            <w:noProof/>
            <w:color w:val="auto"/>
            <w:sz w:val="22"/>
            <w:lang w:eastAsia="en-GB"/>
          </w:rPr>
          <w:tab/>
        </w:r>
        <w:r w:rsidR="00E95E1A" w:rsidRPr="005D49E8">
          <w:rPr>
            <w:rStyle w:val="Hyperlink"/>
            <w:noProof/>
          </w:rPr>
          <w:t>Determining Factors of Future Growth</w:t>
        </w:r>
        <w:r w:rsidR="00E95E1A">
          <w:rPr>
            <w:noProof/>
            <w:webHidden/>
          </w:rPr>
          <w:tab/>
        </w:r>
        <w:r w:rsidR="00781CD3">
          <w:rPr>
            <w:noProof/>
            <w:webHidden/>
          </w:rPr>
          <w:fldChar w:fldCharType="begin"/>
        </w:r>
        <w:r w:rsidR="00E95E1A">
          <w:rPr>
            <w:noProof/>
            <w:webHidden/>
          </w:rPr>
          <w:instrText xml:space="preserve"> PAGEREF _Toc395103935 \h </w:instrText>
        </w:r>
        <w:r w:rsidR="00781CD3">
          <w:rPr>
            <w:noProof/>
            <w:webHidden/>
          </w:rPr>
        </w:r>
        <w:r w:rsidR="00781CD3">
          <w:rPr>
            <w:noProof/>
            <w:webHidden/>
          </w:rPr>
          <w:fldChar w:fldCharType="separate"/>
        </w:r>
        <w:r w:rsidR="00BF1A6E">
          <w:rPr>
            <w:noProof/>
            <w:webHidden/>
          </w:rPr>
          <w:t>99</w:t>
        </w:r>
        <w:r w:rsidR="00781CD3">
          <w:rPr>
            <w:noProof/>
            <w:webHidden/>
          </w:rPr>
          <w:fldChar w:fldCharType="end"/>
        </w:r>
      </w:hyperlink>
    </w:p>
    <w:p w14:paraId="4FE060D3" w14:textId="77777777" w:rsidR="00E95E1A" w:rsidRDefault="003C1E7A">
      <w:pPr>
        <w:pStyle w:val="TOC3"/>
        <w:rPr>
          <w:rFonts w:asciiTheme="minorHAnsi" w:eastAsiaTheme="minorEastAsia" w:hAnsiTheme="minorHAnsi"/>
          <w:noProof/>
          <w:color w:val="auto"/>
          <w:sz w:val="22"/>
          <w:lang w:eastAsia="en-GB"/>
        </w:rPr>
      </w:pPr>
      <w:hyperlink w:anchor="_Toc395103936" w:history="1">
        <w:r w:rsidR="00E95E1A" w:rsidRPr="005D49E8">
          <w:rPr>
            <w:rStyle w:val="Hyperlink"/>
            <w:noProof/>
          </w:rPr>
          <w:t>9.3.</w:t>
        </w:r>
        <w:r w:rsidR="00E95E1A">
          <w:rPr>
            <w:rFonts w:asciiTheme="minorHAnsi" w:eastAsiaTheme="minorEastAsia" w:hAnsiTheme="minorHAnsi"/>
            <w:noProof/>
            <w:color w:val="auto"/>
            <w:sz w:val="22"/>
            <w:lang w:eastAsia="en-GB"/>
          </w:rPr>
          <w:tab/>
        </w:r>
        <w:r w:rsidR="00E95E1A" w:rsidRPr="005D49E8">
          <w:rPr>
            <w:rStyle w:val="Hyperlink"/>
            <w:noProof/>
          </w:rPr>
          <w:t>Recommendations for Action</w:t>
        </w:r>
        <w:r w:rsidR="00E95E1A">
          <w:rPr>
            <w:noProof/>
            <w:webHidden/>
          </w:rPr>
          <w:tab/>
        </w:r>
        <w:r w:rsidR="00781CD3">
          <w:rPr>
            <w:noProof/>
            <w:webHidden/>
          </w:rPr>
          <w:fldChar w:fldCharType="begin"/>
        </w:r>
        <w:r w:rsidR="00E95E1A">
          <w:rPr>
            <w:noProof/>
            <w:webHidden/>
          </w:rPr>
          <w:instrText xml:space="preserve"> PAGEREF _Toc395103936 \h </w:instrText>
        </w:r>
        <w:r w:rsidR="00781CD3">
          <w:rPr>
            <w:noProof/>
            <w:webHidden/>
          </w:rPr>
        </w:r>
        <w:r w:rsidR="00781CD3">
          <w:rPr>
            <w:noProof/>
            <w:webHidden/>
          </w:rPr>
          <w:fldChar w:fldCharType="separate"/>
        </w:r>
        <w:r w:rsidR="00BF1A6E">
          <w:rPr>
            <w:noProof/>
            <w:webHidden/>
          </w:rPr>
          <w:t>100</w:t>
        </w:r>
        <w:r w:rsidR="00781CD3">
          <w:rPr>
            <w:noProof/>
            <w:webHidden/>
          </w:rPr>
          <w:fldChar w:fldCharType="end"/>
        </w:r>
      </w:hyperlink>
    </w:p>
    <w:p w14:paraId="6DEF5365" w14:textId="77777777" w:rsidR="00E95E1A" w:rsidRDefault="003C1E7A">
      <w:pPr>
        <w:pStyle w:val="TOC1"/>
        <w:rPr>
          <w:rFonts w:asciiTheme="minorHAnsi" w:eastAsiaTheme="minorEastAsia" w:hAnsiTheme="minorHAnsi"/>
          <w:b w:val="0"/>
          <w:noProof/>
          <w:color w:val="auto"/>
          <w:sz w:val="22"/>
          <w:lang w:eastAsia="en-GB"/>
        </w:rPr>
      </w:pPr>
      <w:hyperlink w:anchor="_Toc395103937" w:history="1">
        <w:r w:rsidR="00E95E1A" w:rsidRPr="005D49E8">
          <w:rPr>
            <w:rStyle w:val="Hyperlink"/>
            <w:noProof/>
          </w:rPr>
          <w:t>Appendix A.</w:t>
        </w:r>
        <w:r w:rsidR="00E95E1A">
          <w:rPr>
            <w:rFonts w:asciiTheme="minorHAnsi" w:eastAsiaTheme="minorEastAsia" w:hAnsiTheme="minorHAnsi"/>
            <w:b w:val="0"/>
            <w:noProof/>
            <w:color w:val="auto"/>
            <w:sz w:val="22"/>
            <w:lang w:eastAsia="en-GB"/>
          </w:rPr>
          <w:tab/>
        </w:r>
        <w:r w:rsidR="00E95E1A" w:rsidRPr="005D49E8">
          <w:rPr>
            <w:rStyle w:val="Hyperlink"/>
            <w:noProof/>
          </w:rPr>
          <w:t>Location Quotient Analysis</w:t>
        </w:r>
        <w:r w:rsidR="00E95E1A">
          <w:rPr>
            <w:noProof/>
            <w:webHidden/>
          </w:rPr>
          <w:tab/>
        </w:r>
        <w:r w:rsidR="00781CD3">
          <w:rPr>
            <w:noProof/>
            <w:webHidden/>
          </w:rPr>
          <w:fldChar w:fldCharType="begin"/>
        </w:r>
        <w:r w:rsidR="00E95E1A">
          <w:rPr>
            <w:noProof/>
            <w:webHidden/>
          </w:rPr>
          <w:instrText xml:space="preserve"> PAGEREF _Toc395103937 \h </w:instrText>
        </w:r>
        <w:r w:rsidR="00781CD3">
          <w:rPr>
            <w:noProof/>
            <w:webHidden/>
          </w:rPr>
        </w:r>
        <w:r w:rsidR="00781CD3">
          <w:rPr>
            <w:noProof/>
            <w:webHidden/>
          </w:rPr>
          <w:fldChar w:fldCharType="separate"/>
        </w:r>
        <w:r w:rsidR="00BF1A6E">
          <w:rPr>
            <w:noProof/>
            <w:webHidden/>
          </w:rPr>
          <w:t>102</w:t>
        </w:r>
        <w:r w:rsidR="00781CD3">
          <w:rPr>
            <w:noProof/>
            <w:webHidden/>
          </w:rPr>
          <w:fldChar w:fldCharType="end"/>
        </w:r>
      </w:hyperlink>
    </w:p>
    <w:p w14:paraId="115F343E" w14:textId="77777777" w:rsidR="00E95E1A" w:rsidRDefault="003C1E7A">
      <w:pPr>
        <w:pStyle w:val="TOC1"/>
        <w:rPr>
          <w:rFonts w:asciiTheme="minorHAnsi" w:eastAsiaTheme="minorEastAsia" w:hAnsiTheme="minorHAnsi"/>
          <w:b w:val="0"/>
          <w:noProof/>
          <w:color w:val="auto"/>
          <w:sz w:val="22"/>
          <w:lang w:eastAsia="en-GB"/>
        </w:rPr>
      </w:pPr>
      <w:hyperlink w:anchor="_Toc395103938" w:history="1">
        <w:r w:rsidR="00E95E1A" w:rsidRPr="005D49E8">
          <w:rPr>
            <w:rStyle w:val="Hyperlink"/>
            <w:noProof/>
          </w:rPr>
          <w:t>Appendix B.</w:t>
        </w:r>
        <w:r w:rsidR="00E95E1A">
          <w:rPr>
            <w:rFonts w:asciiTheme="minorHAnsi" w:eastAsiaTheme="minorEastAsia" w:hAnsiTheme="minorHAnsi"/>
            <w:b w:val="0"/>
            <w:noProof/>
            <w:color w:val="auto"/>
            <w:sz w:val="22"/>
            <w:lang w:eastAsia="en-GB"/>
          </w:rPr>
          <w:tab/>
        </w:r>
        <w:r w:rsidR="00E95E1A" w:rsidRPr="005D49E8">
          <w:rPr>
            <w:rStyle w:val="Hyperlink"/>
            <w:noProof/>
          </w:rPr>
          <w:t>Economic &amp; Business Survey Analysis</w:t>
        </w:r>
        <w:r w:rsidR="00E95E1A">
          <w:rPr>
            <w:noProof/>
            <w:webHidden/>
          </w:rPr>
          <w:tab/>
        </w:r>
        <w:r w:rsidR="00781CD3">
          <w:rPr>
            <w:noProof/>
            <w:webHidden/>
          </w:rPr>
          <w:fldChar w:fldCharType="begin"/>
        </w:r>
        <w:r w:rsidR="00E95E1A">
          <w:rPr>
            <w:noProof/>
            <w:webHidden/>
          </w:rPr>
          <w:instrText xml:space="preserve"> PAGEREF _Toc395103938 \h </w:instrText>
        </w:r>
        <w:r w:rsidR="00781CD3">
          <w:rPr>
            <w:noProof/>
            <w:webHidden/>
          </w:rPr>
        </w:r>
        <w:r w:rsidR="00781CD3">
          <w:rPr>
            <w:noProof/>
            <w:webHidden/>
          </w:rPr>
          <w:fldChar w:fldCharType="separate"/>
        </w:r>
        <w:r w:rsidR="00BF1A6E">
          <w:rPr>
            <w:noProof/>
            <w:webHidden/>
          </w:rPr>
          <w:t>103</w:t>
        </w:r>
        <w:r w:rsidR="00781CD3">
          <w:rPr>
            <w:noProof/>
            <w:webHidden/>
          </w:rPr>
          <w:fldChar w:fldCharType="end"/>
        </w:r>
      </w:hyperlink>
    </w:p>
    <w:p w14:paraId="0C63ED64" w14:textId="77777777" w:rsidR="00E95E1A" w:rsidRDefault="003C1E7A">
      <w:pPr>
        <w:pStyle w:val="TOC3"/>
        <w:rPr>
          <w:rFonts w:asciiTheme="minorHAnsi" w:eastAsiaTheme="minorEastAsia" w:hAnsiTheme="minorHAnsi"/>
          <w:noProof/>
          <w:color w:val="auto"/>
          <w:sz w:val="22"/>
          <w:lang w:eastAsia="en-GB"/>
        </w:rPr>
      </w:pPr>
      <w:hyperlink w:anchor="_Toc395103939" w:history="1">
        <w:r w:rsidR="00E95E1A" w:rsidRPr="005D49E8">
          <w:rPr>
            <w:rStyle w:val="Hyperlink"/>
            <w:noProof/>
          </w:rPr>
          <w:t>B.2.</w:t>
        </w:r>
        <w:r w:rsidR="00E95E1A">
          <w:rPr>
            <w:rFonts w:asciiTheme="minorHAnsi" w:eastAsiaTheme="minorEastAsia" w:hAnsiTheme="minorHAnsi"/>
            <w:noProof/>
            <w:color w:val="auto"/>
            <w:sz w:val="22"/>
            <w:lang w:eastAsia="en-GB"/>
          </w:rPr>
          <w:tab/>
        </w:r>
        <w:r w:rsidR="00E95E1A" w:rsidRPr="005D49E8">
          <w:rPr>
            <w:rStyle w:val="Hyperlink"/>
            <w:noProof/>
          </w:rPr>
          <w:t>Size of sectors</w:t>
        </w:r>
        <w:r w:rsidR="00E95E1A">
          <w:rPr>
            <w:noProof/>
            <w:webHidden/>
          </w:rPr>
          <w:tab/>
        </w:r>
        <w:r w:rsidR="00781CD3">
          <w:rPr>
            <w:noProof/>
            <w:webHidden/>
          </w:rPr>
          <w:fldChar w:fldCharType="begin"/>
        </w:r>
        <w:r w:rsidR="00E95E1A">
          <w:rPr>
            <w:noProof/>
            <w:webHidden/>
          </w:rPr>
          <w:instrText xml:space="preserve"> PAGEREF _Toc395103939 \h </w:instrText>
        </w:r>
        <w:r w:rsidR="00781CD3">
          <w:rPr>
            <w:noProof/>
            <w:webHidden/>
          </w:rPr>
        </w:r>
        <w:r w:rsidR="00781CD3">
          <w:rPr>
            <w:noProof/>
            <w:webHidden/>
          </w:rPr>
          <w:fldChar w:fldCharType="separate"/>
        </w:r>
        <w:r w:rsidR="00BF1A6E">
          <w:rPr>
            <w:noProof/>
            <w:webHidden/>
          </w:rPr>
          <w:t>105</w:t>
        </w:r>
        <w:r w:rsidR="00781CD3">
          <w:rPr>
            <w:noProof/>
            <w:webHidden/>
          </w:rPr>
          <w:fldChar w:fldCharType="end"/>
        </w:r>
      </w:hyperlink>
    </w:p>
    <w:p w14:paraId="7096D803" w14:textId="77777777" w:rsidR="00E95E1A" w:rsidRDefault="003C1E7A">
      <w:pPr>
        <w:pStyle w:val="TOC3"/>
        <w:rPr>
          <w:rFonts w:asciiTheme="minorHAnsi" w:eastAsiaTheme="minorEastAsia" w:hAnsiTheme="minorHAnsi"/>
          <w:noProof/>
          <w:color w:val="auto"/>
          <w:sz w:val="22"/>
          <w:lang w:eastAsia="en-GB"/>
        </w:rPr>
      </w:pPr>
      <w:hyperlink w:anchor="_Toc395103940" w:history="1">
        <w:r w:rsidR="00E95E1A" w:rsidRPr="005D49E8">
          <w:rPr>
            <w:rStyle w:val="Hyperlink"/>
            <w:noProof/>
          </w:rPr>
          <w:t>B.3.</w:t>
        </w:r>
        <w:r w:rsidR="00E95E1A">
          <w:rPr>
            <w:rFonts w:asciiTheme="minorHAnsi" w:eastAsiaTheme="minorEastAsia" w:hAnsiTheme="minorHAnsi"/>
            <w:noProof/>
            <w:color w:val="auto"/>
            <w:sz w:val="22"/>
            <w:lang w:eastAsia="en-GB"/>
          </w:rPr>
          <w:tab/>
        </w:r>
        <w:r w:rsidR="00E95E1A" w:rsidRPr="005D49E8">
          <w:rPr>
            <w:rStyle w:val="Hyperlink"/>
            <w:noProof/>
          </w:rPr>
          <w:t>Gross Value Added (GVA)</w:t>
        </w:r>
        <w:r w:rsidR="00E95E1A">
          <w:rPr>
            <w:noProof/>
            <w:webHidden/>
          </w:rPr>
          <w:tab/>
        </w:r>
        <w:r w:rsidR="00781CD3">
          <w:rPr>
            <w:noProof/>
            <w:webHidden/>
          </w:rPr>
          <w:fldChar w:fldCharType="begin"/>
        </w:r>
        <w:r w:rsidR="00E95E1A">
          <w:rPr>
            <w:noProof/>
            <w:webHidden/>
          </w:rPr>
          <w:instrText xml:space="preserve"> PAGEREF _Toc395103940 \h </w:instrText>
        </w:r>
        <w:r w:rsidR="00781CD3">
          <w:rPr>
            <w:noProof/>
            <w:webHidden/>
          </w:rPr>
        </w:r>
        <w:r w:rsidR="00781CD3">
          <w:rPr>
            <w:noProof/>
            <w:webHidden/>
          </w:rPr>
          <w:fldChar w:fldCharType="separate"/>
        </w:r>
        <w:r w:rsidR="00BF1A6E">
          <w:rPr>
            <w:noProof/>
            <w:webHidden/>
          </w:rPr>
          <w:t>107</w:t>
        </w:r>
        <w:r w:rsidR="00781CD3">
          <w:rPr>
            <w:noProof/>
            <w:webHidden/>
          </w:rPr>
          <w:fldChar w:fldCharType="end"/>
        </w:r>
      </w:hyperlink>
    </w:p>
    <w:p w14:paraId="65E9DE41" w14:textId="77777777" w:rsidR="00E95E1A" w:rsidRDefault="003C1E7A">
      <w:pPr>
        <w:pStyle w:val="TOC3"/>
        <w:rPr>
          <w:rFonts w:asciiTheme="minorHAnsi" w:eastAsiaTheme="minorEastAsia" w:hAnsiTheme="minorHAnsi"/>
          <w:noProof/>
          <w:color w:val="auto"/>
          <w:sz w:val="22"/>
          <w:lang w:eastAsia="en-GB"/>
        </w:rPr>
      </w:pPr>
      <w:hyperlink w:anchor="_Toc395103941" w:history="1">
        <w:r w:rsidR="00E95E1A" w:rsidRPr="005D49E8">
          <w:rPr>
            <w:rStyle w:val="Hyperlink"/>
            <w:noProof/>
          </w:rPr>
          <w:t>B.4.</w:t>
        </w:r>
        <w:r w:rsidR="00E95E1A">
          <w:rPr>
            <w:rFonts w:asciiTheme="minorHAnsi" w:eastAsiaTheme="minorEastAsia" w:hAnsiTheme="minorHAnsi"/>
            <w:noProof/>
            <w:color w:val="auto"/>
            <w:sz w:val="22"/>
            <w:lang w:eastAsia="en-GB"/>
          </w:rPr>
          <w:tab/>
        </w:r>
        <w:r w:rsidR="00E95E1A" w:rsidRPr="005D49E8">
          <w:rPr>
            <w:rStyle w:val="Hyperlink"/>
            <w:noProof/>
          </w:rPr>
          <w:t>Employment impact</w:t>
        </w:r>
        <w:r w:rsidR="00E95E1A">
          <w:rPr>
            <w:noProof/>
            <w:webHidden/>
          </w:rPr>
          <w:tab/>
        </w:r>
        <w:r w:rsidR="00781CD3">
          <w:rPr>
            <w:noProof/>
            <w:webHidden/>
          </w:rPr>
          <w:fldChar w:fldCharType="begin"/>
        </w:r>
        <w:r w:rsidR="00E95E1A">
          <w:rPr>
            <w:noProof/>
            <w:webHidden/>
          </w:rPr>
          <w:instrText xml:space="preserve"> PAGEREF _Toc395103941 \h </w:instrText>
        </w:r>
        <w:r w:rsidR="00781CD3">
          <w:rPr>
            <w:noProof/>
            <w:webHidden/>
          </w:rPr>
        </w:r>
        <w:r w:rsidR="00781CD3">
          <w:rPr>
            <w:noProof/>
            <w:webHidden/>
          </w:rPr>
          <w:fldChar w:fldCharType="separate"/>
        </w:r>
        <w:r w:rsidR="00BF1A6E">
          <w:rPr>
            <w:noProof/>
            <w:webHidden/>
          </w:rPr>
          <w:t>107</w:t>
        </w:r>
        <w:r w:rsidR="00781CD3">
          <w:rPr>
            <w:noProof/>
            <w:webHidden/>
          </w:rPr>
          <w:fldChar w:fldCharType="end"/>
        </w:r>
      </w:hyperlink>
    </w:p>
    <w:p w14:paraId="5800447F" w14:textId="77777777" w:rsidR="00E95E1A" w:rsidRDefault="003C1E7A">
      <w:pPr>
        <w:pStyle w:val="TOC3"/>
        <w:rPr>
          <w:rFonts w:asciiTheme="minorHAnsi" w:eastAsiaTheme="minorEastAsia" w:hAnsiTheme="minorHAnsi"/>
          <w:noProof/>
          <w:color w:val="auto"/>
          <w:sz w:val="22"/>
          <w:lang w:eastAsia="en-GB"/>
        </w:rPr>
      </w:pPr>
      <w:hyperlink w:anchor="_Toc395103942" w:history="1">
        <w:r w:rsidR="00E95E1A" w:rsidRPr="005D49E8">
          <w:rPr>
            <w:rStyle w:val="Hyperlink"/>
            <w:noProof/>
          </w:rPr>
          <w:t>B.5.</w:t>
        </w:r>
        <w:r w:rsidR="00E95E1A">
          <w:rPr>
            <w:rFonts w:asciiTheme="minorHAnsi" w:eastAsiaTheme="minorEastAsia" w:hAnsiTheme="minorHAnsi"/>
            <w:noProof/>
            <w:color w:val="auto"/>
            <w:sz w:val="22"/>
            <w:lang w:eastAsia="en-GB"/>
          </w:rPr>
          <w:tab/>
        </w:r>
        <w:r w:rsidR="00E95E1A" w:rsidRPr="005D49E8">
          <w:rPr>
            <w:rStyle w:val="Hyperlink"/>
            <w:noProof/>
          </w:rPr>
          <w:t>Induced Employment</w:t>
        </w:r>
        <w:r w:rsidR="00E95E1A">
          <w:rPr>
            <w:noProof/>
            <w:webHidden/>
          </w:rPr>
          <w:tab/>
        </w:r>
        <w:r w:rsidR="00781CD3">
          <w:rPr>
            <w:noProof/>
            <w:webHidden/>
          </w:rPr>
          <w:fldChar w:fldCharType="begin"/>
        </w:r>
        <w:r w:rsidR="00E95E1A">
          <w:rPr>
            <w:noProof/>
            <w:webHidden/>
          </w:rPr>
          <w:instrText xml:space="preserve"> PAGEREF _Toc395103942 \h </w:instrText>
        </w:r>
        <w:r w:rsidR="00781CD3">
          <w:rPr>
            <w:noProof/>
            <w:webHidden/>
          </w:rPr>
        </w:r>
        <w:r w:rsidR="00781CD3">
          <w:rPr>
            <w:noProof/>
            <w:webHidden/>
          </w:rPr>
          <w:fldChar w:fldCharType="separate"/>
        </w:r>
        <w:r w:rsidR="00BF1A6E">
          <w:rPr>
            <w:noProof/>
            <w:webHidden/>
          </w:rPr>
          <w:t>109</w:t>
        </w:r>
        <w:r w:rsidR="00781CD3">
          <w:rPr>
            <w:noProof/>
            <w:webHidden/>
          </w:rPr>
          <w:fldChar w:fldCharType="end"/>
        </w:r>
      </w:hyperlink>
    </w:p>
    <w:p w14:paraId="1D5090A9" w14:textId="77777777" w:rsidR="00E95E1A" w:rsidRDefault="003C1E7A">
      <w:pPr>
        <w:pStyle w:val="TOC3"/>
        <w:rPr>
          <w:rFonts w:asciiTheme="minorHAnsi" w:eastAsiaTheme="minorEastAsia" w:hAnsiTheme="minorHAnsi"/>
          <w:noProof/>
          <w:color w:val="auto"/>
          <w:sz w:val="22"/>
          <w:lang w:eastAsia="en-GB"/>
        </w:rPr>
      </w:pPr>
      <w:hyperlink w:anchor="_Toc395103943" w:history="1">
        <w:r w:rsidR="00E95E1A" w:rsidRPr="005D49E8">
          <w:rPr>
            <w:rStyle w:val="Hyperlink"/>
            <w:noProof/>
          </w:rPr>
          <w:t>B.6.</w:t>
        </w:r>
        <w:r w:rsidR="00E95E1A">
          <w:rPr>
            <w:rFonts w:asciiTheme="minorHAnsi" w:eastAsiaTheme="minorEastAsia" w:hAnsiTheme="minorHAnsi"/>
            <w:noProof/>
            <w:color w:val="auto"/>
            <w:sz w:val="22"/>
            <w:lang w:eastAsia="en-GB"/>
          </w:rPr>
          <w:tab/>
        </w:r>
        <w:r w:rsidR="00E95E1A" w:rsidRPr="005D49E8">
          <w:rPr>
            <w:rStyle w:val="Hyperlink"/>
            <w:noProof/>
          </w:rPr>
          <w:t>Contribution to National Exchequer</w:t>
        </w:r>
        <w:r w:rsidR="00E95E1A">
          <w:rPr>
            <w:noProof/>
            <w:webHidden/>
          </w:rPr>
          <w:tab/>
        </w:r>
        <w:r w:rsidR="00781CD3">
          <w:rPr>
            <w:noProof/>
            <w:webHidden/>
          </w:rPr>
          <w:fldChar w:fldCharType="begin"/>
        </w:r>
        <w:r w:rsidR="00E95E1A">
          <w:rPr>
            <w:noProof/>
            <w:webHidden/>
          </w:rPr>
          <w:instrText xml:space="preserve"> PAGEREF _Toc395103943 \h </w:instrText>
        </w:r>
        <w:r w:rsidR="00781CD3">
          <w:rPr>
            <w:noProof/>
            <w:webHidden/>
          </w:rPr>
        </w:r>
        <w:r w:rsidR="00781CD3">
          <w:rPr>
            <w:noProof/>
            <w:webHidden/>
          </w:rPr>
          <w:fldChar w:fldCharType="separate"/>
        </w:r>
        <w:r w:rsidR="00BF1A6E">
          <w:rPr>
            <w:noProof/>
            <w:webHidden/>
          </w:rPr>
          <w:t>111</w:t>
        </w:r>
        <w:r w:rsidR="00781CD3">
          <w:rPr>
            <w:noProof/>
            <w:webHidden/>
          </w:rPr>
          <w:fldChar w:fldCharType="end"/>
        </w:r>
      </w:hyperlink>
    </w:p>
    <w:p w14:paraId="36CA52AD" w14:textId="77777777" w:rsidR="00E95E1A" w:rsidRDefault="003C1E7A">
      <w:pPr>
        <w:pStyle w:val="TOC3"/>
        <w:rPr>
          <w:rFonts w:asciiTheme="minorHAnsi" w:eastAsiaTheme="minorEastAsia" w:hAnsiTheme="minorHAnsi"/>
          <w:noProof/>
          <w:color w:val="auto"/>
          <w:sz w:val="22"/>
          <w:lang w:eastAsia="en-GB"/>
        </w:rPr>
      </w:pPr>
      <w:hyperlink w:anchor="_Toc395103944" w:history="1">
        <w:r w:rsidR="00E95E1A" w:rsidRPr="005D49E8">
          <w:rPr>
            <w:rStyle w:val="Hyperlink"/>
            <w:noProof/>
          </w:rPr>
          <w:t>B.7.</w:t>
        </w:r>
        <w:r w:rsidR="00E95E1A">
          <w:rPr>
            <w:rFonts w:asciiTheme="minorHAnsi" w:eastAsiaTheme="minorEastAsia" w:hAnsiTheme="minorHAnsi"/>
            <w:noProof/>
            <w:color w:val="auto"/>
            <w:sz w:val="22"/>
            <w:lang w:eastAsia="en-GB"/>
          </w:rPr>
          <w:tab/>
        </w:r>
        <w:r w:rsidR="00E95E1A" w:rsidRPr="005D49E8">
          <w:rPr>
            <w:rStyle w:val="Hyperlink"/>
            <w:noProof/>
          </w:rPr>
          <w:t>Summary of key qualitative business survey outputs</w:t>
        </w:r>
        <w:r w:rsidR="00E95E1A">
          <w:rPr>
            <w:noProof/>
            <w:webHidden/>
          </w:rPr>
          <w:tab/>
        </w:r>
        <w:r w:rsidR="00781CD3">
          <w:rPr>
            <w:noProof/>
            <w:webHidden/>
          </w:rPr>
          <w:fldChar w:fldCharType="begin"/>
        </w:r>
        <w:r w:rsidR="00E95E1A">
          <w:rPr>
            <w:noProof/>
            <w:webHidden/>
          </w:rPr>
          <w:instrText xml:space="preserve"> PAGEREF _Toc395103944 \h </w:instrText>
        </w:r>
        <w:r w:rsidR="00781CD3">
          <w:rPr>
            <w:noProof/>
            <w:webHidden/>
          </w:rPr>
        </w:r>
        <w:r w:rsidR="00781CD3">
          <w:rPr>
            <w:noProof/>
            <w:webHidden/>
          </w:rPr>
          <w:fldChar w:fldCharType="separate"/>
        </w:r>
        <w:r w:rsidR="00BF1A6E">
          <w:rPr>
            <w:noProof/>
            <w:webHidden/>
          </w:rPr>
          <w:t>112</w:t>
        </w:r>
        <w:r w:rsidR="00781CD3">
          <w:rPr>
            <w:noProof/>
            <w:webHidden/>
          </w:rPr>
          <w:fldChar w:fldCharType="end"/>
        </w:r>
      </w:hyperlink>
    </w:p>
    <w:p w14:paraId="0AD281EE" w14:textId="77777777" w:rsidR="00E95E1A" w:rsidRDefault="003C1E7A">
      <w:pPr>
        <w:pStyle w:val="TOC1"/>
        <w:rPr>
          <w:rFonts w:asciiTheme="minorHAnsi" w:eastAsiaTheme="minorEastAsia" w:hAnsiTheme="minorHAnsi"/>
          <w:b w:val="0"/>
          <w:noProof/>
          <w:color w:val="auto"/>
          <w:sz w:val="22"/>
          <w:lang w:eastAsia="en-GB"/>
        </w:rPr>
      </w:pPr>
      <w:hyperlink w:anchor="_Toc395103945" w:history="1">
        <w:r w:rsidR="00E95E1A" w:rsidRPr="005D49E8">
          <w:rPr>
            <w:rStyle w:val="Hyperlink"/>
            <w:noProof/>
          </w:rPr>
          <w:t>Appendix C.</w:t>
        </w:r>
        <w:r w:rsidR="00E95E1A">
          <w:rPr>
            <w:rFonts w:asciiTheme="minorHAnsi" w:eastAsiaTheme="minorEastAsia" w:hAnsiTheme="minorHAnsi"/>
            <w:b w:val="0"/>
            <w:noProof/>
            <w:color w:val="auto"/>
            <w:sz w:val="22"/>
            <w:lang w:eastAsia="en-GB"/>
          </w:rPr>
          <w:tab/>
        </w:r>
        <w:r w:rsidR="00E95E1A" w:rsidRPr="005D49E8">
          <w:rPr>
            <w:rStyle w:val="Hyperlink"/>
            <w:noProof/>
          </w:rPr>
          <w:t>Stakeholder &amp; Business Consultation List</w:t>
        </w:r>
        <w:r w:rsidR="00E95E1A">
          <w:rPr>
            <w:noProof/>
            <w:webHidden/>
          </w:rPr>
          <w:tab/>
        </w:r>
        <w:r w:rsidR="00781CD3">
          <w:rPr>
            <w:noProof/>
            <w:webHidden/>
          </w:rPr>
          <w:fldChar w:fldCharType="begin"/>
        </w:r>
        <w:r w:rsidR="00E95E1A">
          <w:rPr>
            <w:noProof/>
            <w:webHidden/>
          </w:rPr>
          <w:instrText xml:space="preserve"> PAGEREF _Toc395103945 \h </w:instrText>
        </w:r>
        <w:r w:rsidR="00781CD3">
          <w:rPr>
            <w:noProof/>
            <w:webHidden/>
          </w:rPr>
        </w:r>
        <w:r w:rsidR="00781CD3">
          <w:rPr>
            <w:noProof/>
            <w:webHidden/>
          </w:rPr>
          <w:fldChar w:fldCharType="separate"/>
        </w:r>
        <w:r w:rsidR="00BF1A6E">
          <w:rPr>
            <w:noProof/>
            <w:webHidden/>
          </w:rPr>
          <w:t>121</w:t>
        </w:r>
        <w:r w:rsidR="00781CD3">
          <w:rPr>
            <w:noProof/>
            <w:webHidden/>
          </w:rPr>
          <w:fldChar w:fldCharType="end"/>
        </w:r>
      </w:hyperlink>
    </w:p>
    <w:p w14:paraId="48CF3B16" w14:textId="77777777" w:rsidR="006E74EA" w:rsidRDefault="00781CD3" w:rsidP="00C93734">
      <w:pPr>
        <w:pStyle w:val="NormalNoSpace"/>
        <w:jc w:val="both"/>
      </w:pPr>
      <w:r w:rsidRPr="004B1BF4">
        <w:fldChar w:fldCharType="end"/>
      </w:r>
      <w:bookmarkStart w:id="8" w:name="IntroPage"/>
      <w:bookmarkEnd w:id="7"/>
      <w:r w:rsidR="006E74EA">
        <w:t xml:space="preserve"> </w:t>
      </w:r>
    </w:p>
    <w:p w14:paraId="511A9A9A" w14:textId="77777777" w:rsidR="00894CD3" w:rsidRDefault="00894CD3" w:rsidP="00C93734">
      <w:pPr>
        <w:spacing w:after="200" w:line="276" w:lineRule="auto"/>
        <w:jc w:val="both"/>
      </w:pPr>
      <w:bookmarkStart w:id="9" w:name="ExecSummPage"/>
      <w:bookmarkEnd w:id="8"/>
      <w:r w:rsidRPr="004B1BF4">
        <w:br w:type="page"/>
      </w:r>
    </w:p>
    <w:p w14:paraId="04A9D719" w14:textId="77777777" w:rsidR="001C1A27" w:rsidRDefault="001C1A27" w:rsidP="00C93734">
      <w:pPr>
        <w:spacing w:after="200" w:line="276" w:lineRule="auto"/>
        <w:jc w:val="both"/>
        <w:rPr>
          <w:rFonts w:eastAsiaTheme="majorEastAsia" w:cstheme="majorBidi"/>
          <w:b/>
          <w:bCs/>
          <w:color w:val="394A58" w:themeColor="accent2"/>
          <w:sz w:val="48"/>
          <w:szCs w:val="28"/>
        </w:rPr>
        <w:sectPr w:rsidR="001C1A27" w:rsidSect="006E74EA">
          <w:headerReference w:type="default" r:id="rId15"/>
          <w:footerReference w:type="default" r:id="rId16"/>
          <w:headerReference w:type="first" r:id="rId17"/>
          <w:footerReference w:type="first" r:id="rId18"/>
          <w:pgSz w:w="11906" w:h="16838" w:code="9"/>
          <w:pgMar w:top="964" w:right="1134" w:bottom="964" w:left="1134" w:header="510" w:footer="340" w:gutter="0"/>
          <w:cols w:space="708"/>
          <w:docGrid w:linePitch="360"/>
        </w:sectPr>
      </w:pPr>
    </w:p>
    <w:p w14:paraId="02AD82B2" w14:textId="77777777" w:rsidR="000C0C3C" w:rsidRDefault="001C1A27" w:rsidP="000C0C3C">
      <w:pPr>
        <w:pStyle w:val="Heading1NoNumb"/>
      </w:pPr>
      <w:bookmarkStart w:id="10" w:name="_Toc395103896"/>
      <w:r>
        <w:t>Executive Summary</w:t>
      </w:r>
      <w:bookmarkEnd w:id="9"/>
      <w:bookmarkEnd w:id="10"/>
    </w:p>
    <w:p w14:paraId="557BAB5F" w14:textId="77777777" w:rsidR="000C0C3C" w:rsidRDefault="000C0C3C" w:rsidP="000C0C3C">
      <w:pPr>
        <w:pStyle w:val="Heading1NoNumb"/>
      </w:pPr>
    </w:p>
    <w:p w14:paraId="046A4B03" w14:textId="77777777" w:rsidR="000C0C3C" w:rsidRDefault="000C0C3C" w:rsidP="000C0C3C">
      <w:pPr>
        <w:pStyle w:val="Heading1NoNumb"/>
      </w:pPr>
    </w:p>
    <w:p w14:paraId="7CCC60FE" w14:textId="77777777" w:rsidR="000C0C3C" w:rsidRDefault="000C0C3C" w:rsidP="000C0C3C">
      <w:pPr>
        <w:pStyle w:val="Heading1NoNumb"/>
      </w:pPr>
    </w:p>
    <w:p w14:paraId="47B1E53D" w14:textId="77777777" w:rsidR="000C0C3C" w:rsidRDefault="000C0C3C" w:rsidP="000C0C3C">
      <w:pPr>
        <w:pStyle w:val="Heading1NoNumb"/>
      </w:pPr>
    </w:p>
    <w:p w14:paraId="0EB41D78" w14:textId="77777777" w:rsidR="000C0C3C" w:rsidRDefault="000C0C3C" w:rsidP="000C0C3C">
      <w:pPr>
        <w:pStyle w:val="Heading1NoNumb"/>
      </w:pPr>
    </w:p>
    <w:p w14:paraId="2EDB42EF" w14:textId="77777777" w:rsidR="000C0C3C" w:rsidRDefault="000C0C3C" w:rsidP="000C0C3C">
      <w:pPr>
        <w:pStyle w:val="Heading1NoNumb"/>
      </w:pPr>
    </w:p>
    <w:p w14:paraId="2CA3A976" w14:textId="77777777" w:rsidR="000C0C3C" w:rsidRDefault="000C0C3C" w:rsidP="000C0C3C">
      <w:pPr>
        <w:pStyle w:val="Heading1NoNumb"/>
      </w:pPr>
    </w:p>
    <w:p w14:paraId="1DA8D728" w14:textId="77777777" w:rsidR="000C0C3C" w:rsidRDefault="000C0C3C" w:rsidP="000C0C3C">
      <w:pPr>
        <w:pStyle w:val="Heading1NoNumb"/>
      </w:pPr>
    </w:p>
    <w:p w14:paraId="7152D15A" w14:textId="77777777" w:rsidR="000C0C3C" w:rsidRDefault="000C0C3C" w:rsidP="000C0C3C">
      <w:pPr>
        <w:pStyle w:val="Heading1NoNumb"/>
      </w:pPr>
    </w:p>
    <w:p w14:paraId="11364FE7" w14:textId="77777777" w:rsidR="000C0C3C" w:rsidRDefault="000C0C3C" w:rsidP="000C0C3C">
      <w:pPr>
        <w:pStyle w:val="Heading1NoNumb"/>
      </w:pPr>
    </w:p>
    <w:p w14:paraId="6BA3FB1A" w14:textId="77777777" w:rsidR="000C0C3C" w:rsidRDefault="000C0C3C" w:rsidP="000C0C3C">
      <w:pPr>
        <w:pStyle w:val="Heading1NoNumb"/>
      </w:pPr>
    </w:p>
    <w:p w14:paraId="0CE4F867" w14:textId="77777777" w:rsidR="000C0C3C" w:rsidRDefault="000C0C3C" w:rsidP="000C0C3C">
      <w:pPr>
        <w:pStyle w:val="Heading1NoNumb"/>
      </w:pPr>
    </w:p>
    <w:p w14:paraId="471A46E2" w14:textId="77777777" w:rsidR="000C0C3C" w:rsidRDefault="000C0C3C" w:rsidP="000C0C3C">
      <w:pPr>
        <w:pStyle w:val="Heading1NoNumb"/>
      </w:pPr>
    </w:p>
    <w:p w14:paraId="561E202C" w14:textId="77777777" w:rsidR="000C0C3C" w:rsidRDefault="000C0C3C" w:rsidP="000C0C3C">
      <w:pPr>
        <w:pStyle w:val="Heading1NoNumb"/>
      </w:pPr>
    </w:p>
    <w:p w14:paraId="5CC50A2E" w14:textId="77777777" w:rsidR="008D7250" w:rsidRDefault="008D7250"/>
    <w:p w14:paraId="0E246A85" w14:textId="77777777" w:rsidR="000C0C3C" w:rsidRDefault="000C0C3C" w:rsidP="000C0C3C">
      <w:pPr>
        <w:pStyle w:val="Heading1NoNumb"/>
      </w:pPr>
      <w:bookmarkStart w:id="11" w:name="_Toc395103897"/>
      <w:r>
        <w:t>Executive Summary</w:t>
      </w:r>
      <w:bookmarkEnd w:id="11"/>
      <w:r>
        <w:t xml:space="preserve"> </w:t>
      </w:r>
    </w:p>
    <w:p w14:paraId="261721B2" w14:textId="77777777" w:rsidR="008D7250" w:rsidRDefault="008D7250">
      <w:pPr>
        <w:pStyle w:val="Heading2NoNumb"/>
      </w:pPr>
      <w:bookmarkStart w:id="12" w:name="_Toc395103898"/>
      <w:r>
        <w:t>Introduction</w:t>
      </w:r>
      <w:bookmarkEnd w:id="12"/>
    </w:p>
    <w:p w14:paraId="6074780A" w14:textId="77777777" w:rsidR="000C0C3C" w:rsidRDefault="000C0C3C" w:rsidP="000C0C3C">
      <w:r>
        <w:t xml:space="preserve">This report presents the results of the key sectors study undertaken by Atkins </w:t>
      </w:r>
      <w:r w:rsidR="008D7250">
        <w:t>on behalf of</w:t>
      </w:r>
      <w:r>
        <w:t xml:space="preserve"> Cofely GDF-Suez and </w:t>
      </w:r>
      <w:r w:rsidR="009631D6">
        <w:t xml:space="preserve">North East Lincolnshire Council.  It provides an analysis of current trends </w:t>
      </w:r>
      <w:r>
        <w:t>and prospects for future growth in</w:t>
      </w:r>
      <w:r w:rsidR="008D7250">
        <w:t xml:space="preserve"> five key economic sectors:  ports and logistics; food processing;</w:t>
      </w:r>
      <w:r>
        <w:t xml:space="preserve"> c</w:t>
      </w:r>
      <w:r w:rsidR="008D7250">
        <w:t>hemicals and process industries;</w:t>
      </w:r>
      <w:r>
        <w:t xml:space="preserve"> renewables and energy</w:t>
      </w:r>
      <w:r w:rsidR="008D7250">
        <w:t>;</w:t>
      </w:r>
      <w:r>
        <w:t xml:space="preserve"> and visitor economy, services and retail sectors. </w:t>
      </w:r>
    </w:p>
    <w:p w14:paraId="6F2DF152" w14:textId="77777777" w:rsidR="000C0C3C" w:rsidRDefault="008D7250" w:rsidP="000C0C3C">
      <w:r>
        <w:t>The study comprised the following</w:t>
      </w:r>
      <w:r w:rsidR="009631D6">
        <w:t xml:space="preserve"> key</w:t>
      </w:r>
      <w:r>
        <w:t xml:space="preserve"> components</w:t>
      </w:r>
      <w:r w:rsidR="000C0C3C">
        <w:t>:</w:t>
      </w:r>
    </w:p>
    <w:p w14:paraId="508FC0E3" w14:textId="77777777" w:rsidR="000C0C3C" w:rsidRDefault="000C0C3C" w:rsidP="000C0C3C">
      <w:pPr>
        <w:pStyle w:val="ListParagraph"/>
        <w:numPr>
          <w:ilvl w:val="0"/>
          <w:numId w:val="120"/>
        </w:numPr>
      </w:pPr>
      <w:r>
        <w:t xml:space="preserve">A baseline economic assessment of North East Lincolnshire, </w:t>
      </w:r>
      <w:r w:rsidR="008D7250">
        <w:t>issued as a separate report</w:t>
      </w:r>
      <w:r>
        <w:t xml:space="preserve">. This was developed in order to inform further research and </w:t>
      </w:r>
      <w:r w:rsidR="008D7250">
        <w:t>set out</w:t>
      </w:r>
      <w:r>
        <w:t xml:space="preserve"> the evidence base for </w:t>
      </w:r>
      <w:r w:rsidR="008D7250">
        <w:t>the borough and surrounding areas.</w:t>
      </w:r>
    </w:p>
    <w:p w14:paraId="35E7A619" w14:textId="77777777" w:rsidR="000C0C3C" w:rsidRDefault="000C0C3C" w:rsidP="000C0C3C">
      <w:pPr>
        <w:pStyle w:val="ListParagraph"/>
        <w:numPr>
          <w:ilvl w:val="0"/>
          <w:numId w:val="120"/>
        </w:numPr>
      </w:pPr>
      <w:r>
        <w:t xml:space="preserve">A quantitative socio-economic analysis of the key sectors, identifying trends, characteristics, </w:t>
      </w:r>
      <w:r w:rsidRPr="00DB54FE">
        <w:t>opportunities and constraints</w:t>
      </w:r>
      <w:r>
        <w:t xml:space="preserve">. </w:t>
      </w:r>
    </w:p>
    <w:p w14:paraId="12DBDA90" w14:textId="77777777" w:rsidR="000C0C3C" w:rsidRDefault="000C0C3C" w:rsidP="000C0C3C">
      <w:pPr>
        <w:pStyle w:val="ListParagraph"/>
        <w:numPr>
          <w:ilvl w:val="0"/>
          <w:numId w:val="120"/>
        </w:numPr>
      </w:pPr>
      <w:r>
        <w:t xml:space="preserve">A qualitative analysis based on interviews with approximately 30 senior representatives from companies, industry organisations, public bodies and employer groups from across North East Lincolnshire. </w:t>
      </w:r>
    </w:p>
    <w:p w14:paraId="175C72BF" w14:textId="77777777" w:rsidR="000C0C3C" w:rsidRDefault="000C0C3C" w:rsidP="000C0C3C">
      <w:pPr>
        <w:pStyle w:val="ListParagraph"/>
        <w:numPr>
          <w:ilvl w:val="0"/>
          <w:numId w:val="120"/>
        </w:numPr>
      </w:pPr>
      <w:r>
        <w:t>A survey of a representative sample of</w:t>
      </w:r>
      <w:r w:rsidR="008D7250">
        <w:t xml:space="preserve"> 370</w:t>
      </w:r>
      <w:r>
        <w:t xml:space="preserve"> businesses in North East Lincolnshire</w:t>
      </w:r>
      <w:r w:rsidR="008D7250">
        <w:t xml:space="preserve">. </w:t>
      </w:r>
      <w:r>
        <w:t xml:space="preserve">This was </w:t>
      </w:r>
      <w:r w:rsidR="008D7250">
        <w:t>conducted</w:t>
      </w:r>
      <w:r>
        <w:t xml:space="preserve"> by an independent market research company, Hill Taylor Limited. </w:t>
      </w:r>
    </w:p>
    <w:p w14:paraId="50AAD836" w14:textId="77777777" w:rsidR="000C0C3C" w:rsidRDefault="000C0C3C" w:rsidP="000C0C3C">
      <w:r>
        <w:t xml:space="preserve">This report </w:t>
      </w:r>
      <w:r w:rsidR="008D7250">
        <w:t>brings together</w:t>
      </w:r>
      <w:r>
        <w:t xml:space="preserve"> the outputs of these research activities and provides recommendations </w:t>
      </w:r>
      <w:r w:rsidR="008D7250">
        <w:t>and key actions for the Council and its partners.</w:t>
      </w:r>
    </w:p>
    <w:p w14:paraId="45356CC1" w14:textId="77777777" w:rsidR="008D7250" w:rsidRDefault="000C0C3C">
      <w:pPr>
        <w:pStyle w:val="Heading2NoNumb"/>
      </w:pPr>
      <w:bookmarkStart w:id="13" w:name="_Toc395103899"/>
      <w:r>
        <w:t>Local context</w:t>
      </w:r>
      <w:bookmarkEnd w:id="13"/>
    </w:p>
    <w:p w14:paraId="2D99F97D" w14:textId="77777777" w:rsidR="009631D6" w:rsidRDefault="008D0C83" w:rsidP="008D0C83">
      <w:r>
        <w:t>Th</w:t>
      </w:r>
      <w:r w:rsidR="006E454F">
        <w:t xml:space="preserve">e local policy context sets clear objectives and </w:t>
      </w:r>
      <w:r w:rsidR="009631D6">
        <w:t xml:space="preserve">articulates </w:t>
      </w:r>
      <w:r>
        <w:t xml:space="preserve">opportunities for the future of the North East Lincolnshire economy. Both the Humber and Greater Lincolnshire Local Enterprise Partnerships cover the area, and the actions and sector-focussed approach outlined in both Strategic Economic Plans provide a vision relevant to the key sectors in North East Lincolnshire. </w:t>
      </w:r>
    </w:p>
    <w:p w14:paraId="0704EDEE" w14:textId="77777777" w:rsidR="008D0C83" w:rsidRDefault="009631D6" w:rsidP="008D0C83">
      <w:r>
        <w:t xml:space="preserve">In addition to the work of the LEPs, </w:t>
      </w:r>
      <w:r w:rsidR="008D0C83">
        <w:t xml:space="preserve">North East Lincolnshire Council is continually engaged in identifying and pursuing the </w:t>
      </w:r>
      <w:r w:rsidR="006E454F">
        <w:t>most efficient and effective</w:t>
      </w:r>
      <w:r w:rsidR="008D0C83">
        <w:t xml:space="preserve"> ways </w:t>
      </w:r>
      <w:r w:rsidR="006E454F">
        <w:t>by</w:t>
      </w:r>
      <w:r w:rsidR="008D0C83">
        <w:t xml:space="preserve"> which to strengthen</w:t>
      </w:r>
      <w:r w:rsidR="006E454F">
        <w:t xml:space="preserve"> and diversify the local economy.</w:t>
      </w:r>
      <w:r w:rsidR="008D0C83">
        <w:t xml:space="preserve"> Institutional support for</w:t>
      </w:r>
      <w:r w:rsidR="006E454F">
        <w:t xml:space="preserve"> the facilitation of economic</w:t>
      </w:r>
      <w:r w:rsidR="008D0C83">
        <w:t xml:space="preserve"> growth</w:t>
      </w:r>
      <w:r w:rsidR="006E454F">
        <w:t xml:space="preserve"> in the area</w:t>
      </w:r>
      <w:r w:rsidR="008D0C83">
        <w:t xml:space="preserve"> is therefore strong. </w:t>
      </w:r>
    </w:p>
    <w:p w14:paraId="63287BCE" w14:textId="77777777" w:rsidR="008D0C83" w:rsidRDefault="008D0C83" w:rsidP="008D0C83">
      <w:r>
        <w:t xml:space="preserve">However, there are several significant challenges being faced by the North East Lincolnshire economy. </w:t>
      </w:r>
    </w:p>
    <w:p w14:paraId="23227E75" w14:textId="77777777" w:rsidR="008D0C83" w:rsidRDefault="008D0C83" w:rsidP="008D0C83">
      <w:r>
        <w:t xml:space="preserve">Business births have declined significantly since the onset of the recession. Though this is </w:t>
      </w:r>
      <w:r w:rsidR="006E454F">
        <w:t>a nation</w:t>
      </w:r>
      <w:r>
        <w:t>wide</w:t>
      </w:r>
      <w:r w:rsidR="006E454F">
        <w:t xml:space="preserve"> trend</w:t>
      </w:r>
      <w:r>
        <w:t>, business survival rates in North East Lincolnshire are particularly poor. Gross value added per head has remained consistently below the national average, though is</w:t>
      </w:r>
      <w:r w:rsidR="006E454F">
        <w:t xml:space="preserve"> relatively</w:t>
      </w:r>
      <w:r>
        <w:t xml:space="preserve"> strong for the region. </w:t>
      </w:r>
    </w:p>
    <w:p w14:paraId="7D5A0233" w14:textId="77777777" w:rsidR="008D0C83" w:rsidRDefault="008D0C83" w:rsidP="008D0C83">
      <w:r>
        <w:t xml:space="preserve">In terms of the labour market, unemployment is high compared to the national average, with estimates for 2013 suggesting that over 1 in 10 adults of working age are unemployed. Though exacerbated by the recession, relatively high levels of unemployment preceded the downturn. There are a large proportion of individuals with no qualifications (10.3%) and a low proportion with NVQ Level 4 and above (19.9%). </w:t>
      </w:r>
    </w:p>
    <w:p w14:paraId="01136B79" w14:textId="77777777" w:rsidR="008D7250" w:rsidRDefault="000C0C3C">
      <w:pPr>
        <w:pStyle w:val="Heading2NoNumb"/>
      </w:pPr>
      <w:bookmarkStart w:id="14" w:name="_Toc395103900"/>
      <w:r>
        <w:t>The key sectors</w:t>
      </w:r>
      <w:bookmarkEnd w:id="14"/>
      <w:r>
        <w:t xml:space="preserve"> </w:t>
      </w:r>
    </w:p>
    <w:p w14:paraId="610EA7B1" w14:textId="77777777" w:rsidR="000C0C3C" w:rsidRDefault="000C0C3C" w:rsidP="000C0C3C">
      <w:r>
        <w:t xml:space="preserve">Collectively, the five key sectors are </w:t>
      </w:r>
      <w:r w:rsidR="008D7250">
        <w:t>estimated</w:t>
      </w:r>
      <w:r>
        <w:t xml:space="preserve"> to contribute £1,</w:t>
      </w:r>
      <w:r w:rsidR="0024103F">
        <w:t>7</w:t>
      </w:r>
      <w:r>
        <w:t xml:space="preserve">40 million to the GDP of North East Lincolnshire in 2014, representing </w:t>
      </w:r>
      <w:r w:rsidR="0024103F">
        <w:t>57.5</w:t>
      </w:r>
      <w:r>
        <w:t>% of the area’s total output. The breakdown of this contribution by sector is presented i</w:t>
      </w:r>
      <w:r w:rsidR="00091375">
        <w:t xml:space="preserve">n </w:t>
      </w:r>
      <w:r w:rsidR="00781CD3">
        <w:fldChar w:fldCharType="begin"/>
      </w:r>
      <w:r w:rsidR="00091375">
        <w:instrText xml:space="preserve"> REF _Ref395012717 \h </w:instrText>
      </w:r>
      <w:r w:rsidR="00781CD3">
        <w:fldChar w:fldCharType="separate"/>
      </w:r>
      <w:r w:rsidR="00E95E1A">
        <w:rPr>
          <w:noProof/>
          <w:lang w:eastAsia="en-GB"/>
        </w:rPr>
        <w:t>Figure 1-1</w:t>
      </w:r>
      <w:r w:rsidR="00781CD3">
        <w:fldChar w:fldCharType="end"/>
      </w:r>
      <w:r>
        <w:t xml:space="preserve">. </w:t>
      </w:r>
    </w:p>
    <w:p w14:paraId="0A442DFC" w14:textId="77777777" w:rsidR="008D7250" w:rsidRDefault="00091375">
      <w:pPr>
        <w:pStyle w:val="Caption"/>
      </w:pPr>
      <w:bookmarkStart w:id="15" w:name="_Ref395012717"/>
      <w:bookmarkStart w:id="16" w:name="_Ref395012716"/>
      <w:r>
        <w:rPr>
          <w:noProof/>
          <w:lang w:eastAsia="en-GB"/>
        </w:rPr>
        <w:t xml:space="preserve">Figure </w:t>
      </w:r>
      <w:fldSimple w:instr=" STYLEREF 1 \s  \* MERGEFORMAT ">
        <w:r w:rsidR="00E95E1A">
          <w:rPr>
            <w:noProof/>
            <w:lang w:eastAsia="en-GB"/>
          </w:rPr>
          <w:t>1</w:t>
        </w:r>
      </w:fldSimple>
      <w:r>
        <w:rPr>
          <w:noProof/>
          <w:lang w:eastAsia="en-GB"/>
        </w:rPr>
        <w:t>-</w:t>
      </w:r>
      <w:fldSimple w:instr=" SEQ Figure \* ARABIC \s 1  \* MERGEFORMAT ">
        <w:r w:rsidR="00E95E1A">
          <w:rPr>
            <w:noProof/>
            <w:lang w:eastAsia="en-GB"/>
          </w:rPr>
          <w:t>1</w:t>
        </w:r>
      </w:fldSimple>
      <w:bookmarkEnd w:id="15"/>
      <w:r>
        <w:rPr>
          <w:noProof/>
          <w:lang w:eastAsia="en-GB"/>
        </w:rPr>
        <w:tab/>
        <w:t>GDP Contribution of Key Sectors (2014)</w:t>
      </w:r>
      <w:r w:rsidR="009F5177">
        <w:rPr>
          <w:noProof/>
          <w:lang w:eastAsia="en-GB"/>
        </w:rPr>
        <w:t xml:space="preserve">          </w:t>
      </w:r>
      <w:r w:rsidR="008D7250">
        <w:rPr>
          <w:noProof/>
          <w:lang w:eastAsia="en-GB"/>
        </w:rPr>
        <w:drawing>
          <wp:inline distT="0" distB="0" distL="0" distR="0" wp14:anchorId="5D2EF279" wp14:editId="6D18FAEC">
            <wp:extent cx="5460521" cy="3317875"/>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16"/>
    </w:p>
    <w:p w14:paraId="74A4E513" w14:textId="77777777" w:rsidR="008D7250" w:rsidRDefault="00091375">
      <w:pPr>
        <w:pStyle w:val="TableSource"/>
      </w:pPr>
      <w:r>
        <w:t xml:space="preserve">Source: Atkins/IDBR 2013 </w:t>
      </w:r>
    </w:p>
    <w:p w14:paraId="74F50382" w14:textId="77777777" w:rsidR="000C0C3C" w:rsidRDefault="000C0C3C" w:rsidP="000C0C3C">
      <w:r>
        <w:t>The sectors also provide</w:t>
      </w:r>
      <w:r w:rsidR="006E454F">
        <w:t xml:space="preserve"> at least</w:t>
      </w:r>
      <w:r>
        <w:t xml:space="preserve"> 30% of total employment in the area. However, this only represents</w:t>
      </w:r>
      <w:r w:rsidR="0024103F">
        <w:t xml:space="preserve"> measurement of direct employment. Once consideration is given to indirect and induced jobs, </w:t>
      </w:r>
      <w:r>
        <w:t>the five sectors</w:t>
      </w:r>
      <w:r w:rsidR="006E454F">
        <w:t xml:space="preserve"> are estimated to</w:t>
      </w:r>
      <w:r>
        <w:t xml:space="preserve"> </w:t>
      </w:r>
      <w:r w:rsidR="0024103F">
        <w:t>support</w:t>
      </w:r>
      <w:r>
        <w:t xml:space="preserve"> 48,860 jobs nationally</w:t>
      </w:r>
      <w:r w:rsidR="0024103F">
        <w:t xml:space="preserve"> (see </w:t>
      </w:r>
      <w:r w:rsidR="00781CD3">
        <w:fldChar w:fldCharType="begin"/>
      </w:r>
      <w:r w:rsidR="00091375">
        <w:instrText xml:space="preserve"> REF _Ref395012924 \h </w:instrText>
      </w:r>
      <w:r w:rsidR="00781CD3">
        <w:fldChar w:fldCharType="separate"/>
      </w:r>
      <w:r w:rsidR="00E95E1A">
        <w:t xml:space="preserve">Table </w:t>
      </w:r>
      <w:r w:rsidR="00E95E1A">
        <w:rPr>
          <w:noProof/>
        </w:rPr>
        <w:t>1</w:t>
      </w:r>
      <w:r w:rsidR="00E95E1A">
        <w:t>-</w:t>
      </w:r>
      <w:r w:rsidR="00E95E1A">
        <w:rPr>
          <w:noProof/>
        </w:rPr>
        <w:t>1</w:t>
      </w:r>
      <w:r w:rsidR="00781CD3">
        <w:fldChar w:fldCharType="end"/>
      </w:r>
      <w:r w:rsidR="0024103F">
        <w:t>)</w:t>
      </w:r>
      <w:r>
        <w:t xml:space="preserve">. </w:t>
      </w:r>
    </w:p>
    <w:p w14:paraId="76948AEF" w14:textId="77777777" w:rsidR="008D7250" w:rsidRDefault="00091375">
      <w:pPr>
        <w:pStyle w:val="Caption"/>
      </w:pPr>
      <w:bookmarkStart w:id="17" w:name="_Ref395012924"/>
      <w:r>
        <w:t xml:space="preserve">Table </w:t>
      </w:r>
      <w:fldSimple w:instr=" STYLEREF 1 \s  \* MERGEFORMAT ">
        <w:r w:rsidR="00E95E1A">
          <w:rPr>
            <w:noProof/>
          </w:rPr>
          <w:t>1</w:t>
        </w:r>
      </w:fldSimple>
      <w:r>
        <w:t>-</w:t>
      </w:r>
      <w:fldSimple w:instr=" SEQ Table \* ARABIC \s 1  \* MERGEFORMAT ">
        <w:r w:rsidR="00E95E1A">
          <w:rPr>
            <w:noProof/>
          </w:rPr>
          <w:t>1</w:t>
        </w:r>
      </w:fldSimple>
      <w:bookmarkEnd w:id="17"/>
      <w:r>
        <w:tab/>
        <w:t>Employment Contribution of Key Sectors</w:t>
      </w:r>
    </w:p>
    <w:tbl>
      <w:tblPr>
        <w:tblStyle w:val="Atkins14pt"/>
        <w:tblW w:w="10113" w:type="dxa"/>
        <w:tblLayout w:type="fixed"/>
        <w:tblLook w:val="04A0" w:firstRow="1" w:lastRow="0" w:firstColumn="1" w:lastColumn="0" w:noHBand="0" w:noVBand="1"/>
      </w:tblPr>
      <w:tblGrid>
        <w:gridCol w:w="1974"/>
        <w:gridCol w:w="1356"/>
        <w:gridCol w:w="1357"/>
        <w:gridCol w:w="1550"/>
        <w:gridCol w:w="1163"/>
        <w:gridCol w:w="1356"/>
        <w:gridCol w:w="1357"/>
      </w:tblGrid>
      <w:tr w:rsidR="000C0C3C" w:rsidRPr="002805F3" w14:paraId="6664E381" w14:textId="77777777" w:rsidTr="009F5177">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1974" w:type="dxa"/>
            <w:shd w:val="clear" w:color="auto" w:fill="BED600" w:themeFill="accent1"/>
            <w:noWrap/>
            <w:hideMark/>
          </w:tcPr>
          <w:p w14:paraId="3BA2E4A4" w14:textId="77777777" w:rsidR="000C0C3C" w:rsidRPr="00DC3863" w:rsidRDefault="000C0C3C" w:rsidP="009F5177">
            <w:pPr>
              <w:spacing w:after="0"/>
              <w:rPr>
                <w:color w:val="000000"/>
              </w:rPr>
            </w:pPr>
            <w:r w:rsidRPr="00DC3863">
              <w:rPr>
                <w:color w:val="000000"/>
              </w:rPr>
              <w:t>Geography</w:t>
            </w:r>
          </w:p>
        </w:tc>
        <w:tc>
          <w:tcPr>
            <w:tcW w:w="1356" w:type="dxa"/>
            <w:shd w:val="clear" w:color="auto" w:fill="BED600" w:themeFill="accent1"/>
            <w:noWrap/>
            <w:hideMark/>
          </w:tcPr>
          <w:p w14:paraId="732A3E1E" w14:textId="77777777" w:rsidR="000C0C3C" w:rsidRPr="00DC3863" w:rsidRDefault="000C0C3C" w:rsidP="009F5177">
            <w:pPr>
              <w:spacing w:after="0"/>
              <w:ind w:right="69"/>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Renewables</w:t>
            </w:r>
          </w:p>
        </w:tc>
        <w:tc>
          <w:tcPr>
            <w:tcW w:w="1357" w:type="dxa"/>
            <w:shd w:val="clear" w:color="auto" w:fill="BED600" w:themeFill="accent1"/>
            <w:noWrap/>
            <w:hideMark/>
          </w:tcPr>
          <w:p w14:paraId="369DFD3C" w14:textId="77777777" w:rsidR="000C0C3C" w:rsidRPr="00DC3863" w:rsidRDefault="000C0C3C" w:rsidP="009F5177">
            <w:pPr>
              <w:spacing w:after="0"/>
              <w:ind w:right="69"/>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Ports &amp; Logistics</w:t>
            </w:r>
          </w:p>
        </w:tc>
        <w:tc>
          <w:tcPr>
            <w:tcW w:w="1550" w:type="dxa"/>
            <w:shd w:val="clear" w:color="auto" w:fill="BED600" w:themeFill="accent1"/>
            <w:noWrap/>
            <w:hideMark/>
          </w:tcPr>
          <w:p w14:paraId="6608B5D8" w14:textId="77777777" w:rsidR="000C0C3C" w:rsidRPr="00DC3863" w:rsidRDefault="000C0C3C" w:rsidP="009F5177">
            <w:pPr>
              <w:spacing w:after="0"/>
              <w:ind w:right="69"/>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 xml:space="preserve">Food </w:t>
            </w:r>
            <w:r>
              <w:rPr>
                <w:color w:val="000000"/>
              </w:rPr>
              <w:t>processing</w:t>
            </w:r>
          </w:p>
        </w:tc>
        <w:tc>
          <w:tcPr>
            <w:tcW w:w="1163" w:type="dxa"/>
            <w:shd w:val="clear" w:color="auto" w:fill="BED600" w:themeFill="accent1"/>
            <w:noWrap/>
            <w:hideMark/>
          </w:tcPr>
          <w:p w14:paraId="77351182" w14:textId="77777777" w:rsidR="000C0C3C" w:rsidRPr="00DC3863" w:rsidRDefault="000C0C3C" w:rsidP="009F5177">
            <w:pPr>
              <w:spacing w:after="0"/>
              <w:ind w:right="69"/>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Chemicals &amp; process industries</w:t>
            </w:r>
          </w:p>
        </w:tc>
        <w:tc>
          <w:tcPr>
            <w:tcW w:w="1356" w:type="dxa"/>
            <w:shd w:val="clear" w:color="auto" w:fill="BED600" w:themeFill="accent1"/>
            <w:noWrap/>
            <w:hideMark/>
          </w:tcPr>
          <w:p w14:paraId="49ED9399" w14:textId="77777777" w:rsidR="000C0C3C" w:rsidRPr="00DC3863" w:rsidRDefault="000C0C3C" w:rsidP="009F5177">
            <w:pPr>
              <w:spacing w:after="0"/>
              <w:ind w:right="69"/>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 xml:space="preserve">Visitor Economy </w:t>
            </w:r>
          </w:p>
        </w:tc>
        <w:tc>
          <w:tcPr>
            <w:tcW w:w="1357" w:type="dxa"/>
            <w:shd w:val="clear" w:color="auto" w:fill="BED600" w:themeFill="accent1"/>
            <w:noWrap/>
            <w:hideMark/>
          </w:tcPr>
          <w:p w14:paraId="3A4439A9" w14:textId="77777777" w:rsidR="000C0C3C" w:rsidRPr="00DC3863" w:rsidRDefault="000C0C3C" w:rsidP="009F5177">
            <w:pPr>
              <w:spacing w:after="0"/>
              <w:ind w:right="69"/>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Total</w:t>
            </w:r>
          </w:p>
        </w:tc>
      </w:tr>
      <w:tr w:rsidR="000C0C3C" w:rsidRPr="002805F3" w14:paraId="2669DA39" w14:textId="77777777" w:rsidTr="009F5177">
        <w:trPr>
          <w:trHeight w:val="285"/>
        </w:trPr>
        <w:tc>
          <w:tcPr>
            <w:cnfStyle w:val="001000000000" w:firstRow="0" w:lastRow="0" w:firstColumn="1" w:lastColumn="0" w:oddVBand="0" w:evenVBand="0" w:oddHBand="0" w:evenHBand="0" w:firstRowFirstColumn="0" w:firstRowLastColumn="0" w:lastRowFirstColumn="0" w:lastRowLastColumn="0"/>
            <w:tcW w:w="1974" w:type="dxa"/>
            <w:shd w:val="clear" w:color="auto" w:fill="E6E4DE" w:themeFill="accent6"/>
            <w:noWrap/>
            <w:hideMark/>
          </w:tcPr>
          <w:p w14:paraId="4778C745" w14:textId="77777777" w:rsidR="000C0C3C" w:rsidRPr="00332466" w:rsidRDefault="000C0C3C" w:rsidP="009F5177">
            <w:pPr>
              <w:spacing w:after="0"/>
              <w:rPr>
                <w:b/>
                <w:color w:val="000000"/>
              </w:rPr>
            </w:pPr>
            <w:r>
              <w:rPr>
                <w:b/>
                <w:color w:val="000000"/>
              </w:rPr>
              <w:t xml:space="preserve">Direct </w:t>
            </w:r>
            <w:r w:rsidRPr="00332466">
              <w:rPr>
                <w:b/>
                <w:color w:val="000000"/>
              </w:rPr>
              <w:t>Jobs</w:t>
            </w:r>
          </w:p>
        </w:tc>
        <w:tc>
          <w:tcPr>
            <w:tcW w:w="8139" w:type="dxa"/>
            <w:gridSpan w:val="6"/>
            <w:shd w:val="clear" w:color="auto" w:fill="E6E4DE" w:themeFill="accent6"/>
            <w:noWrap/>
            <w:hideMark/>
          </w:tcPr>
          <w:p w14:paraId="7F81821F" w14:textId="77777777" w:rsidR="000C0C3C" w:rsidRPr="00332466" w:rsidRDefault="000C0C3C" w:rsidP="009F5177">
            <w:pPr>
              <w:spacing w:after="0"/>
              <w:ind w:right="69"/>
              <w:cnfStyle w:val="000000000000" w:firstRow="0" w:lastRow="0" w:firstColumn="0" w:lastColumn="0" w:oddVBand="0" w:evenVBand="0" w:oddHBand="0" w:evenHBand="0" w:firstRowFirstColumn="0" w:firstRowLastColumn="0" w:lastRowFirstColumn="0" w:lastRowLastColumn="0"/>
              <w:rPr>
                <w:b/>
                <w:color w:val="000000"/>
              </w:rPr>
            </w:pPr>
          </w:p>
        </w:tc>
      </w:tr>
      <w:tr w:rsidR="000C0C3C" w:rsidRPr="002805F3" w14:paraId="2634A458" w14:textId="77777777" w:rsidTr="009F5177">
        <w:trPr>
          <w:trHeight w:val="285"/>
        </w:trPr>
        <w:tc>
          <w:tcPr>
            <w:cnfStyle w:val="001000000000" w:firstRow="0" w:lastRow="0" w:firstColumn="1" w:lastColumn="0" w:oddVBand="0" w:evenVBand="0" w:oddHBand="0" w:evenHBand="0" w:firstRowFirstColumn="0" w:firstRowLastColumn="0" w:lastRowFirstColumn="0" w:lastRowLastColumn="0"/>
            <w:tcW w:w="1974" w:type="dxa"/>
            <w:noWrap/>
            <w:hideMark/>
          </w:tcPr>
          <w:p w14:paraId="45E57308" w14:textId="77777777" w:rsidR="000C0C3C" w:rsidRPr="002805F3" w:rsidRDefault="000C0C3C" w:rsidP="009F5177">
            <w:pPr>
              <w:spacing w:after="0"/>
              <w:rPr>
                <w:color w:val="000000"/>
              </w:rPr>
            </w:pPr>
            <w:r w:rsidRPr="002805F3">
              <w:rPr>
                <w:color w:val="000000"/>
              </w:rPr>
              <w:t>North East Lincolnshire</w:t>
            </w:r>
          </w:p>
        </w:tc>
        <w:tc>
          <w:tcPr>
            <w:tcW w:w="1356" w:type="dxa"/>
            <w:noWrap/>
            <w:hideMark/>
          </w:tcPr>
          <w:p w14:paraId="0E7AC7D6"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3,250</w:t>
            </w:r>
          </w:p>
        </w:tc>
        <w:tc>
          <w:tcPr>
            <w:tcW w:w="1357" w:type="dxa"/>
            <w:noWrap/>
            <w:hideMark/>
          </w:tcPr>
          <w:p w14:paraId="17510CA0"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4,820</w:t>
            </w:r>
          </w:p>
        </w:tc>
        <w:tc>
          <w:tcPr>
            <w:tcW w:w="1550" w:type="dxa"/>
            <w:noWrap/>
            <w:hideMark/>
          </w:tcPr>
          <w:p w14:paraId="1B5E0C3A"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4,100</w:t>
            </w:r>
          </w:p>
        </w:tc>
        <w:tc>
          <w:tcPr>
            <w:tcW w:w="1163" w:type="dxa"/>
            <w:noWrap/>
            <w:hideMark/>
          </w:tcPr>
          <w:p w14:paraId="0207C618"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2,230</w:t>
            </w:r>
          </w:p>
        </w:tc>
        <w:tc>
          <w:tcPr>
            <w:tcW w:w="1356" w:type="dxa"/>
            <w:noWrap/>
            <w:hideMark/>
          </w:tcPr>
          <w:p w14:paraId="7F4742F5"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4,830</w:t>
            </w:r>
          </w:p>
        </w:tc>
        <w:tc>
          <w:tcPr>
            <w:tcW w:w="1357" w:type="dxa"/>
            <w:noWrap/>
            <w:hideMark/>
          </w:tcPr>
          <w:p w14:paraId="6BE0B2B4"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19,230</w:t>
            </w:r>
          </w:p>
        </w:tc>
      </w:tr>
      <w:tr w:rsidR="000C0C3C" w:rsidRPr="002805F3" w14:paraId="3A8CB97D" w14:textId="77777777" w:rsidTr="009F5177">
        <w:trPr>
          <w:trHeight w:val="285"/>
        </w:trPr>
        <w:tc>
          <w:tcPr>
            <w:cnfStyle w:val="001000000000" w:firstRow="0" w:lastRow="0" w:firstColumn="1" w:lastColumn="0" w:oddVBand="0" w:evenVBand="0" w:oddHBand="0" w:evenHBand="0" w:firstRowFirstColumn="0" w:firstRowLastColumn="0" w:lastRowFirstColumn="0" w:lastRowLastColumn="0"/>
            <w:tcW w:w="1974" w:type="dxa"/>
            <w:shd w:val="clear" w:color="auto" w:fill="E6E4DE" w:themeFill="accent6"/>
            <w:noWrap/>
            <w:hideMark/>
          </w:tcPr>
          <w:p w14:paraId="4C918EAC" w14:textId="77777777" w:rsidR="000C0C3C" w:rsidRPr="00332466" w:rsidRDefault="000C0C3C" w:rsidP="009F5177">
            <w:pPr>
              <w:spacing w:after="0"/>
              <w:rPr>
                <w:b/>
                <w:color w:val="000000"/>
              </w:rPr>
            </w:pPr>
            <w:r w:rsidRPr="00332466">
              <w:rPr>
                <w:b/>
                <w:color w:val="000000"/>
              </w:rPr>
              <w:t>Indirect Jobs</w:t>
            </w:r>
          </w:p>
        </w:tc>
        <w:tc>
          <w:tcPr>
            <w:tcW w:w="8139" w:type="dxa"/>
            <w:gridSpan w:val="6"/>
            <w:shd w:val="clear" w:color="auto" w:fill="E6E4DE" w:themeFill="accent6"/>
            <w:noWrap/>
            <w:hideMark/>
          </w:tcPr>
          <w:p w14:paraId="071B3A00"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p>
        </w:tc>
      </w:tr>
      <w:tr w:rsidR="000C0C3C" w:rsidRPr="002805F3" w14:paraId="3A8C4680" w14:textId="77777777" w:rsidTr="009F5177">
        <w:trPr>
          <w:trHeight w:val="285"/>
        </w:trPr>
        <w:tc>
          <w:tcPr>
            <w:cnfStyle w:val="001000000000" w:firstRow="0" w:lastRow="0" w:firstColumn="1" w:lastColumn="0" w:oddVBand="0" w:evenVBand="0" w:oddHBand="0" w:evenHBand="0" w:firstRowFirstColumn="0" w:firstRowLastColumn="0" w:lastRowFirstColumn="0" w:lastRowLastColumn="0"/>
            <w:tcW w:w="1974" w:type="dxa"/>
            <w:noWrap/>
            <w:hideMark/>
          </w:tcPr>
          <w:p w14:paraId="43B4BFAF" w14:textId="77777777" w:rsidR="000C0C3C" w:rsidRPr="002805F3" w:rsidRDefault="000C0C3C" w:rsidP="009F5177">
            <w:pPr>
              <w:spacing w:after="0"/>
              <w:rPr>
                <w:color w:val="000000"/>
              </w:rPr>
            </w:pPr>
            <w:r>
              <w:rPr>
                <w:color w:val="000000"/>
              </w:rPr>
              <w:t xml:space="preserve">N.&amp; N.E </w:t>
            </w:r>
            <w:r w:rsidRPr="002805F3">
              <w:rPr>
                <w:color w:val="000000"/>
              </w:rPr>
              <w:t xml:space="preserve">Lincolnshire </w:t>
            </w:r>
            <w:r>
              <w:rPr>
                <w:color w:val="000000"/>
              </w:rPr>
              <w:t>&amp;</w:t>
            </w:r>
            <w:r w:rsidRPr="002805F3">
              <w:rPr>
                <w:color w:val="000000"/>
              </w:rPr>
              <w:t xml:space="preserve"> Humber</w:t>
            </w:r>
          </w:p>
        </w:tc>
        <w:tc>
          <w:tcPr>
            <w:tcW w:w="1356" w:type="dxa"/>
            <w:noWrap/>
            <w:hideMark/>
          </w:tcPr>
          <w:p w14:paraId="082A7D29"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1,300</w:t>
            </w:r>
          </w:p>
        </w:tc>
        <w:tc>
          <w:tcPr>
            <w:tcW w:w="1357" w:type="dxa"/>
            <w:noWrap/>
            <w:hideMark/>
          </w:tcPr>
          <w:p w14:paraId="6110468A"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2,580</w:t>
            </w:r>
          </w:p>
        </w:tc>
        <w:tc>
          <w:tcPr>
            <w:tcW w:w="1550" w:type="dxa"/>
            <w:noWrap/>
            <w:hideMark/>
          </w:tcPr>
          <w:p w14:paraId="486F0243"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600</w:t>
            </w:r>
          </w:p>
        </w:tc>
        <w:tc>
          <w:tcPr>
            <w:tcW w:w="1163" w:type="dxa"/>
            <w:noWrap/>
            <w:hideMark/>
          </w:tcPr>
          <w:p w14:paraId="65B68DEB"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1,300</w:t>
            </w:r>
          </w:p>
        </w:tc>
        <w:tc>
          <w:tcPr>
            <w:tcW w:w="1356" w:type="dxa"/>
            <w:noWrap/>
            <w:hideMark/>
          </w:tcPr>
          <w:p w14:paraId="276F5873"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1,570</w:t>
            </w:r>
          </w:p>
        </w:tc>
        <w:tc>
          <w:tcPr>
            <w:tcW w:w="1357" w:type="dxa"/>
            <w:noWrap/>
            <w:hideMark/>
          </w:tcPr>
          <w:p w14:paraId="75A0F2B7"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7,350</w:t>
            </w:r>
          </w:p>
        </w:tc>
      </w:tr>
      <w:tr w:rsidR="000C0C3C" w:rsidRPr="002805F3" w14:paraId="40997051" w14:textId="77777777" w:rsidTr="009F5177">
        <w:trPr>
          <w:trHeight w:val="285"/>
        </w:trPr>
        <w:tc>
          <w:tcPr>
            <w:cnfStyle w:val="001000000000" w:firstRow="0" w:lastRow="0" w:firstColumn="1" w:lastColumn="0" w:oddVBand="0" w:evenVBand="0" w:oddHBand="0" w:evenHBand="0" w:firstRowFirstColumn="0" w:firstRowLastColumn="0" w:lastRowFirstColumn="0" w:lastRowLastColumn="0"/>
            <w:tcW w:w="1974" w:type="dxa"/>
            <w:noWrap/>
            <w:hideMark/>
          </w:tcPr>
          <w:p w14:paraId="32796542" w14:textId="77777777" w:rsidR="000C0C3C" w:rsidRPr="002805F3" w:rsidRDefault="000C0C3C" w:rsidP="009F5177">
            <w:pPr>
              <w:spacing w:after="0"/>
              <w:rPr>
                <w:color w:val="000000"/>
              </w:rPr>
            </w:pPr>
            <w:r>
              <w:rPr>
                <w:color w:val="000000"/>
              </w:rPr>
              <w:t xml:space="preserve">Elsewhere in </w:t>
            </w:r>
            <w:r w:rsidRPr="00023F68">
              <w:rPr>
                <w:color w:val="000000"/>
              </w:rPr>
              <w:t>Yorkshire and Humber</w:t>
            </w:r>
          </w:p>
        </w:tc>
        <w:tc>
          <w:tcPr>
            <w:tcW w:w="1356" w:type="dxa"/>
            <w:noWrap/>
            <w:hideMark/>
          </w:tcPr>
          <w:p w14:paraId="762E56C3"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840</w:t>
            </w:r>
          </w:p>
        </w:tc>
        <w:tc>
          <w:tcPr>
            <w:tcW w:w="1357" w:type="dxa"/>
            <w:noWrap/>
            <w:hideMark/>
          </w:tcPr>
          <w:p w14:paraId="6AC3631C"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1,830</w:t>
            </w:r>
          </w:p>
        </w:tc>
        <w:tc>
          <w:tcPr>
            <w:tcW w:w="1550" w:type="dxa"/>
            <w:noWrap/>
            <w:hideMark/>
          </w:tcPr>
          <w:p w14:paraId="64BE1524"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390</w:t>
            </w:r>
          </w:p>
        </w:tc>
        <w:tc>
          <w:tcPr>
            <w:tcW w:w="1163" w:type="dxa"/>
            <w:noWrap/>
            <w:hideMark/>
          </w:tcPr>
          <w:p w14:paraId="6B3DFC76"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800</w:t>
            </w:r>
          </w:p>
        </w:tc>
        <w:tc>
          <w:tcPr>
            <w:tcW w:w="1356" w:type="dxa"/>
            <w:noWrap/>
            <w:hideMark/>
          </w:tcPr>
          <w:p w14:paraId="440B3AC5"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1,210</w:t>
            </w:r>
          </w:p>
        </w:tc>
        <w:tc>
          <w:tcPr>
            <w:tcW w:w="1357" w:type="dxa"/>
            <w:noWrap/>
            <w:hideMark/>
          </w:tcPr>
          <w:p w14:paraId="7DDA73CD"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5,070</w:t>
            </w:r>
          </w:p>
        </w:tc>
      </w:tr>
      <w:tr w:rsidR="000C0C3C" w:rsidRPr="002805F3" w14:paraId="7C2E5D83" w14:textId="77777777" w:rsidTr="009F5177">
        <w:trPr>
          <w:trHeight w:val="285"/>
        </w:trPr>
        <w:tc>
          <w:tcPr>
            <w:cnfStyle w:val="001000000000" w:firstRow="0" w:lastRow="0" w:firstColumn="1" w:lastColumn="0" w:oddVBand="0" w:evenVBand="0" w:oddHBand="0" w:evenHBand="0" w:firstRowFirstColumn="0" w:firstRowLastColumn="0" w:lastRowFirstColumn="0" w:lastRowLastColumn="0"/>
            <w:tcW w:w="1974" w:type="dxa"/>
            <w:noWrap/>
            <w:hideMark/>
          </w:tcPr>
          <w:p w14:paraId="59769C2E" w14:textId="77777777" w:rsidR="000C0C3C" w:rsidRPr="002805F3" w:rsidRDefault="000C0C3C" w:rsidP="009F5177">
            <w:pPr>
              <w:spacing w:after="0"/>
              <w:rPr>
                <w:color w:val="000000"/>
              </w:rPr>
            </w:pPr>
            <w:r w:rsidRPr="002805F3">
              <w:rPr>
                <w:color w:val="000000"/>
              </w:rPr>
              <w:t>Outside L/H</w:t>
            </w:r>
          </w:p>
        </w:tc>
        <w:tc>
          <w:tcPr>
            <w:tcW w:w="1356" w:type="dxa"/>
            <w:noWrap/>
            <w:hideMark/>
          </w:tcPr>
          <w:p w14:paraId="365278DD"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1,360</w:t>
            </w:r>
          </w:p>
        </w:tc>
        <w:tc>
          <w:tcPr>
            <w:tcW w:w="1357" w:type="dxa"/>
            <w:noWrap/>
            <w:hideMark/>
          </w:tcPr>
          <w:p w14:paraId="14F37C32"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3,140</w:t>
            </w:r>
          </w:p>
        </w:tc>
        <w:tc>
          <w:tcPr>
            <w:tcW w:w="1550" w:type="dxa"/>
            <w:noWrap/>
            <w:hideMark/>
          </w:tcPr>
          <w:p w14:paraId="5BF04FB2"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510</w:t>
            </w:r>
          </w:p>
        </w:tc>
        <w:tc>
          <w:tcPr>
            <w:tcW w:w="1163" w:type="dxa"/>
            <w:noWrap/>
            <w:hideMark/>
          </w:tcPr>
          <w:p w14:paraId="2D2E4F15"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1,980</w:t>
            </w:r>
          </w:p>
        </w:tc>
        <w:tc>
          <w:tcPr>
            <w:tcW w:w="1356" w:type="dxa"/>
            <w:noWrap/>
            <w:hideMark/>
          </w:tcPr>
          <w:p w14:paraId="649CB64A"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1,080</w:t>
            </w:r>
          </w:p>
        </w:tc>
        <w:tc>
          <w:tcPr>
            <w:tcW w:w="1357" w:type="dxa"/>
            <w:noWrap/>
            <w:hideMark/>
          </w:tcPr>
          <w:p w14:paraId="6B0A10AB"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8,070</w:t>
            </w:r>
          </w:p>
        </w:tc>
      </w:tr>
      <w:tr w:rsidR="000C0C3C" w:rsidRPr="002805F3" w14:paraId="75219042" w14:textId="77777777" w:rsidTr="009F5177">
        <w:trPr>
          <w:trHeight w:val="285"/>
        </w:trPr>
        <w:tc>
          <w:tcPr>
            <w:cnfStyle w:val="001000000000" w:firstRow="0" w:lastRow="0" w:firstColumn="1" w:lastColumn="0" w:oddVBand="0" w:evenVBand="0" w:oddHBand="0" w:evenHBand="0" w:firstRowFirstColumn="0" w:firstRowLastColumn="0" w:lastRowFirstColumn="0" w:lastRowLastColumn="0"/>
            <w:tcW w:w="1974" w:type="dxa"/>
            <w:noWrap/>
            <w:hideMark/>
          </w:tcPr>
          <w:p w14:paraId="19C6724A" w14:textId="77777777" w:rsidR="000C0C3C" w:rsidRPr="00332466" w:rsidRDefault="000C0C3C" w:rsidP="009F5177">
            <w:pPr>
              <w:spacing w:after="0"/>
              <w:rPr>
                <w:b/>
                <w:color w:val="000000"/>
              </w:rPr>
            </w:pPr>
            <w:r w:rsidRPr="00332466">
              <w:rPr>
                <w:b/>
                <w:color w:val="000000"/>
              </w:rPr>
              <w:t>Total</w:t>
            </w:r>
          </w:p>
        </w:tc>
        <w:tc>
          <w:tcPr>
            <w:tcW w:w="1356" w:type="dxa"/>
            <w:noWrap/>
            <w:vAlign w:val="bottom"/>
            <w:hideMark/>
          </w:tcPr>
          <w:p w14:paraId="6D1B328F" w14:textId="77777777" w:rsidR="000C0C3C" w:rsidRPr="005B6D13" w:rsidRDefault="000C0C3C" w:rsidP="009F5177">
            <w:pPr>
              <w:jc w:val="right"/>
              <w:cnfStyle w:val="000000000000" w:firstRow="0" w:lastRow="0" w:firstColumn="0" w:lastColumn="0" w:oddVBand="0" w:evenVBand="0" w:oddHBand="0" w:evenHBand="0" w:firstRowFirstColumn="0" w:firstRowLastColumn="0" w:lastRowFirstColumn="0" w:lastRowLastColumn="0"/>
              <w:rPr>
                <w:b/>
                <w:color w:val="000000"/>
              </w:rPr>
            </w:pPr>
            <w:r w:rsidRPr="005B6D13">
              <w:rPr>
                <w:b/>
                <w:color w:val="000000"/>
              </w:rPr>
              <w:t>3</w:t>
            </w:r>
            <w:r>
              <w:rPr>
                <w:b/>
                <w:color w:val="000000"/>
              </w:rPr>
              <w:t>,</w:t>
            </w:r>
            <w:r w:rsidRPr="005B6D13">
              <w:rPr>
                <w:b/>
                <w:color w:val="000000"/>
              </w:rPr>
              <w:t>500</w:t>
            </w:r>
          </w:p>
        </w:tc>
        <w:tc>
          <w:tcPr>
            <w:tcW w:w="1357" w:type="dxa"/>
            <w:noWrap/>
            <w:vAlign w:val="bottom"/>
            <w:hideMark/>
          </w:tcPr>
          <w:p w14:paraId="476F8233" w14:textId="77777777" w:rsidR="000C0C3C" w:rsidRPr="005B6D13" w:rsidRDefault="000C0C3C" w:rsidP="009F5177">
            <w:pPr>
              <w:jc w:val="right"/>
              <w:cnfStyle w:val="000000000000" w:firstRow="0" w:lastRow="0" w:firstColumn="0" w:lastColumn="0" w:oddVBand="0" w:evenVBand="0" w:oddHBand="0" w:evenHBand="0" w:firstRowFirstColumn="0" w:firstRowLastColumn="0" w:lastRowFirstColumn="0" w:lastRowLastColumn="0"/>
              <w:rPr>
                <w:b/>
                <w:color w:val="000000"/>
              </w:rPr>
            </w:pPr>
            <w:r w:rsidRPr="005B6D13">
              <w:rPr>
                <w:b/>
                <w:color w:val="000000"/>
              </w:rPr>
              <w:t>7</w:t>
            </w:r>
            <w:r>
              <w:rPr>
                <w:b/>
                <w:color w:val="000000"/>
              </w:rPr>
              <w:t>,</w:t>
            </w:r>
            <w:r w:rsidRPr="005B6D13">
              <w:rPr>
                <w:b/>
                <w:color w:val="000000"/>
              </w:rPr>
              <w:t>550</w:t>
            </w:r>
          </w:p>
        </w:tc>
        <w:tc>
          <w:tcPr>
            <w:tcW w:w="1550" w:type="dxa"/>
            <w:noWrap/>
            <w:vAlign w:val="bottom"/>
            <w:hideMark/>
          </w:tcPr>
          <w:p w14:paraId="1BE2A7E2" w14:textId="77777777" w:rsidR="000C0C3C" w:rsidRPr="005B6D13" w:rsidRDefault="000C0C3C" w:rsidP="009F5177">
            <w:pPr>
              <w:jc w:val="right"/>
              <w:cnfStyle w:val="000000000000" w:firstRow="0" w:lastRow="0" w:firstColumn="0" w:lastColumn="0" w:oddVBand="0" w:evenVBand="0" w:oddHBand="0" w:evenHBand="0" w:firstRowFirstColumn="0" w:firstRowLastColumn="0" w:lastRowFirstColumn="0" w:lastRowLastColumn="0"/>
              <w:rPr>
                <w:b/>
                <w:color w:val="000000"/>
              </w:rPr>
            </w:pPr>
            <w:r w:rsidRPr="005B6D13">
              <w:rPr>
                <w:b/>
                <w:color w:val="000000"/>
              </w:rPr>
              <w:t>1</w:t>
            </w:r>
            <w:r>
              <w:rPr>
                <w:b/>
                <w:color w:val="000000"/>
              </w:rPr>
              <w:t>,</w:t>
            </w:r>
            <w:r w:rsidRPr="005B6D13">
              <w:rPr>
                <w:b/>
                <w:color w:val="000000"/>
              </w:rPr>
              <w:t>500</w:t>
            </w:r>
          </w:p>
        </w:tc>
        <w:tc>
          <w:tcPr>
            <w:tcW w:w="1163" w:type="dxa"/>
            <w:noWrap/>
            <w:vAlign w:val="bottom"/>
            <w:hideMark/>
          </w:tcPr>
          <w:p w14:paraId="614F5C45" w14:textId="77777777" w:rsidR="000C0C3C" w:rsidRPr="005B6D13" w:rsidRDefault="000C0C3C" w:rsidP="009F5177">
            <w:pPr>
              <w:jc w:val="right"/>
              <w:cnfStyle w:val="000000000000" w:firstRow="0" w:lastRow="0" w:firstColumn="0" w:lastColumn="0" w:oddVBand="0" w:evenVBand="0" w:oddHBand="0" w:evenHBand="0" w:firstRowFirstColumn="0" w:firstRowLastColumn="0" w:lastRowFirstColumn="0" w:lastRowLastColumn="0"/>
              <w:rPr>
                <w:b/>
                <w:color w:val="000000"/>
              </w:rPr>
            </w:pPr>
            <w:r w:rsidRPr="005B6D13">
              <w:rPr>
                <w:b/>
                <w:color w:val="000000"/>
              </w:rPr>
              <w:t>4</w:t>
            </w:r>
            <w:r>
              <w:rPr>
                <w:b/>
                <w:color w:val="000000"/>
              </w:rPr>
              <w:t>,</w:t>
            </w:r>
            <w:r w:rsidRPr="005B6D13">
              <w:rPr>
                <w:b/>
                <w:color w:val="000000"/>
              </w:rPr>
              <w:t>080</w:t>
            </w:r>
          </w:p>
        </w:tc>
        <w:tc>
          <w:tcPr>
            <w:tcW w:w="1356" w:type="dxa"/>
            <w:noWrap/>
            <w:vAlign w:val="bottom"/>
            <w:hideMark/>
          </w:tcPr>
          <w:p w14:paraId="3C93B4BC" w14:textId="77777777" w:rsidR="000C0C3C" w:rsidRPr="005B6D13" w:rsidRDefault="000C0C3C" w:rsidP="009F5177">
            <w:pPr>
              <w:jc w:val="right"/>
              <w:cnfStyle w:val="000000000000" w:firstRow="0" w:lastRow="0" w:firstColumn="0" w:lastColumn="0" w:oddVBand="0" w:evenVBand="0" w:oddHBand="0" w:evenHBand="0" w:firstRowFirstColumn="0" w:firstRowLastColumn="0" w:lastRowFirstColumn="0" w:lastRowLastColumn="0"/>
              <w:rPr>
                <w:b/>
                <w:color w:val="000000"/>
              </w:rPr>
            </w:pPr>
            <w:r w:rsidRPr="005B6D13">
              <w:rPr>
                <w:b/>
                <w:color w:val="000000"/>
              </w:rPr>
              <w:t>3</w:t>
            </w:r>
            <w:r>
              <w:rPr>
                <w:b/>
                <w:color w:val="000000"/>
              </w:rPr>
              <w:t>,</w:t>
            </w:r>
            <w:r w:rsidRPr="005B6D13">
              <w:rPr>
                <w:b/>
                <w:color w:val="000000"/>
              </w:rPr>
              <w:t>860</w:t>
            </w:r>
          </w:p>
        </w:tc>
        <w:tc>
          <w:tcPr>
            <w:tcW w:w="1357" w:type="dxa"/>
            <w:noWrap/>
            <w:vAlign w:val="bottom"/>
            <w:hideMark/>
          </w:tcPr>
          <w:p w14:paraId="098958D5" w14:textId="77777777" w:rsidR="000C0C3C" w:rsidRPr="005B6D13" w:rsidRDefault="000C0C3C" w:rsidP="009F5177">
            <w:pPr>
              <w:jc w:val="right"/>
              <w:cnfStyle w:val="000000000000" w:firstRow="0" w:lastRow="0" w:firstColumn="0" w:lastColumn="0" w:oddVBand="0" w:evenVBand="0" w:oddHBand="0" w:evenHBand="0" w:firstRowFirstColumn="0" w:firstRowLastColumn="0" w:lastRowFirstColumn="0" w:lastRowLastColumn="0"/>
              <w:rPr>
                <w:b/>
                <w:color w:val="000000"/>
              </w:rPr>
            </w:pPr>
            <w:r w:rsidRPr="005B6D13">
              <w:rPr>
                <w:b/>
                <w:color w:val="000000"/>
              </w:rPr>
              <w:t>20</w:t>
            </w:r>
            <w:r>
              <w:rPr>
                <w:b/>
                <w:color w:val="000000"/>
              </w:rPr>
              <w:t>,</w:t>
            </w:r>
            <w:r w:rsidRPr="005B6D13">
              <w:rPr>
                <w:b/>
                <w:color w:val="000000"/>
              </w:rPr>
              <w:t>490</w:t>
            </w:r>
          </w:p>
        </w:tc>
      </w:tr>
      <w:tr w:rsidR="000C0C3C" w:rsidRPr="002805F3" w14:paraId="55FB73C6" w14:textId="77777777" w:rsidTr="009F5177">
        <w:trPr>
          <w:trHeight w:val="285"/>
        </w:trPr>
        <w:tc>
          <w:tcPr>
            <w:cnfStyle w:val="001000000000" w:firstRow="0" w:lastRow="0" w:firstColumn="1" w:lastColumn="0" w:oddVBand="0" w:evenVBand="0" w:oddHBand="0" w:evenHBand="0" w:firstRowFirstColumn="0" w:firstRowLastColumn="0" w:lastRowFirstColumn="0" w:lastRowLastColumn="0"/>
            <w:tcW w:w="1974" w:type="dxa"/>
            <w:shd w:val="clear" w:color="auto" w:fill="E6E4DE" w:themeFill="accent6"/>
            <w:noWrap/>
            <w:hideMark/>
          </w:tcPr>
          <w:p w14:paraId="23A82C9D" w14:textId="77777777" w:rsidR="000C0C3C" w:rsidRPr="00332466" w:rsidRDefault="000C0C3C" w:rsidP="009F5177">
            <w:pPr>
              <w:spacing w:after="0"/>
              <w:rPr>
                <w:b/>
                <w:color w:val="000000"/>
              </w:rPr>
            </w:pPr>
            <w:r w:rsidRPr="00332466">
              <w:rPr>
                <w:b/>
                <w:color w:val="000000"/>
              </w:rPr>
              <w:t>Induced</w:t>
            </w:r>
          </w:p>
        </w:tc>
        <w:tc>
          <w:tcPr>
            <w:tcW w:w="8139" w:type="dxa"/>
            <w:gridSpan w:val="6"/>
            <w:shd w:val="clear" w:color="auto" w:fill="E6E4DE" w:themeFill="accent6"/>
            <w:noWrap/>
            <w:hideMark/>
          </w:tcPr>
          <w:p w14:paraId="05C44799"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p>
        </w:tc>
      </w:tr>
      <w:tr w:rsidR="000C0C3C" w:rsidRPr="002805F3" w14:paraId="53EDD71C" w14:textId="77777777" w:rsidTr="009F5177">
        <w:trPr>
          <w:trHeight w:val="300"/>
        </w:trPr>
        <w:tc>
          <w:tcPr>
            <w:cnfStyle w:val="001000000000" w:firstRow="0" w:lastRow="0" w:firstColumn="1" w:lastColumn="0" w:oddVBand="0" w:evenVBand="0" w:oddHBand="0" w:evenHBand="0" w:firstRowFirstColumn="0" w:firstRowLastColumn="0" w:lastRowFirstColumn="0" w:lastRowLastColumn="0"/>
            <w:tcW w:w="1974" w:type="dxa"/>
            <w:noWrap/>
            <w:hideMark/>
          </w:tcPr>
          <w:p w14:paraId="2A955FCD" w14:textId="77777777" w:rsidR="000C0C3C" w:rsidRPr="002805F3" w:rsidRDefault="000C0C3C" w:rsidP="009F5177">
            <w:pPr>
              <w:spacing w:after="0"/>
              <w:rPr>
                <w:color w:val="000000"/>
              </w:rPr>
            </w:pPr>
            <w:r>
              <w:rPr>
                <w:color w:val="000000"/>
              </w:rPr>
              <w:t xml:space="preserve">N.&amp; N.E </w:t>
            </w:r>
            <w:r w:rsidRPr="002805F3">
              <w:rPr>
                <w:color w:val="000000"/>
              </w:rPr>
              <w:t xml:space="preserve">Lincolnshire </w:t>
            </w:r>
            <w:r>
              <w:rPr>
                <w:color w:val="000000"/>
              </w:rPr>
              <w:t>&amp;</w:t>
            </w:r>
            <w:r w:rsidRPr="002805F3">
              <w:rPr>
                <w:color w:val="000000"/>
              </w:rPr>
              <w:t xml:space="preserve"> Humber</w:t>
            </w:r>
          </w:p>
        </w:tc>
        <w:tc>
          <w:tcPr>
            <w:tcW w:w="1356" w:type="dxa"/>
            <w:noWrap/>
            <w:hideMark/>
          </w:tcPr>
          <w:p w14:paraId="3F891264"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720</w:t>
            </w:r>
          </w:p>
        </w:tc>
        <w:tc>
          <w:tcPr>
            <w:tcW w:w="1357" w:type="dxa"/>
            <w:noWrap/>
            <w:hideMark/>
          </w:tcPr>
          <w:p w14:paraId="089354C8"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990</w:t>
            </w:r>
          </w:p>
        </w:tc>
        <w:tc>
          <w:tcPr>
            <w:tcW w:w="1550" w:type="dxa"/>
            <w:noWrap/>
            <w:hideMark/>
          </w:tcPr>
          <w:p w14:paraId="172836F4"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160</w:t>
            </w:r>
          </w:p>
        </w:tc>
        <w:tc>
          <w:tcPr>
            <w:tcW w:w="1163" w:type="dxa"/>
            <w:noWrap/>
            <w:hideMark/>
          </w:tcPr>
          <w:p w14:paraId="7CD0EE40"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780</w:t>
            </w:r>
          </w:p>
        </w:tc>
        <w:tc>
          <w:tcPr>
            <w:tcW w:w="1356" w:type="dxa"/>
            <w:noWrap/>
            <w:hideMark/>
          </w:tcPr>
          <w:p w14:paraId="7651159E"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590</w:t>
            </w:r>
          </w:p>
        </w:tc>
        <w:tc>
          <w:tcPr>
            <w:tcW w:w="1357" w:type="dxa"/>
            <w:noWrap/>
            <w:hideMark/>
          </w:tcPr>
          <w:p w14:paraId="1FB73EB8"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3,240</w:t>
            </w:r>
          </w:p>
        </w:tc>
      </w:tr>
      <w:tr w:rsidR="000C0C3C" w:rsidRPr="002805F3" w14:paraId="624D8AA9" w14:textId="77777777" w:rsidTr="009F5177">
        <w:trPr>
          <w:trHeight w:val="300"/>
        </w:trPr>
        <w:tc>
          <w:tcPr>
            <w:cnfStyle w:val="001000000000" w:firstRow="0" w:lastRow="0" w:firstColumn="1" w:lastColumn="0" w:oddVBand="0" w:evenVBand="0" w:oddHBand="0" w:evenHBand="0" w:firstRowFirstColumn="0" w:firstRowLastColumn="0" w:lastRowFirstColumn="0" w:lastRowLastColumn="0"/>
            <w:tcW w:w="1974" w:type="dxa"/>
            <w:noWrap/>
            <w:hideMark/>
          </w:tcPr>
          <w:p w14:paraId="666224D6" w14:textId="77777777" w:rsidR="000C0C3C" w:rsidRPr="002805F3" w:rsidRDefault="000C0C3C" w:rsidP="009F5177">
            <w:pPr>
              <w:spacing w:after="0"/>
              <w:rPr>
                <w:color w:val="000000"/>
              </w:rPr>
            </w:pPr>
            <w:r>
              <w:rPr>
                <w:color w:val="000000"/>
              </w:rPr>
              <w:t xml:space="preserve">Elsewhere in </w:t>
            </w:r>
            <w:r w:rsidRPr="00023F68">
              <w:rPr>
                <w:color w:val="000000"/>
              </w:rPr>
              <w:t>Yorkshire and Humber</w:t>
            </w:r>
          </w:p>
        </w:tc>
        <w:tc>
          <w:tcPr>
            <w:tcW w:w="1356" w:type="dxa"/>
            <w:noWrap/>
            <w:hideMark/>
          </w:tcPr>
          <w:p w14:paraId="5E2C1383"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470</w:t>
            </w:r>
          </w:p>
        </w:tc>
        <w:tc>
          <w:tcPr>
            <w:tcW w:w="1357" w:type="dxa"/>
            <w:noWrap/>
            <w:hideMark/>
          </w:tcPr>
          <w:p w14:paraId="5BF56666"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700</w:t>
            </w:r>
          </w:p>
        </w:tc>
        <w:tc>
          <w:tcPr>
            <w:tcW w:w="1550" w:type="dxa"/>
            <w:noWrap/>
            <w:hideMark/>
          </w:tcPr>
          <w:p w14:paraId="706640C7"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110</w:t>
            </w:r>
          </w:p>
        </w:tc>
        <w:tc>
          <w:tcPr>
            <w:tcW w:w="1163" w:type="dxa"/>
            <w:noWrap/>
            <w:hideMark/>
          </w:tcPr>
          <w:p w14:paraId="1DCFF773"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480</w:t>
            </w:r>
          </w:p>
        </w:tc>
        <w:tc>
          <w:tcPr>
            <w:tcW w:w="1356" w:type="dxa"/>
            <w:noWrap/>
            <w:hideMark/>
          </w:tcPr>
          <w:p w14:paraId="4E54B2A5"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450</w:t>
            </w:r>
          </w:p>
        </w:tc>
        <w:tc>
          <w:tcPr>
            <w:tcW w:w="1357" w:type="dxa"/>
            <w:noWrap/>
            <w:hideMark/>
          </w:tcPr>
          <w:p w14:paraId="225642CE"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2,210</w:t>
            </w:r>
          </w:p>
        </w:tc>
      </w:tr>
      <w:tr w:rsidR="000C0C3C" w:rsidRPr="002805F3" w14:paraId="12541364" w14:textId="77777777" w:rsidTr="009F5177">
        <w:trPr>
          <w:trHeight w:val="255"/>
        </w:trPr>
        <w:tc>
          <w:tcPr>
            <w:cnfStyle w:val="001000000000" w:firstRow="0" w:lastRow="0" w:firstColumn="1" w:lastColumn="0" w:oddVBand="0" w:evenVBand="0" w:oddHBand="0" w:evenHBand="0" w:firstRowFirstColumn="0" w:firstRowLastColumn="0" w:lastRowFirstColumn="0" w:lastRowLastColumn="0"/>
            <w:tcW w:w="1974" w:type="dxa"/>
            <w:noWrap/>
            <w:hideMark/>
          </w:tcPr>
          <w:p w14:paraId="53CD6D94" w14:textId="77777777" w:rsidR="000C0C3C" w:rsidRPr="002805F3" w:rsidRDefault="000C0C3C" w:rsidP="009F5177">
            <w:pPr>
              <w:spacing w:after="0"/>
              <w:rPr>
                <w:color w:val="000000"/>
              </w:rPr>
            </w:pPr>
            <w:r w:rsidRPr="002805F3">
              <w:rPr>
                <w:color w:val="000000"/>
              </w:rPr>
              <w:t xml:space="preserve">Outside </w:t>
            </w:r>
            <w:r>
              <w:rPr>
                <w:color w:val="000000"/>
              </w:rPr>
              <w:t>Yorkshire</w:t>
            </w:r>
          </w:p>
        </w:tc>
        <w:tc>
          <w:tcPr>
            <w:tcW w:w="1356" w:type="dxa"/>
            <w:noWrap/>
            <w:hideMark/>
          </w:tcPr>
          <w:p w14:paraId="0AF1AE18"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760</w:t>
            </w:r>
          </w:p>
        </w:tc>
        <w:tc>
          <w:tcPr>
            <w:tcW w:w="1357" w:type="dxa"/>
            <w:noWrap/>
            <w:hideMark/>
          </w:tcPr>
          <w:p w14:paraId="74B094B3"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1,200</w:t>
            </w:r>
          </w:p>
        </w:tc>
        <w:tc>
          <w:tcPr>
            <w:tcW w:w="1550" w:type="dxa"/>
            <w:noWrap/>
            <w:hideMark/>
          </w:tcPr>
          <w:p w14:paraId="354589E5"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140</w:t>
            </w:r>
          </w:p>
        </w:tc>
        <w:tc>
          <w:tcPr>
            <w:tcW w:w="1163" w:type="dxa"/>
            <w:noWrap/>
            <w:hideMark/>
          </w:tcPr>
          <w:p w14:paraId="47C7DB33"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1,190</w:t>
            </w:r>
          </w:p>
        </w:tc>
        <w:tc>
          <w:tcPr>
            <w:tcW w:w="1356" w:type="dxa"/>
            <w:noWrap/>
            <w:hideMark/>
          </w:tcPr>
          <w:p w14:paraId="59311888"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400</w:t>
            </w:r>
          </w:p>
        </w:tc>
        <w:tc>
          <w:tcPr>
            <w:tcW w:w="1357" w:type="dxa"/>
            <w:noWrap/>
            <w:hideMark/>
          </w:tcPr>
          <w:p w14:paraId="4B86ED8D" w14:textId="77777777" w:rsidR="000C0C3C" w:rsidRPr="002805F3" w:rsidRDefault="000C0C3C" w:rsidP="009F5177">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3,690</w:t>
            </w:r>
          </w:p>
        </w:tc>
      </w:tr>
      <w:tr w:rsidR="000C0C3C" w:rsidRPr="002805F3" w14:paraId="341E646C" w14:textId="77777777" w:rsidTr="009F5177">
        <w:trPr>
          <w:trHeight w:val="255"/>
        </w:trPr>
        <w:tc>
          <w:tcPr>
            <w:cnfStyle w:val="001000000000" w:firstRow="0" w:lastRow="0" w:firstColumn="1" w:lastColumn="0" w:oddVBand="0" w:evenVBand="0" w:oddHBand="0" w:evenHBand="0" w:firstRowFirstColumn="0" w:firstRowLastColumn="0" w:lastRowFirstColumn="0" w:lastRowLastColumn="0"/>
            <w:tcW w:w="10113" w:type="dxa"/>
            <w:gridSpan w:val="7"/>
            <w:noWrap/>
            <w:hideMark/>
          </w:tcPr>
          <w:p w14:paraId="3E789CA6" w14:textId="77777777" w:rsidR="000C0C3C" w:rsidRPr="002805F3" w:rsidRDefault="000C0C3C" w:rsidP="009F5177">
            <w:pPr>
              <w:spacing w:after="0"/>
              <w:ind w:right="69"/>
              <w:jc w:val="right"/>
              <w:rPr>
                <w:color w:val="000000"/>
              </w:rPr>
            </w:pPr>
          </w:p>
        </w:tc>
      </w:tr>
      <w:tr w:rsidR="000C0C3C" w:rsidRPr="002805F3" w14:paraId="28DC946C" w14:textId="77777777" w:rsidTr="009F5177">
        <w:trPr>
          <w:trHeight w:val="255"/>
        </w:trPr>
        <w:tc>
          <w:tcPr>
            <w:cnfStyle w:val="001000000000" w:firstRow="0" w:lastRow="0" w:firstColumn="1" w:lastColumn="0" w:oddVBand="0" w:evenVBand="0" w:oddHBand="0" w:evenHBand="0" w:firstRowFirstColumn="0" w:firstRowLastColumn="0" w:lastRowFirstColumn="0" w:lastRowLastColumn="0"/>
            <w:tcW w:w="1974" w:type="dxa"/>
            <w:shd w:val="clear" w:color="auto" w:fill="E6E4DE" w:themeFill="accent6"/>
            <w:noWrap/>
            <w:hideMark/>
          </w:tcPr>
          <w:p w14:paraId="0CFF4E17" w14:textId="77777777" w:rsidR="000C0C3C" w:rsidRPr="00332466" w:rsidRDefault="000C0C3C" w:rsidP="009F5177">
            <w:pPr>
              <w:spacing w:after="0"/>
              <w:rPr>
                <w:b/>
                <w:color w:val="000000"/>
              </w:rPr>
            </w:pPr>
            <w:r w:rsidRPr="00332466">
              <w:rPr>
                <w:b/>
                <w:color w:val="000000"/>
              </w:rPr>
              <w:t xml:space="preserve">Total </w:t>
            </w:r>
          </w:p>
        </w:tc>
        <w:tc>
          <w:tcPr>
            <w:tcW w:w="1356" w:type="dxa"/>
            <w:shd w:val="clear" w:color="auto" w:fill="E6E4DE" w:themeFill="accent6"/>
            <w:noWrap/>
            <w:hideMark/>
          </w:tcPr>
          <w:p w14:paraId="39638D71" w14:textId="77777777" w:rsidR="000C0C3C" w:rsidRPr="005B6D13" w:rsidRDefault="000C0C3C" w:rsidP="009F5177">
            <w:pPr>
              <w:jc w:val="right"/>
              <w:cnfStyle w:val="000000000000" w:firstRow="0" w:lastRow="0" w:firstColumn="0" w:lastColumn="0" w:oddVBand="0" w:evenVBand="0" w:oddHBand="0" w:evenHBand="0" w:firstRowFirstColumn="0" w:firstRowLastColumn="0" w:lastRowFirstColumn="0" w:lastRowLastColumn="0"/>
              <w:rPr>
                <w:b/>
                <w:color w:val="auto"/>
              </w:rPr>
            </w:pPr>
            <w:r w:rsidRPr="005B6D13">
              <w:rPr>
                <w:b/>
                <w:color w:val="auto"/>
              </w:rPr>
              <w:t xml:space="preserve"> 8,700 </w:t>
            </w:r>
          </w:p>
        </w:tc>
        <w:tc>
          <w:tcPr>
            <w:tcW w:w="1357" w:type="dxa"/>
            <w:shd w:val="clear" w:color="auto" w:fill="E6E4DE" w:themeFill="accent6"/>
            <w:noWrap/>
            <w:hideMark/>
          </w:tcPr>
          <w:p w14:paraId="3B35EDA9" w14:textId="77777777" w:rsidR="000C0C3C" w:rsidRPr="005B6D13" w:rsidRDefault="000C0C3C" w:rsidP="009F5177">
            <w:pPr>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 xml:space="preserve"> 15,260</w:t>
            </w:r>
            <w:r w:rsidRPr="005B6D13">
              <w:rPr>
                <w:b/>
                <w:color w:val="auto"/>
              </w:rPr>
              <w:t xml:space="preserve"> </w:t>
            </w:r>
          </w:p>
        </w:tc>
        <w:tc>
          <w:tcPr>
            <w:tcW w:w="1550" w:type="dxa"/>
            <w:shd w:val="clear" w:color="auto" w:fill="E6E4DE" w:themeFill="accent6"/>
            <w:noWrap/>
            <w:hideMark/>
          </w:tcPr>
          <w:p w14:paraId="1EEB3C6C" w14:textId="77777777" w:rsidR="000C0C3C" w:rsidRPr="005B6D13" w:rsidRDefault="000C0C3C" w:rsidP="009F5177">
            <w:pPr>
              <w:jc w:val="right"/>
              <w:cnfStyle w:val="000000000000" w:firstRow="0" w:lastRow="0" w:firstColumn="0" w:lastColumn="0" w:oddVBand="0" w:evenVBand="0" w:oddHBand="0" w:evenHBand="0" w:firstRowFirstColumn="0" w:firstRowLastColumn="0" w:lastRowFirstColumn="0" w:lastRowLastColumn="0"/>
              <w:rPr>
                <w:b/>
                <w:color w:val="auto"/>
              </w:rPr>
            </w:pPr>
            <w:r w:rsidRPr="005B6D13">
              <w:rPr>
                <w:b/>
                <w:color w:val="auto"/>
              </w:rPr>
              <w:t xml:space="preserve"> 6,010 </w:t>
            </w:r>
          </w:p>
        </w:tc>
        <w:tc>
          <w:tcPr>
            <w:tcW w:w="1163" w:type="dxa"/>
            <w:shd w:val="clear" w:color="auto" w:fill="E6E4DE" w:themeFill="accent6"/>
            <w:noWrap/>
            <w:hideMark/>
          </w:tcPr>
          <w:p w14:paraId="4179AE69" w14:textId="77777777" w:rsidR="000C0C3C" w:rsidRPr="005B6D13" w:rsidRDefault="000C0C3C" w:rsidP="009F5177">
            <w:pPr>
              <w:jc w:val="right"/>
              <w:cnfStyle w:val="000000000000" w:firstRow="0" w:lastRow="0" w:firstColumn="0" w:lastColumn="0" w:oddVBand="0" w:evenVBand="0" w:oddHBand="0" w:evenHBand="0" w:firstRowFirstColumn="0" w:firstRowLastColumn="0" w:lastRowFirstColumn="0" w:lastRowLastColumn="0"/>
              <w:rPr>
                <w:b/>
                <w:color w:val="auto"/>
              </w:rPr>
            </w:pPr>
            <w:r w:rsidRPr="005B6D13">
              <w:rPr>
                <w:b/>
                <w:color w:val="auto"/>
              </w:rPr>
              <w:t xml:space="preserve"> 8,760 </w:t>
            </w:r>
          </w:p>
        </w:tc>
        <w:tc>
          <w:tcPr>
            <w:tcW w:w="1356" w:type="dxa"/>
            <w:shd w:val="clear" w:color="auto" w:fill="E6E4DE" w:themeFill="accent6"/>
            <w:noWrap/>
            <w:hideMark/>
          </w:tcPr>
          <w:p w14:paraId="7424CE4E" w14:textId="77777777" w:rsidR="000C0C3C" w:rsidRPr="005B6D13" w:rsidRDefault="000C0C3C" w:rsidP="009F5177">
            <w:pPr>
              <w:jc w:val="right"/>
              <w:cnfStyle w:val="000000000000" w:firstRow="0" w:lastRow="0" w:firstColumn="0" w:lastColumn="0" w:oddVBand="0" w:evenVBand="0" w:oddHBand="0" w:evenHBand="0" w:firstRowFirstColumn="0" w:firstRowLastColumn="0" w:lastRowFirstColumn="0" w:lastRowLastColumn="0"/>
              <w:rPr>
                <w:b/>
                <w:color w:val="auto"/>
              </w:rPr>
            </w:pPr>
            <w:r w:rsidRPr="005B6D13">
              <w:rPr>
                <w:b/>
                <w:color w:val="auto"/>
              </w:rPr>
              <w:t xml:space="preserve"> 10,130 </w:t>
            </w:r>
          </w:p>
        </w:tc>
        <w:tc>
          <w:tcPr>
            <w:tcW w:w="1357" w:type="dxa"/>
            <w:shd w:val="clear" w:color="auto" w:fill="E6E4DE" w:themeFill="accent6"/>
            <w:noWrap/>
            <w:hideMark/>
          </w:tcPr>
          <w:p w14:paraId="430B7036" w14:textId="77777777" w:rsidR="000C0C3C" w:rsidRPr="005B6D13" w:rsidRDefault="000C0C3C" w:rsidP="009F5177">
            <w:pPr>
              <w:jc w:val="right"/>
              <w:cnfStyle w:val="000000000000" w:firstRow="0" w:lastRow="0" w:firstColumn="0" w:lastColumn="0" w:oddVBand="0" w:evenVBand="0" w:oddHBand="0" w:evenHBand="0" w:firstRowFirstColumn="0" w:firstRowLastColumn="0" w:lastRowFirstColumn="0" w:lastRowLastColumn="0"/>
              <w:rPr>
                <w:b/>
                <w:color w:val="auto"/>
              </w:rPr>
            </w:pPr>
            <w:r w:rsidRPr="005B6D13">
              <w:rPr>
                <w:b/>
                <w:color w:val="auto"/>
              </w:rPr>
              <w:t xml:space="preserve"> 48,860 </w:t>
            </w:r>
          </w:p>
        </w:tc>
      </w:tr>
    </w:tbl>
    <w:p w14:paraId="3136ADAE" w14:textId="77777777" w:rsidR="008D7250" w:rsidRDefault="00091375">
      <w:pPr>
        <w:pStyle w:val="TableSource"/>
      </w:pPr>
      <w:r>
        <w:t xml:space="preserve">Source: </w:t>
      </w:r>
      <w:r w:rsidRPr="002805F3">
        <w:t>Source: Atkins 2013. Atkins Ref: Survey –A9-A11. Figures rounded.</w:t>
      </w:r>
    </w:p>
    <w:p w14:paraId="19B1B9C4" w14:textId="77777777" w:rsidR="000C0C3C" w:rsidRPr="0026706D" w:rsidRDefault="000C0C3C" w:rsidP="000C0C3C">
      <w:r>
        <w:t>For each of the five key sectors, we have modelled the contribu</w:t>
      </w:r>
      <w:r w:rsidR="00B67E31">
        <w:t>tion to Gross Value Added (GVA).  Also set out in this report is an analysis of</w:t>
      </w:r>
      <w:r>
        <w:t xml:space="preserve"> supply chain linkages,</w:t>
      </w:r>
      <w:r w:rsidR="00B67E31">
        <w:t xml:space="preserve"> markets served and opportunities for </w:t>
      </w:r>
      <w:r w:rsidR="006E454F">
        <w:t xml:space="preserve">economic </w:t>
      </w:r>
      <w:r w:rsidR="00B67E31">
        <w:t xml:space="preserve">growth and diversification.  </w:t>
      </w:r>
      <w:r>
        <w:t xml:space="preserve"> </w:t>
      </w:r>
    </w:p>
    <w:p w14:paraId="5230479A" w14:textId="77777777" w:rsidR="000C0C3C" w:rsidRDefault="000C0C3C" w:rsidP="000C0C3C">
      <w:r>
        <w:t>Despite a diverse range of opportunities and challenges across</w:t>
      </w:r>
      <w:r w:rsidR="00B67E31">
        <w:t xml:space="preserve"> the</w:t>
      </w:r>
      <w:r>
        <w:t xml:space="preserve"> sectors, </w:t>
      </w:r>
      <w:r w:rsidR="00B67E31">
        <w:t xml:space="preserve">the research identified a number of important themes which are common to multiple sectors.  This in part reflects the interdependence between some of the key sectors and the extent to which they are mutually supportive. Consequently, in </w:t>
      </w:r>
      <w:r w:rsidR="00E111DA">
        <w:t>prioritising interventions, consideration should be given to targeted actions that seek to reinforce linkages between the sectors and their respective supply chains.</w:t>
      </w:r>
    </w:p>
    <w:p w14:paraId="2137D004" w14:textId="77777777" w:rsidR="000C0C3C" w:rsidRDefault="000C0C3C" w:rsidP="000C0C3C">
      <w:r>
        <w:t xml:space="preserve">Key prospects which emerged from the analysis include: </w:t>
      </w:r>
    </w:p>
    <w:p w14:paraId="7533E099" w14:textId="77777777" w:rsidR="000C0C3C" w:rsidRDefault="000C0C3C" w:rsidP="000C0C3C">
      <w:pPr>
        <w:pStyle w:val="ListParagraph"/>
        <w:numPr>
          <w:ilvl w:val="0"/>
          <w:numId w:val="122"/>
        </w:numPr>
      </w:pPr>
      <w:r>
        <w:t>The central role of the port</w:t>
      </w:r>
      <w:r w:rsidR="002A40AA">
        <w:t>s</w:t>
      </w:r>
      <w:r>
        <w:t xml:space="preserve"> </w:t>
      </w:r>
      <w:r w:rsidR="002A40AA">
        <w:t>to</w:t>
      </w:r>
      <w:r>
        <w:t xml:space="preserve"> the future of the area’s economy, given limited alternatives to sea transport for the movement of bulky commodities in and out of the UK.</w:t>
      </w:r>
    </w:p>
    <w:p w14:paraId="623C41CB" w14:textId="77777777" w:rsidR="000C0C3C" w:rsidRDefault="000C0C3C" w:rsidP="000C0C3C">
      <w:pPr>
        <w:pStyle w:val="ListParagraph"/>
        <w:numPr>
          <w:ilvl w:val="0"/>
          <w:numId w:val="122"/>
        </w:numPr>
      </w:pPr>
      <w:r>
        <w:t xml:space="preserve">Reasonably strong transport links in the area, bar some specific areas for improvement. </w:t>
      </w:r>
    </w:p>
    <w:p w14:paraId="3CB4FE75" w14:textId="77777777" w:rsidR="000C0C3C" w:rsidRDefault="000C0C3C" w:rsidP="000C0C3C">
      <w:pPr>
        <w:pStyle w:val="ListParagraph"/>
        <w:numPr>
          <w:ilvl w:val="0"/>
          <w:numId w:val="122"/>
        </w:numPr>
      </w:pPr>
      <w:r>
        <w:t xml:space="preserve">Investment in Hull Green Port and the ABLE Parks stands to benefit many sectors. </w:t>
      </w:r>
    </w:p>
    <w:p w14:paraId="0692B60F" w14:textId="77777777" w:rsidR="000C0C3C" w:rsidRDefault="000C0C3C" w:rsidP="000C0C3C">
      <w:pPr>
        <w:pStyle w:val="ListParagraph"/>
        <w:numPr>
          <w:ilvl w:val="0"/>
          <w:numId w:val="122"/>
        </w:numPr>
      </w:pPr>
      <w:r>
        <w:t xml:space="preserve">The localised clustering of activity in key sectors provides for knowledge sharing, agglomeration benefits, reputation benefits and local supply chain linkages between sectors. </w:t>
      </w:r>
    </w:p>
    <w:p w14:paraId="455F11F9" w14:textId="77777777" w:rsidR="000C0C3C" w:rsidRDefault="000C0C3C" w:rsidP="000C0C3C">
      <w:pPr>
        <w:pStyle w:val="ListParagraph"/>
        <w:numPr>
          <w:ilvl w:val="0"/>
          <w:numId w:val="122"/>
        </w:numPr>
      </w:pPr>
      <w:r>
        <w:t xml:space="preserve">Several institutions exist supporting skills provision and innovation in the area. </w:t>
      </w:r>
    </w:p>
    <w:p w14:paraId="6B4163F5" w14:textId="77777777" w:rsidR="000C0C3C" w:rsidRDefault="000C0C3C" w:rsidP="000C0C3C">
      <w:r>
        <w:t xml:space="preserve">Whilst the above demonstrates </w:t>
      </w:r>
      <w:r w:rsidR="00932EDE">
        <w:t>some of the competitive</w:t>
      </w:r>
      <w:r>
        <w:t xml:space="preserve"> strengths of</w:t>
      </w:r>
      <w:r w:rsidR="00932EDE">
        <w:t xml:space="preserve"> the key sectors</w:t>
      </w:r>
      <w:r>
        <w:t xml:space="preserve"> North East Lincolnshire, several challenges or areas for improvement were also identified for multiple sectors:</w:t>
      </w:r>
      <w:r>
        <w:tab/>
      </w:r>
    </w:p>
    <w:p w14:paraId="46A49A6D" w14:textId="77777777" w:rsidR="000C0C3C" w:rsidRDefault="000C0C3C" w:rsidP="000C0C3C">
      <w:pPr>
        <w:pStyle w:val="ListParagraph"/>
        <w:numPr>
          <w:ilvl w:val="0"/>
          <w:numId w:val="123"/>
        </w:numPr>
      </w:pPr>
      <w:r>
        <w:t xml:space="preserve">For various sectors, a current shortage of available or suitable land and premises was identified as a constraint. This not only concerns the availability of premises, but also the poor quality of existing commercial or industrial areas, including port facilities. Limited supply also raises the cost of premises. </w:t>
      </w:r>
    </w:p>
    <w:p w14:paraId="33C51B25" w14:textId="77777777" w:rsidR="000C0C3C" w:rsidRDefault="000C0C3C" w:rsidP="000C0C3C">
      <w:pPr>
        <w:pStyle w:val="ListParagraph"/>
        <w:numPr>
          <w:ilvl w:val="0"/>
          <w:numId w:val="123"/>
        </w:numPr>
      </w:pPr>
      <w:r>
        <w:t>Skills shortages were identified as an issue for various sectors, particularly ports &amp; logistics, renewables &amp; energy and chemicals and process industries.</w:t>
      </w:r>
    </w:p>
    <w:p w14:paraId="2BAF2239" w14:textId="77777777" w:rsidR="000C0C3C" w:rsidRDefault="000C0C3C" w:rsidP="000C0C3C">
      <w:pPr>
        <w:pStyle w:val="ListParagraph"/>
        <w:numPr>
          <w:ilvl w:val="0"/>
          <w:numId w:val="123"/>
        </w:numPr>
      </w:pPr>
      <w:r>
        <w:t>Various key sectors face considerable environmental legislation concerning their operations. Conforming with this legislation may represent a strain on</w:t>
      </w:r>
      <w:r w:rsidR="002A40AA">
        <w:t xml:space="preserve"> some</w:t>
      </w:r>
      <w:r>
        <w:t xml:space="preserve"> business</w:t>
      </w:r>
      <w:r w:rsidR="002A40AA">
        <w:t>es</w:t>
      </w:r>
      <w:r>
        <w:t xml:space="preserve">. </w:t>
      </w:r>
    </w:p>
    <w:p w14:paraId="78C0BEFE" w14:textId="77777777" w:rsidR="000C0C3C" w:rsidRDefault="000C0C3C" w:rsidP="000C0C3C">
      <w:pPr>
        <w:pStyle w:val="ListParagraph"/>
        <w:numPr>
          <w:ilvl w:val="0"/>
          <w:numId w:val="123"/>
        </w:numPr>
      </w:pPr>
      <w:r>
        <w:t xml:space="preserve">Whilst the renewables sector is subject to significant political support, other sectors including the chemicals and process industry identified lack of political support, particularly from central government, as a challenge. </w:t>
      </w:r>
    </w:p>
    <w:p w14:paraId="156C11C2" w14:textId="77777777" w:rsidR="000C0C3C" w:rsidRDefault="000C0C3C" w:rsidP="000C0C3C">
      <w:pPr>
        <w:pStyle w:val="ListParagraph"/>
        <w:numPr>
          <w:ilvl w:val="0"/>
          <w:numId w:val="123"/>
        </w:numPr>
      </w:pPr>
      <w:r>
        <w:t xml:space="preserve">In order to attract businesses and workers to the area, North East Lincolnshire must be perceived as a desirable place to live and work. Additionally, the visitor economy is particularly dependent on perceptions of the area. Public realm improvements, expansion of the area’s night-time economy and increased provision of amenities could address this challenge. </w:t>
      </w:r>
    </w:p>
    <w:p w14:paraId="6DF20023" w14:textId="77777777" w:rsidR="008D7250" w:rsidRDefault="000C0C3C">
      <w:pPr>
        <w:pStyle w:val="Heading2NoNumb"/>
      </w:pPr>
      <w:bookmarkStart w:id="18" w:name="_Toc395103901"/>
      <w:r>
        <w:t>Recommendations</w:t>
      </w:r>
      <w:bookmarkEnd w:id="18"/>
      <w:r>
        <w:t xml:space="preserve"> </w:t>
      </w:r>
    </w:p>
    <w:p w14:paraId="77FC358C" w14:textId="77777777" w:rsidR="000C0C3C" w:rsidRDefault="000C0C3C" w:rsidP="000C0C3C">
      <w:r>
        <w:t xml:space="preserve">Based on </w:t>
      </w:r>
      <w:r w:rsidR="00932EDE">
        <w:t>our</w:t>
      </w:r>
      <w:r>
        <w:t xml:space="preserve"> assessment of the local economic and policy context, the</w:t>
      </w:r>
      <w:r w:rsidR="00932EDE">
        <w:t xml:space="preserve"> empirical</w:t>
      </w:r>
      <w:r>
        <w:t xml:space="preserve"> business survey and economic impact assessmen</w:t>
      </w:r>
      <w:r w:rsidR="00932EDE">
        <w:t>ts</w:t>
      </w:r>
      <w:r>
        <w:t>, several key factors for future growth have been identified. These factors also form the basis for recommended future actions to be taken in order to maximise the opportunities for</w:t>
      </w:r>
      <w:r w:rsidR="00932EDE">
        <w:t xml:space="preserve"> economic</w:t>
      </w:r>
      <w:r>
        <w:t xml:space="preserve"> growth </w:t>
      </w:r>
      <w:r w:rsidR="00932EDE">
        <w:t>and the generation of economic and social</w:t>
      </w:r>
      <w:r>
        <w:t xml:space="preserve"> benefits for local communities. </w:t>
      </w:r>
    </w:p>
    <w:p w14:paraId="219F3F5C" w14:textId="77777777" w:rsidR="000C0C3C" w:rsidRDefault="000C0C3C" w:rsidP="000C0C3C">
      <w:r>
        <w:rPr>
          <w:b/>
        </w:rPr>
        <w:t xml:space="preserve">Skills and innovation: </w:t>
      </w:r>
      <w:r>
        <w:t>There is significant room for improvement in the skill</w:t>
      </w:r>
      <w:r w:rsidR="002A40AA">
        <w:t>s</w:t>
      </w:r>
      <w:r>
        <w:t xml:space="preserve"> profile </w:t>
      </w:r>
      <w:r w:rsidR="002A40AA">
        <w:t>of the</w:t>
      </w:r>
      <w:r>
        <w:t xml:space="preserve"> North East Lincolnshire</w:t>
      </w:r>
      <w:r w:rsidR="002A40AA">
        <w:t xml:space="preserve"> workforce</w:t>
      </w:r>
      <w:r>
        <w:t>. The area has a high proportion of residents with no qualifications and a low proportion of highly skilled residents in comparison to the national average. This is due to both supply and demand factors, as some sectors of the local economy could be characterised as in low-skills equilibrium. Nonetheless, technological progress in several key sectors is changing and will continue to change the skill requirements of businesses. A highly skilled, innovative workforce will be needed to facilitate growth in key sectors. Engagement between businesses and skills providers can facilitate a move towards a</w:t>
      </w:r>
      <w:r w:rsidR="002A40AA">
        <w:t xml:space="preserve"> </w:t>
      </w:r>
      <w:r>
        <w:t xml:space="preserve">skills equilibrium and improve coordinate efforts into research and development and knowledge sharing. </w:t>
      </w:r>
    </w:p>
    <w:p w14:paraId="754E7DDE" w14:textId="77777777" w:rsidR="000C0C3C" w:rsidRDefault="000C0C3C" w:rsidP="000C0C3C">
      <w:r>
        <w:t>Key recommendations are</w:t>
      </w:r>
      <w:r w:rsidR="00932EDE">
        <w:t xml:space="preserve"> to</w:t>
      </w:r>
      <w:r>
        <w:t xml:space="preserve">: </w:t>
      </w:r>
    </w:p>
    <w:p w14:paraId="5F3F987F" w14:textId="77777777" w:rsidR="000C0C3C" w:rsidRDefault="000C0C3C" w:rsidP="000C0C3C">
      <w:pPr>
        <w:pStyle w:val="ListParagraph"/>
        <w:numPr>
          <w:ilvl w:val="0"/>
          <w:numId w:val="124"/>
        </w:numPr>
      </w:pPr>
      <w:r>
        <w:t xml:space="preserve">Identify critical areas for skill development, now and in the future. </w:t>
      </w:r>
    </w:p>
    <w:p w14:paraId="25CA1AE0" w14:textId="77777777" w:rsidR="000C0C3C" w:rsidRDefault="000C0C3C" w:rsidP="000C0C3C">
      <w:pPr>
        <w:pStyle w:val="ListParagraph"/>
        <w:numPr>
          <w:ilvl w:val="0"/>
          <w:numId w:val="124"/>
        </w:numPr>
      </w:pPr>
      <w:r>
        <w:t>Take action to implement skill development and provide support to learners and providers.</w:t>
      </w:r>
    </w:p>
    <w:p w14:paraId="5575DBF0" w14:textId="77777777" w:rsidR="000C0C3C" w:rsidRDefault="000C0C3C" w:rsidP="000C0C3C">
      <w:pPr>
        <w:pStyle w:val="ListParagraph"/>
        <w:numPr>
          <w:ilvl w:val="0"/>
          <w:numId w:val="124"/>
        </w:numPr>
      </w:pPr>
      <w:r>
        <w:t xml:space="preserve">Take action to address ‘brain-drain’ out-migration of young and skilled workers. </w:t>
      </w:r>
    </w:p>
    <w:p w14:paraId="25837ADA" w14:textId="77777777" w:rsidR="000C0C3C" w:rsidRDefault="000C0C3C" w:rsidP="000C0C3C">
      <w:r>
        <w:rPr>
          <w:b/>
        </w:rPr>
        <w:t xml:space="preserve">Clustering and competition: </w:t>
      </w:r>
      <w:r>
        <w:t>The area’s key sectors are often mutually supportive, and linkages between industries are encouraged by historical relationships and spatial proximity. Local firms are significantly engaged across the supply chains of key sectors.  However, many sectors are dominated by large companies and there is room for</w:t>
      </w:r>
      <w:r w:rsidR="002A40AA">
        <w:t xml:space="preserve"> general and targeted</w:t>
      </w:r>
      <w:r>
        <w:t xml:space="preserve"> SME </w:t>
      </w:r>
      <w:r w:rsidR="002A40AA">
        <w:t xml:space="preserve">support.  Addressing some of </w:t>
      </w:r>
      <w:r w:rsidR="00FE2AD2">
        <w:t>notable constraints to the growth of</w:t>
      </w:r>
      <w:r w:rsidR="002A40AA">
        <w:t xml:space="preserve"> small enterprise</w:t>
      </w:r>
      <w:r w:rsidR="00FE2AD2">
        <w:t xml:space="preserve">s would be an important step in developing </w:t>
      </w:r>
      <w:r>
        <w:t xml:space="preserve">a more resilient economy. </w:t>
      </w:r>
    </w:p>
    <w:p w14:paraId="400CCFEB" w14:textId="77777777" w:rsidR="000C0C3C" w:rsidRDefault="000C0C3C" w:rsidP="000C0C3C">
      <w:r>
        <w:t>Key recommendations are</w:t>
      </w:r>
      <w:r w:rsidR="00932EDE">
        <w:t xml:space="preserve"> to</w:t>
      </w:r>
      <w:r>
        <w:t>:</w:t>
      </w:r>
    </w:p>
    <w:p w14:paraId="4691323A" w14:textId="77777777" w:rsidR="000C0C3C" w:rsidRDefault="00932EDE" w:rsidP="000C0C3C">
      <w:pPr>
        <w:pStyle w:val="ListParagraph"/>
        <w:numPr>
          <w:ilvl w:val="0"/>
          <w:numId w:val="125"/>
        </w:numPr>
      </w:pPr>
      <w:r>
        <w:t>Ensure c</w:t>
      </w:r>
      <w:r w:rsidR="000C0C3C">
        <w:t xml:space="preserve">learer communication with local communities and business regarding the benefits of the ABLE Parks and Hull Green Port. </w:t>
      </w:r>
    </w:p>
    <w:p w14:paraId="4B40BC54" w14:textId="77777777" w:rsidR="000C0C3C" w:rsidRDefault="000C0C3C" w:rsidP="000C0C3C">
      <w:pPr>
        <w:pStyle w:val="ListParagraph"/>
        <w:numPr>
          <w:ilvl w:val="0"/>
          <w:numId w:val="125"/>
        </w:numPr>
      </w:pPr>
      <w:r>
        <w:t xml:space="preserve">Develop stronger linkages with key sectors and supply chain industries in Nordic countries, Germany and the Low Countries. </w:t>
      </w:r>
    </w:p>
    <w:p w14:paraId="0D85B384" w14:textId="77777777" w:rsidR="000C0C3C" w:rsidRDefault="000C0C3C" w:rsidP="000C0C3C">
      <w:pPr>
        <w:pStyle w:val="ListParagraph"/>
        <w:numPr>
          <w:ilvl w:val="0"/>
          <w:numId w:val="125"/>
        </w:numPr>
      </w:pPr>
      <w:r>
        <w:t xml:space="preserve">Improve access to finance for local business. </w:t>
      </w:r>
    </w:p>
    <w:p w14:paraId="5D448FFD" w14:textId="77777777" w:rsidR="000C0C3C" w:rsidRDefault="000C0C3C" w:rsidP="000C0C3C">
      <w:r>
        <w:rPr>
          <w:b/>
        </w:rPr>
        <w:t xml:space="preserve">Policy Context: </w:t>
      </w:r>
      <w:r>
        <w:t xml:space="preserve">National government support for several key sectors is perceived as inadequate. Whilst the government’s localism agenda may be useful in promoting growth locally, North East Lincolnshire needs to maintain its competitiveness </w:t>
      </w:r>
      <w:r w:rsidR="00FE2AD2">
        <w:t>relative to</w:t>
      </w:r>
      <w:r>
        <w:t xml:space="preserve"> areas elsewhere in the UK and Europe. Coordination between local policymakers with a clear vision for the economic future of the area will be important for addressing issues facing the area. </w:t>
      </w:r>
    </w:p>
    <w:p w14:paraId="2A54D03A" w14:textId="77777777" w:rsidR="000C0C3C" w:rsidRDefault="000C0C3C" w:rsidP="000C0C3C">
      <w:r>
        <w:t>Key recommendations are</w:t>
      </w:r>
      <w:r w:rsidR="00932EDE">
        <w:t xml:space="preserve"> to</w:t>
      </w:r>
      <w:r>
        <w:t xml:space="preserve">: </w:t>
      </w:r>
    </w:p>
    <w:p w14:paraId="12C50974" w14:textId="77777777" w:rsidR="000C0C3C" w:rsidRDefault="000C0C3C" w:rsidP="000C0C3C">
      <w:pPr>
        <w:pStyle w:val="ListParagraph"/>
        <w:numPr>
          <w:ilvl w:val="0"/>
          <w:numId w:val="126"/>
        </w:numPr>
      </w:pPr>
      <w:r>
        <w:t xml:space="preserve">Develop innovative solutions in marketing the area. </w:t>
      </w:r>
    </w:p>
    <w:p w14:paraId="2C086C73" w14:textId="77777777" w:rsidR="000C0C3C" w:rsidRDefault="000C0C3C" w:rsidP="000C0C3C">
      <w:pPr>
        <w:pStyle w:val="ListParagraph"/>
        <w:numPr>
          <w:ilvl w:val="0"/>
          <w:numId w:val="126"/>
        </w:numPr>
      </w:pPr>
      <w:r>
        <w:t xml:space="preserve">Identify areas for cooperation in promoting the tourism industry. </w:t>
      </w:r>
    </w:p>
    <w:p w14:paraId="5A35524A" w14:textId="77777777" w:rsidR="000C0C3C" w:rsidRDefault="000C0C3C" w:rsidP="000C0C3C">
      <w:pPr>
        <w:pStyle w:val="ListParagraph"/>
        <w:numPr>
          <w:ilvl w:val="0"/>
          <w:numId w:val="126"/>
        </w:numPr>
      </w:pPr>
      <w:r>
        <w:t xml:space="preserve">Monitor national government support for key sector developments, </w:t>
      </w:r>
      <w:r w:rsidR="00932EDE">
        <w:t>such as</w:t>
      </w:r>
      <w:r>
        <w:t xml:space="preserve"> biofuel. </w:t>
      </w:r>
    </w:p>
    <w:p w14:paraId="4AA2CAE8" w14:textId="77777777" w:rsidR="000C0C3C" w:rsidRDefault="000C0C3C" w:rsidP="000C0C3C">
      <w:r>
        <w:rPr>
          <w:b/>
        </w:rPr>
        <w:t xml:space="preserve">Infrastructure &amp; Environment: </w:t>
      </w:r>
      <w:r>
        <w:t xml:space="preserve">In general, transport infrastructure is a strength of the area which should be maintained and developed. Constraints on utilities and the availability and quality of land and premises represent a limitation for businesses however. Additionally, poor perceptions of the area have negative consequences for local businesses. </w:t>
      </w:r>
    </w:p>
    <w:p w14:paraId="624F00F1" w14:textId="77777777" w:rsidR="000C0C3C" w:rsidRDefault="000C0C3C" w:rsidP="000C0C3C">
      <w:r>
        <w:t>Key recommendations are</w:t>
      </w:r>
      <w:r w:rsidR="00932EDE">
        <w:t xml:space="preserve"> to</w:t>
      </w:r>
      <w:r>
        <w:t xml:space="preserve">: </w:t>
      </w:r>
    </w:p>
    <w:p w14:paraId="0BE41584" w14:textId="77777777" w:rsidR="000C0C3C" w:rsidRDefault="00932EDE" w:rsidP="000C0C3C">
      <w:pPr>
        <w:pStyle w:val="ListParagraph"/>
        <w:numPr>
          <w:ilvl w:val="0"/>
          <w:numId w:val="127"/>
        </w:numPr>
      </w:pPr>
      <w:r>
        <w:t>Continue to i</w:t>
      </w:r>
      <w:r w:rsidR="000C0C3C">
        <w:t>mprove the Grimsby Dock area to create an attractive business environment.</w:t>
      </w:r>
    </w:p>
    <w:p w14:paraId="481A1503" w14:textId="77777777" w:rsidR="000C0C3C" w:rsidRDefault="000C0C3C" w:rsidP="000C0C3C">
      <w:pPr>
        <w:pStyle w:val="ListParagraph"/>
        <w:numPr>
          <w:ilvl w:val="0"/>
          <w:numId w:val="127"/>
        </w:numPr>
      </w:pPr>
      <w:r>
        <w:t>Further research and consider the ecological and environmental challenges to the area.</w:t>
      </w:r>
    </w:p>
    <w:p w14:paraId="2BA4E670" w14:textId="77777777" w:rsidR="000C0C3C" w:rsidRDefault="000C0C3C" w:rsidP="000C0C3C">
      <w:pPr>
        <w:pStyle w:val="ListParagraph"/>
        <w:numPr>
          <w:ilvl w:val="0"/>
          <w:numId w:val="127"/>
        </w:numPr>
      </w:pPr>
      <w:r>
        <w:t>Support Humberside Airport capacity expansion.</w:t>
      </w:r>
    </w:p>
    <w:p w14:paraId="70292210" w14:textId="77777777" w:rsidR="000C0C3C" w:rsidRDefault="000C0C3C" w:rsidP="000C0C3C">
      <w:pPr>
        <w:pStyle w:val="ListParagraph"/>
        <w:numPr>
          <w:ilvl w:val="0"/>
          <w:numId w:val="127"/>
        </w:numPr>
      </w:pPr>
      <w:r>
        <w:t>Seek better rail connections with London and other urban centres.</w:t>
      </w:r>
    </w:p>
    <w:p w14:paraId="750CB5AC" w14:textId="77777777" w:rsidR="000C0C3C" w:rsidRPr="002522CD" w:rsidRDefault="000C0C3C" w:rsidP="000C0C3C">
      <w:pPr>
        <w:pStyle w:val="ListParagraph"/>
        <w:numPr>
          <w:ilvl w:val="0"/>
          <w:numId w:val="127"/>
        </w:numPr>
      </w:pPr>
      <w:r>
        <w:t xml:space="preserve">Support the improvement of local amenities and environment to improve quality of life for residents and attract visitors. </w:t>
      </w:r>
    </w:p>
    <w:p w14:paraId="03A27D0D" w14:textId="77777777" w:rsidR="00A7582D" w:rsidRDefault="00A7582D" w:rsidP="00C93734">
      <w:pPr>
        <w:pStyle w:val="IntroHeading"/>
        <w:jc w:val="both"/>
        <w:sectPr w:rsidR="00A7582D" w:rsidSect="00144B5C">
          <w:headerReference w:type="first" r:id="rId20"/>
          <w:pgSz w:w="11906" w:h="16838" w:code="9"/>
          <w:pgMar w:top="964" w:right="1134" w:bottom="964" w:left="1134" w:header="510" w:footer="340" w:gutter="0"/>
          <w:cols w:space="708"/>
          <w:titlePg/>
          <w:docGrid w:linePitch="360"/>
        </w:sectPr>
      </w:pPr>
    </w:p>
    <w:p w14:paraId="0BA40F0D" w14:textId="77777777" w:rsidR="00A7582D" w:rsidRDefault="00A7582D" w:rsidP="00A7582D">
      <w:pPr>
        <w:pStyle w:val="IntroHeading"/>
      </w:pPr>
      <w:bookmarkStart w:id="19" w:name="_Toc395103902"/>
      <w:r>
        <w:t>Main Report</w:t>
      </w:r>
      <w:bookmarkEnd w:id="19"/>
    </w:p>
    <w:p w14:paraId="2FE22976" w14:textId="77777777" w:rsidR="00144B5C" w:rsidRDefault="00144B5C" w:rsidP="00A7582D">
      <w:pPr>
        <w:sectPr w:rsidR="00144B5C" w:rsidSect="00A7582D">
          <w:pgSz w:w="11906" w:h="16838" w:code="9"/>
          <w:pgMar w:top="964" w:right="1134" w:bottom="964" w:left="1134" w:header="510" w:footer="340" w:gutter="0"/>
          <w:cols w:space="708"/>
          <w:titlePg/>
          <w:docGrid w:linePitch="360"/>
        </w:sectPr>
      </w:pPr>
    </w:p>
    <w:p w14:paraId="125D4F23" w14:textId="77777777" w:rsidR="009B4EEF" w:rsidRDefault="009B4EEF" w:rsidP="00C93734">
      <w:pPr>
        <w:pStyle w:val="Heading1"/>
        <w:jc w:val="both"/>
      </w:pPr>
      <w:bookmarkStart w:id="20" w:name="_Toc395103903"/>
      <w:r>
        <w:t>Introduction</w:t>
      </w:r>
      <w:bookmarkEnd w:id="20"/>
    </w:p>
    <w:p w14:paraId="20B1BF31" w14:textId="77777777" w:rsidR="001E222E" w:rsidRDefault="001E222E" w:rsidP="00C93734">
      <w:pPr>
        <w:spacing w:after="120"/>
        <w:jc w:val="both"/>
      </w:pPr>
      <w:r>
        <w:t>In November 2013, Atkins was commissioned by Cofely GDF-Suez (CGS) on behalf of North East Lincolnshire Council (NEL</w:t>
      </w:r>
      <w:r w:rsidR="00DC0349">
        <w:t>C</w:t>
      </w:r>
      <w:r>
        <w:t>) to undertake three discrete but connected studies:</w:t>
      </w:r>
    </w:p>
    <w:p w14:paraId="5E008D98" w14:textId="77777777" w:rsidR="001E222E" w:rsidRDefault="001E222E" w:rsidP="00C93734">
      <w:pPr>
        <w:pStyle w:val="ListBullet"/>
        <w:numPr>
          <w:ilvl w:val="0"/>
          <w:numId w:val="1"/>
        </w:numPr>
        <w:spacing w:after="120"/>
        <w:jc w:val="both"/>
      </w:pPr>
      <w:r>
        <w:t>A targeted key s</w:t>
      </w:r>
      <w:r w:rsidRPr="006F6939">
        <w:t>ector</w:t>
      </w:r>
      <w:r>
        <w:t>s</w:t>
      </w:r>
      <w:r w:rsidRPr="006F6939">
        <w:t xml:space="preserve"> </w:t>
      </w:r>
      <w:r w:rsidR="00531C76">
        <w:t>study.</w:t>
      </w:r>
    </w:p>
    <w:p w14:paraId="5644F568" w14:textId="77777777" w:rsidR="001E222E" w:rsidRPr="00753815" w:rsidRDefault="001E222E" w:rsidP="00C93734">
      <w:pPr>
        <w:pStyle w:val="ListBullet"/>
        <w:numPr>
          <w:ilvl w:val="0"/>
          <w:numId w:val="1"/>
        </w:numPr>
        <w:spacing w:after="120"/>
        <w:jc w:val="both"/>
      </w:pPr>
      <w:r>
        <w:t xml:space="preserve">An assessment of future potential employment change in the </w:t>
      </w:r>
      <w:r w:rsidR="00505915">
        <w:t>borough taking</w:t>
      </w:r>
      <w:r>
        <w:t xml:space="preserve"> account of policy and market demand determinants (futures study).</w:t>
      </w:r>
    </w:p>
    <w:p w14:paraId="2E8773EB" w14:textId="77777777" w:rsidR="001E222E" w:rsidRDefault="001E222E" w:rsidP="00C93734">
      <w:pPr>
        <w:pStyle w:val="ListBullet"/>
        <w:numPr>
          <w:ilvl w:val="0"/>
          <w:numId w:val="1"/>
        </w:numPr>
        <w:spacing w:after="120"/>
        <w:jc w:val="both"/>
      </w:pPr>
      <w:r>
        <w:t>An employment land r</w:t>
      </w:r>
      <w:r w:rsidRPr="006F6939">
        <w:t>eview</w:t>
      </w:r>
      <w:r>
        <w:t xml:space="preserve"> including an assessment of future land requirements</w:t>
      </w:r>
      <w:r w:rsidRPr="006F6939">
        <w:t xml:space="preserve"> (ELR</w:t>
      </w:r>
      <w:r>
        <w:t>).</w:t>
      </w:r>
    </w:p>
    <w:p w14:paraId="1D76CFBF" w14:textId="77777777" w:rsidR="001E222E" w:rsidRPr="009B2986" w:rsidRDefault="001E222E" w:rsidP="00C93734">
      <w:pPr>
        <w:pStyle w:val="ListBullet"/>
        <w:numPr>
          <w:ilvl w:val="0"/>
          <w:numId w:val="0"/>
        </w:numPr>
        <w:spacing w:after="120"/>
        <w:jc w:val="both"/>
      </w:pPr>
      <w:r>
        <w:t xml:space="preserve">This report </w:t>
      </w:r>
      <w:r w:rsidR="00DC0349">
        <w:t>presents</w:t>
      </w:r>
      <w:r>
        <w:t xml:space="preserve"> </w:t>
      </w:r>
      <w:r w:rsidR="00505915">
        <w:t>the</w:t>
      </w:r>
      <w:r w:rsidR="00DC0349">
        <w:t xml:space="preserve"> results of the</w:t>
      </w:r>
      <w:r w:rsidR="00505915">
        <w:t xml:space="preserve"> key</w:t>
      </w:r>
      <w:r>
        <w:t xml:space="preserve"> sectors study</w:t>
      </w:r>
      <w:r w:rsidR="00DC00D2">
        <w:t>,</w:t>
      </w:r>
      <w:r w:rsidR="00DC0349">
        <w:t xml:space="preserve"> </w:t>
      </w:r>
      <w:r>
        <w:t xml:space="preserve">supported by </w:t>
      </w:r>
      <w:r w:rsidR="00E91DBE">
        <w:t>a</w:t>
      </w:r>
      <w:r w:rsidR="00DC00D2">
        <w:t xml:space="preserve"> </w:t>
      </w:r>
      <w:r>
        <w:t>separate local economic audit</w:t>
      </w:r>
      <w:r w:rsidR="00640565">
        <w:t xml:space="preserve"> report. </w:t>
      </w:r>
      <w:r>
        <w:t>The objectives of this study were to:</w:t>
      </w:r>
    </w:p>
    <w:p w14:paraId="720C8FE6" w14:textId="77777777" w:rsidR="001E222E" w:rsidRDefault="001E222E" w:rsidP="00C93734">
      <w:pPr>
        <w:pStyle w:val="ListBullet2"/>
        <w:numPr>
          <w:ilvl w:val="0"/>
          <w:numId w:val="15"/>
        </w:numPr>
        <w:jc w:val="both"/>
      </w:pPr>
      <w:r w:rsidRPr="009B2986">
        <w:t>Establish</w:t>
      </w:r>
      <w:r>
        <w:t xml:space="preserve"> a sound evidence base on which to develop an ambitious but realistic vision for the future of the </w:t>
      </w:r>
      <w:r w:rsidR="00DC0349">
        <w:t xml:space="preserve">North East Lincolnshire </w:t>
      </w:r>
      <w:r>
        <w:t xml:space="preserve">economy. </w:t>
      </w:r>
    </w:p>
    <w:p w14:paraId="66F96FA0" w14:textId="77777777" w:rsidR="001E222E" w:rsidRPr="009B2986" w:rsidRDefault="00505915" w:rsidP="00C93734">
      <w:pPr>
        <w:pStyle w:val="ListBullet2"/>
        <w:numPr>
          <w:ilvl w:val="0"/>
          <w:numId w:val="15"/>
        </w:numPr>
        <w:jc w:val="both"/>
      </w:pPr>
      <w:r>
        <w:t>Prepare economic</w:t>
      </w:r>
      <w:r w:rsidR="001E222E">
        <w:t xml:space="preserve"> and employment</w:t>
      </w:r>
      <w:r w:rsidR="001E222E" w:rsidRPr="009B2986">
        <w:t xml:space="preserve"> growth projections </w:t>
      </w:r>
      <w:r w:rsidR="001E222E">
        <w:t xml:space="preserve">&amp; </w:t>
      </w:r>
      <w:r w:rsidR="001E222E" w:rsidRPr="009B2986">
        <w:t>scenarios by</w:t>
      </w:r>
      <w:r w:rsidR="001E222E">
        <w:t xml:space="preserve"> </w:t>
      </w:r>
      <w:r w:rsidR="001E222E" w:rsidRPr="009B2986">
        <w:t>sector</w:t>
      </w:r>
      <w:r w:rsidR="001E222E">
        <w:t>.</w:t>
      </w:r>
      <w:r w:rsidR="001E222E" w:rsidRPr="009B2986">
        <w:t xml:space="preserve"> </w:t>
      </w:r>
    </w:p>
    <w:p w14:paraId="0A3C3DBF" w14:textId="77777777" w:rsidR="001E222E" w:rsidRPr="009B2986" w:rsidRDefault="001E222E" w:rsidP="00C93734">
      <w:pPr>
        <w:pStyle w:val="ListBullet2"/>
        <w:numPr>
          <w:ilvl w:val="0"/>
          <w:numId w:val="15"/>
        </w:numPr>
        <w:jc w:val="both"/>
      </w:pPr>
      <w:r>
        <w:t>Provide a robust assessment to inform Local Plan land allocation and polices</w:t>
      </w:r>
      <w:r w:rsidR="00715EB2">
        <w:t>,</w:t>
      </w:r>
      <w:r>
        <w:t xml:space="preserve"> </w:t>
      </w:r>
      <w:r w:rsidR="00DC00D2">
        <w:t xml:space="preserve">with </w:t>
      </w:r>
      <w:r>
        <w:t>regard to both quantitative and qualitative factors.</w:t>
      </w:r>
    </w:p>
    <w:p w14:paraId="44197C16" w14:textId="77777777" w:rsidR="001E222E" w:rsidRPr="00E912B2" w:rsidRDefault="001E222E" w:rsidP="00C93734">
      <w:pPr>
        <w:pStyle w:val="ListBullet2"/>
        <w:numPr>
          <w:ilvl w:val="0"/>
          <w:numId w:val="15"/>
        </w:numPr>
        <w:jc w:val="both"/>
      </w:pPr>
      <w:r w:rsidRPr="009B2986">
        <w:t xml:space="preserve">Prepare empirically sourced economic advice having considered prospects and trends not only in </w:t>
      </w:r>
      <w:r w:rsidR="00FA421D">
        <w:t>North East Lincolnshire</w:t>
      </w:r>
      <w:r w:rsidRPr="009B2986">
        <w:t xml:space="preserve"> but</w:t>
      </w:r>
      <w:r w:rsidR="00715EB2">
        <w:t xml:space="preserve"> also those</w:t>
      </w:r>
      <w:r w:rsidRPr="009B2986">
        <w:t xml:space="preserve"> in surrounding areas </w:t>
      </w:r>
      <w:r w:rsidR="001F1BCE">
        <w:t>likely to</w:t>
      </w:r>
      <w:r w:rsidRPr="009B2986">
        <w:t xml:space="preserve"> impact on the economy of the area. </w:t>
      </w:r>
      <w:r w:rsidRPr="00C20A26">
        <w:rPr>
          <w:sz w:val="22"/>
        </w:rPr>
        <w:t xml:space="preserve"> </w:t>
      </w:r>
    </w:p>
    <w:p w14:paraId="20BA3E92" w14:textId="77777777" w:rsidR="001E222E" w:rsidRDefault="001E222E" w:rsidP="00C93734">
      <w:pPr>
        <w:pStyle w:val="ListBullet2"/>
        <w:numPr>
          <w:ilvl w:val="0"/>
          <w:numId w:val="0"/>
        </w:numPr>
        <w:jc w:val="both"/>
      </w:pPr>
    </w:p>
    <w:p w14:paraId="23FF3411" w14:textId="77777777" w:rsidR="001E222E" w:rsidRPr="00606BD3" w:rsidRDefault="001E222E" w:rsidP="00C93734">
      <w:pPr>
        <w:pStyle w:val="ListBullet2"/>
        <w:numPr>
          <w:ilvl w:val="0"/>
          <w:numId w:val="0"/>
        </w:numPr>
        <w:jc w:val="both"/>
      </w:pPr>
      <w:r>
        <w:t xml:space="preserve">This document provides a comprehensive assessment of the key sectors of the </w:t>
      </w:r>
      <w:r w:rsidR="001219CC">
        <w:t>North East Lincolnshire</w:t>
      </w:r>
      <w:r>
        <w:t xml:space="preserve"> economy and the findings of detailed empirical research.  The outputs of the report will provide a broad evidence base to inform economic development, inward investment and land-use planning policies for </w:t>
      </w:r>
      <w:r w:rsidR="001219CC">
        <w:t>the area</w:t>
      </w:r>
      <w:r>
        <w:t>.</w:t>
      </w:r>
    </w:p>
    <w:p w14:paraId="107D3F87" w14:textId="77777777" w:rsidR="001E222E" w:rsidRPr="00C772FC" w:rsidRDefault="001E222E" w:rsidP="00C93734">
      <w:pPr>
        <w:pStyle w:val="Heading2"/>
        <w:numPr>
          <w:ilvl w:val="1"/>
          <w:numId w:val="5"/>
        </w:numPr>
        <w:jc w:val="both"/>
      </w:pPr>
      <w:bookmarkStart w:id="21" w:name="_Toc384034531"/>
      <w:bookmarkStart w:id="22" w:name="_Toc395103904"/>
      <w:bookmarkStart w:id="23" w:name="_Toc375553851"/>
      <w:r>
        <w:rPr>
          <w:rFonts w:eastAsiaTheme="majorEastAsia" w:cstheme="majorBidi"/>
        </w:rPr>
        <w:t>Geographical Focus</w:t>
      </w:r>
      <w:bookmarkEnd w:id="21"/>
      <w:bookmarkEnd w:id="22"/>
      <w:r>
        <w:rPr>
          <w:rFonts w:eastAsiaTheme="majorEastAsia" w:cstheme="majorBidi"/>
        </w:rPr>
        <w:t xml:space="preserve"> </w:t>
      </w:r>
      <w:bookmarkEnd w:id="23"/>
    </w:p>
    <w:p w14:paraId="2FFADF3B" w14:textId="77777777" w:rsidR="001E222E" w:rsidRDefault="001219CC" w:rsidP="00C93734">
      <w:pPr>
        <w:jc w:val="both"/>
      </w:pPr>
      <w:r>
        <w:t>North East Lincolnshire (NEL)</w:t>
      </w:r>
      <w:r w:rsidR="001E222E">
        <w:t xml:space="preserve"> is a unitary authority situated on the North East coast of England, south of the Humber estuary. </w:t>
      </w:r>
      <w:r w:rsidR="001E222E" w:rsidRPr="00CE1B40">
        <w:t xml:space="preserve">It is a compact community </w:t>
      </w:r>
      <w:r w:rsidR="001E222E">
        <w:t>with three key</w:t>
      </w:r>
      <w:r w:rsidR="001E222E" w:rsidRPr="00CE1B40">
        <w:t xml:space="preserve"> urban centres</w:t>
      </w:r>
      <w:r w:rsidR="001E222E">
        <w:t xml:space="preserve"> (Grimsby, Cleethorpes and Immingham) </w:t>
      </w:r>
      <w:r w:rsidR="00715EB2">
        <w:t xml:space="preserve">and </w:t>
      </w:r>
      <w:r w:rsidR="001E222E">
        <w:t xml:space="preserve">a largely rural hinterland </w:t>
      </w:r>
      <w:r w:rsidR="00F01EA6">
        <w:t>comprised of</w:t>
      </w:r>
      <w:r w:rsidR="001E222E">
        <w:t xml:space="preserve"> villages and other small settlements</w:t>
      </w:r>
      <w:r w:rsidR="000402AD">
        <w:t xml:space="preserve"> (</w:t>
      </w:r>
      <w:r w:rsidR="000402AD">
        <w:rPr>
          <w:noProof/>
          <w:lang w:eastAsia="en-GB"/>
        </w:rPr>
        <w:t>Figure 1-1</w:t>
      </w:r>
      <w:r w:rsidR="000402AD">
        <w:t>)</w:t>
      </w:r>
      <w:r w:rsidR="001E222E">
        <w:t xml:space="preserve">.  Outside of the </w:t>
      </w:r>
      <w:r w:rsidR="00715EB2">
        <w:t>NEL administrative area</w:t>
      </w:r>
      <w:r w:rsidR="001E222E">
        <w:t xml:space="preserve">, Scunthorpe </w:t>
      </w:r>
      <w:r w:rsidR="00F01EA6">
        <w:t xml:space="preserve">is situated </w:t>
      </w:r>
      <w:r w:rsidR="001E222E">
        <w:t>approximately 40km to the west, Lincoln 60km to the south</w:t>
      </w:r>
      <w:r w:rsidR="00F01EA6">
        <w:t>-</w:t>
      </w:r>
      <w:r w:rsidR="001E222E">
        <w:t>west and Hull is a 50km drive</w:t>
      </w:r>
      <w:r w:rsidR="00F01EA6">
        <w:t xml:space="preserve"> to the north, across</w:t>
      </w:r>
      <w:r w:rsidR="001E222E">
        <w:t xml:space="preserve"> the Humber</w:t>
      </w:r>
      <w:r w:rsidR="001E222E" w:rsidRPr="00CE1B40">
        <w:t>.</w:t>
      </w:r>
      <w:r w:rsidR="001E222E">
        <w:t xml:space="preserve"> NEL</w:t>
      </w:r>
      <w:r w:rsidR="00F01EA6">
        <w:t>’s location is one of significant strategic importance in relation to</w:t>
      </w:r>
      <w:r w:rsidR="001E222E">
        <w:t xml:space="preserve"> mainland European markets and North Sea energy developments. </w:t>
      </w:r>
    </w:p>
    <w:p w14:paraId="4652B552" w14:textId="77777777" w:rsidR="001E222E" w:rsidRDefault="001E222E" w:rsidP="00C93734">
      <w:pPr>
        <w:spacing w:after="200" w:line="276" w:lineRule="auto"/>
        <w:jc w:val="both"/>
        <w:rPr>
          <w:b/>
          <w:bCs/>
          <w:noProof/>
          <w:szCs w:val="18"/>
          <w:lang w:eastAsia="en-GB"/>
        </w:rPr>
      </w:pPr>
      <w:bookmarkStart w:id="24" w:name="_Toc383159667"/>
      <w:r>
        <w:rPr>
          <w:noProof/>
          <w:lang w:eastAsia="en-GB"/>
        </w:rPr>
        <w:br w:type="page"/>
      </w:r>
    </w:p>
    <w:p w14:paraId="6E02F14A" w14:textId="77777777" w:rsidR="001E222E" w:rsidRDefault="001E222E" w:rsidP="00C93734">
      <w:pPr>
        <w:pStyle w:val="Caption"/>
        <w:jc w:val="both"/>
        <w:rPr>
          <w:noProof/>
          <w:lang w:eastAsia="en-GB"/>
        </w:rPr>
      </w:pPr>
      <w:bookmarkStart w:id="25" w:name="_Ref391910789"/>
      <w:r>
        <w:rPr>
          <w:noProof/>
          <w:lang w:eastAsia="en-GB"/>
        </w:rPr>
        <w:t xml:space="preserve">Figure </w:t>
      </w:r>
      <w:fldSimple w:instr=" STYLEREF 1 \s  \* MERGEFORMAT ">
        <w:r w:rsidR="00E95E1A">
          <w:rPr>
            <w:noProof/>
            <w:lang w:eastAsia="en-GB"/>
          </w:rPr>
          <w:t>1</w:t>
        </w:r>
      </w:fldSimple>
      <w:r>
        <w:rPr>
          <w:noProof/>
          <w:lang w:eastAsia="en-GB"/>
        </w:rPr>
        <w:t>-</w:t>
      </w:r>
      <w:fldSimple w:instr=" SEQ Figure \* ARABIC \s 1  \* MERGEFORMAT ">
        <w:r w:rsidR="00E95E1A">
          <w:rPr>
            <w:noProof/>
            <w:lang w:eastAsia="en-GB"/>
          </w:rPr>
          <w:t>1</w:t>
        </w:r>
      </w:fldSimple>
      <w:bookmarkEnd w:id="25"/>
      <w:r>
        <w:rPr>
          <w:noProof/>
          <w:lang w:eastAsia="en-GB"/>
        </w:rPr>
        <w:tab/>
        <w:t>North East Lincolnshire</w:t>
      </w:r>
      <w:bookmarkEnd w:id="24"/>
      <w:r w:rsidR="009928B0">
        <w:rPr>
          <w:noProof/>
          <w:lang w:eastAsia="en-GB"/>
        </w:rPr>
        <w:t xml:space="preserve"> Location Map</w:t>
      </w:r>
    </w:p>
    <w:p w14:paraId="01EF904F" w14:textId="77777777" w:rsidR="001E222E" w:rsidRDefault="001E222E" w:rsidP="00C93734">
      <w:pPr>
        <w:jc w:val="both"/>
      </w:pPr>
      <w:r>
        <w:rPr>
          <w:noProof/>
          <w:lang w:eastAsia="en-GB"/>
        </w:rPr>
        <w:drawing>
          <wp:inline distT="0" distB="0" distL="0" distR="0" wp14:anchorId="725F304F" wp14:editId="48CD3B36">
            <wp:extent cx="3994810" cy="3994810"/>
            <wp:effectExtent l="19050" t="0" r="5690" b="0"/>
            <wp:docPr id="13" name="Picture 1" descr="https://www.nomisweb.co.uk/maps/700/1946157110.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omisweb.co.uk/maps/700/1946157110.aspx"/>
                    <pic:cNvPicPr>
                      <a:picLocks noChangeAspect="1" noChangeArrowheads="1"/>
                    </pic:cNvPicPr>
                  </pic:nvPicPr>
                  <pic:blipFill>
                    <a:blip r:embed="rId21" cstate="print"/>
                    <a:srcRect/>
                    <a:stretch>
                      <a:fillRect/>
                    </a:stretch>
                  </pic:blipFill>
                  <pic:spPr bwMode="auto">
                    <a:xfrm>
                      <a:off x="0" y="0"/>
                      <a:ext cx="3997644" cy="3997644"/>
                    </a:xfrm>
                    <a:prstGeom prst="rect">
                      <a:avLst/>
                    </a:prstGeom>
                    <a:noFill/>
                    <a:ln w="9525">
                      <a:noFill/>
                      <a:miter lim="800000"/>
                      <a:headEnd/>
                      <a:tailEnd/>
                    </a:ln>
                  </pic:spPr>
                </pic:pic>
              </a:graphicData>
            </a:graphic>
          </wp:inline>
        </w:drawing>
      </w:r>
    </w:p>
    <w:p w14:paraId="5E7FD3E1" w14:textId="77777777" w:rsidR="001E222E" w:rsidRDefault="001E222E" w:rsidP="00C93734">
      <w:pPr>
        <w:jc w:val="both"/>
      </w:pPr>
      <w:r>
        <w:t>Source: Ordnance Survey 2013 Crown Copyright.</w:t>
      </w:r>
    </w:p>
    <w:p w14:paraId="68F04CE2" w14:textId="77777777" w:rsidR="001E222E" w:rsidRDefault="001E222E" w:rsidP="00C93734">
      <w:pPr>
        <w:pStyle w:val="Heading2"/>
        <w:numPr>
          <w:ilvl w:val="1"/>
          <w:numId w:val="5"/>
        </w:numPr>
        <w:jc w:val="both"/>
      </w:pPr>
      <w:bookmarkStart w:id="26" w:name="_Toc375553852"/>
      <w:bookmarkStart w:id="27" w:name="_Toc384034532"/>
      <w:bookmarkStart w:id="28" w:name="_Toc395103905"/>
      <w:r>
        <w:t>Structure</w:t>
      </w:r>
      <w:bookmarkEnd w:id="26"/>
      <w:bookmarkEnd w:id="27"/>
      <w:bookmarkEnd w:id="28"/>
    </w:p>
    <w:p w14:paraId="65C26B64" w14:textId="77777777" w:rsidR="001E222E" w:rsidRPr="00DB54FE" w:rsidRDefault="001E222E" w:rsidP="00C93734">
      <w:pPr>
        <w:jc w:val="both"/>
      </w:pPr>
      <w:r w:rsidRPr="00DB54FE">
        <w:t xml:space="preserve">The </w:t>
      </w:r>
      <w:r w:rsidRPr="00907643">
        <w:t>structure of this report is as follows:</w:t>
      </w:r>
    </w:p>
    <w:p w14:paraId="6E9ECDBE" w14:textId="77777777" w:rsidR="001E222E" w:rsidRDefault="000402AD" w:rsidP="00C93734">
      <w:pPr>
        <w:pStyle w:val="ListParagraph"/>
        <w:numPr>
          <w:ilvl w:val="0"/>
          <w:numId w:val="41"/>
        </w:numPr>
        <w:jc w:val="both"/>
      </w:pPr>
      <w:r>
        <w:t xml:space="preserve">Section 2 </w:t>
      </w:r>
      <w:r w:rsidR="001E222E" w:rsidRPr="00DB54FE">
        <w:t xml:space="preserve">outlines the local economic </w:t>
      </w:r>
      <w:r w:rsidR="001E222E">
        <w:t xml:space="preserve">and policy </w:t>
      </w:r>
      <w:r w:rsidR="001E222E" w:rsidRPr="00DB54FE">
        <w:t xml:space="preserve">context </w:t>
      </w:r>
      <w:r w:rsidR="001E222E">
        <w:t>and provides an introduction to the key sectors</w:t>
      </w:r>
      <w:r w:rsidR="001E222E" w:rsidRPr="00DB54FE">
        <w:t>.</w:t>
      </w:r>
    </w:p>
    <w:p w14:paraId="5D47D9DF" w14:textId="77777777" w:rsidR="00925D1C" w:rsidRPr="00DB54FE" w:rsidRDefault="00925D1C" w:rsidP="00C93734">
      <w:pPr>
        <w:pStyle w:val="ListParagraph"/>
        <w:numPr>
          <w:ilvl w:val="0"/>
          <w:numId w:val="41"/>
        </w:numPr>
        <w:jc w:val="both"/>
      </w:pPr>
      <w:r>
        <w:t>Section 3 summarises the results of the business survey and sets out the overall economic impact assessment for the key sectors.</w:t>
      </w:r>
    </w:p>
    <w:p w14:paraId="287E36ED" w14:textId="77777777" w:rsidR="001E222E" w:rsidRPr="00DB54FE" w:rsidRDefault="001E222E" w:rsidP="00C93734">
      <w:pPr>
        <w:pStyle w:val="ListParagraph"/>
        <w:numPr>
          <w:ilvl w:val="0"/>
          <w:numId w:val="41"/>
        </w:numPr>
        <w:jc w:val="both"/>
      </w:pPr>
      <w:r>
        <w:t xml:space="preserve">Sections </w:t>
      </w:r>
      <w:r w:rsidR="00925D1C">
        <w:t>4</w:t>
      </w:r>
      <w:r w:rsidR="000402AD">
        <w:t>-</w:t>
      </w:r>
      <w:r w:rsidR="00925D1C">
        <w:t>8</w:t>
      </w:r>
      <w:r>
        <w:t xml:space="preserve"> set out the </w:t>
      </w:r>
      <w:r w:rsidR="00925D1C">
        <w:t>analysis</w:t>
      </w:r>
      <w:r>
        <w:t xml:space="preserve"> for each of the five key sectors</w:t>
      </w:r>
      <w:r w:rsidRPr="00DB54FE">
        <w:t xml:space="preserve">. </w:t>
      </w:r>
    </w:p>
    <w:p w14:paraId="0D0DDFB1" w14:textId="77777777" w:rsidR="001E222E" w:rsidRPr="00DB54FE" w:rsidRDefault="001E222E" w:rsidP="00C93734">
      <w:pPr>
        <w:pStyle w:val="ListParagraph"/>
        <w:numPr>
          <w:ilvl w:val="0"/>
          <w:numId w:val="41"/>
        </w:numPr>
        <w:jc w:val="both"/>
      </w:pPr>
      <w:r>
        <w:t xml:space="preserve">Section </w:t>
      </w:r>
      <w:r w:rsidR="00925D1C">
        <w:t>9</w:t>
      </w:r>
      <w:r>
        <w:t xml:space="preserve"> </w:t>
      </w:r>
      <w:r w:rsidR="00715EB2">
        <w:t xml:space="preserve">presents </w:t>
      </w:r>
      <w:r>
        <w:t xml:space="preserve">a summary of conclusions and our </w:t>
      </w:r>
      <w:r w:rsidR="00715EB2">
        <w:t>high-</w:t>
      </w:r>
      <w:r>
        <w:t>level recommendations for economic development and planning policy</w:t>
      </w:r>
      <w:r w:rsidRPr="00DB54FE">
        <w:t>.</w:t>
      </w:r>
    </w:p>
    <w:p w14:paraId="684B489D" w14:textId="77777777" w:rsidR="001E222E" w:rsidRDefault="00715EB2" w:rsidP="00C93734">
      <w:pPr>
        <w:jc w:val="both"/>
      </w:pPr>
      <w:r>
        <w:t>The appendices to the report provide further information on</w:t>
      </w:r>
      <w:r w:rsidR="001E222E">
        <w:t>:</w:t>
      </w:r>
    </w:p>
    <w:p w14:paraId="2B2D9B88" w14:textId="77777777" w:rsidR="001E222E" w:rsidRDefault="00715EB2" w:rsidP="00C93734">
      <w:pPr>
        <w:pStyle w:val="ListParagraph"/>
        <w:numPr>
          <w:ilvl w:val="0"/>
          <w:numId w:val="65"/>
        </w:numPr>
        <w:jc w:val="both"/>
      </w:pPr>
      <w:r>
        <w:t xml:space="preserve">Appendix A: </w:t>
      </w:r>
      <w:r w:rsidR="001E222E">
        <w:t>Location quotient analysis.</w:t>
      </w:r>
    </w:p>
    <w:p w14:paraId="0FB48AD9" w14:textId="77777777" w:rsidR="001E222E" w:rsidRDefault="00715EB2" w:rsidP="00C93734">
      <w:pPr>
        <w:pStyle w:val="ListParagraph"/>
        <w:numPr>
          <w:ilvl w:val="0"/>
          <w:numId w:val="65"/>
        </w:numPr>
        <w:jc w:val="both"/>
      </w:pPr>
      <w:r>
        <w:t xml:space="preserve">Appendix B: </w:t>
      </w:r>
      <w:r w:rsidR="001E222E">
        <w:t>Results of the business survey and economic impact report.</w:t>
      </w:r>
    </w:p>
    <w:p w14:paraId="1C3F6387" w14:textId="77777777" w:rsidR="001E222E" w:rsidRDefault="00715EB2" w:rsidP="00C93734">
      <w:pPr>
        <w:pStyle w:val="ListParagraph"/>
        <w:numPr>
          <w:ilvl w:val="0"/>
          <w:numId w:val="65"/>
        </w:numPr>
        <w:jc w:val="both"/>
      </w:pPr>
      <w:r>
        <w:t xml:space="preserve">Appendix C: </w:t>
      </w:r>
      <w:r w:rsidR="001E222E">
        <w:t>Stakeholders and local businesses interviewed.</w:t>
      </w:r>
    </w:p>
    <w:p w14:paraId="46D9EA77" w14:textId="77777777" w:rsidR="001E222E" w:rsidRDefault="001E222E" w:rsidP="00C93734">
      <w:pPr>
        <w:spacing w:after="200" w:line="276" w:lineRule="auto"/>
        <w:jc w:val="both"/>
        <w:rPr>
          <w:rFonts w:eastAsia="Times New Roman" w:cs="Times New Roman"/>
          <w:b/>
          <w:bCs/>
          <w:color w:val="156570" w:themeColor="background2"/>
          <w:sz w:val="30"/>
          <w:szCs w:val="26"/>
        </w:rPr>
      </w:pPr>
      <w:r>
        <w:br w:type="page"/>
      </w:r>
    </w:p>
    <w:p w14:paraId="3104A874" w14:textId="77777777" w:rsidR="001E222E" w:rsidRDefault="001E222E" w:rsidP="00C93734">
      <w:pPr>
        <w:pStyle w:val="Heading2"/>
        <w:numPr>
          <w:ilvl w:val="1"/>
          <w:numId w:val="5"/>
        </w:numPr>
        <w:jc w:val="both"/>
      </w:pPr>
      <w:bookmarkStart w:id="29" w:name="_Toc384034533"/>
      <w:bookmarkStart w:id="30" w:name="_Toc395103906"/>
      <w:r>
        <w:t>Methodology</w:t>
      </w:r>
      <w:bookmarkEnd w:id="29"/>
      <w:bookmarkEnd w:id="30"/>
    </w:p>
    <w:p w14:paraId="1ABF4016" w14:textId="77777777" w:rsidR="001E222E" w:rsidRDefault="009928B0" w:rsidP="00C93734">
      <w:pPr>
        <w:jc w:val="both"/>
      </w:pPr>
      <w:r>
        <w:t>The</w:t>
      </w:r>
      <w:r w:rsidR="001E222E">
        <w:t xml:space="preserve"> research was conducted </w:t>
      </w:r>
      <w:r w:rsidR="00F01EA6">
        <w:t>in</w:t>
      </w:r>
      <w:r w:rsidR="001E222E">
        <w:t xml:space="preserve"> four key stages:</w:t>
      </w:r>
    </w:p>
    <w:p w14:paraId="360A4C95" w14:textId="77777777" w:rsidR="001E222E" w:rsidRPr="00514DB7" w:rsidRDefault="001E222E" w:rsidP="00C93734">
      <w:pPr>
        <w:pStyle w:val="ListParagraph"/>
        <w:numPr>
          <w:ilvl w:val="0"/>
          <w:numId w:val="42"/>
        </w:numPr>
        <w:jc w:val="both"/>
        <w:rPr>
          <w:b/>
        </w:rPr>
      </w:pPr>
      <w:r w:rsidRPr="00514DB7">
        <w:rPr>
          <w:b/>
        </w:rPr>
        <w:t>Quantitative</w:t>
      </w:r>
      <w:r>
        <w:rPr>
          <w:b/>
        </w:rPr>
        <w:t xml:space="preserve"> Socio-Economic</w:t>
      </w:r>
      <w:r w:rsidRPr="00514DB7">
        <w:rPr>
          <w:b/>
        </w:rPr>
        <w:t xml:space="preserve"> Analysis</w:t>
      </w:r>
    </w:p>
    <w:p w14:paraId="4428B9A2" w14:textId="77777777" w:rsidR="001E222E" w:rsidRDefault="001E222E" w:rsidP="00C93734">
      <w:pPr>
        <w:jc w:val="both"/>
      </w:pPr>
      <w:r>
        <w:t>An analysis of government and local authority</w:t>
      </w:r>
      <w:r w:rsidR="00F01EA6">
        <w:t>-</w:t>
      </w:r>
      <w:r>
        <w:t xml:space="preserve">compiled data was undertaken to identify sector trends, </w:t>
      </w:r>
      <w:r w:rsidR="001F1BCE">
        <w:t>characteristics</w:t>
      </w:r>
      <w:r>
        <w:t xml:space="preserve">, </w:t>
      </w:r>
      <w:r w:rsidRPr="00DB54FE">
        <w:t>opportunities and constraints</w:t>
      </w:r>
      <w:r w:rsidR="001F1BCE">
        <w:t>,</w:t>
      </w:r>
      <w:r>
        <w:t xml:space="preserve"> </w:t>
      </w:r>
      <w:r w:rsidR="001219CC">
        <w:t>particularly in</w:t>
      </w:r>
      <w:r w:rsidR="001F1BCE">
        <w:t xml:space="preserve"> relation to</w:t>
      </w:r>
      <w:r>
        <w:t xml:space="preserve"> the local business base, labour market, population and property market</w:t>
      </w:r>
      <w:r w:rsidRPr="00DB54FE">
        <w:t xml:space="preserve">. This </w:t>
      </w:r>
      <w:r w:rsidR="001F1BCE">
        <w:t>analysis primarily</w:t>
      </w:r>
      <w:r w:rsidR="001F1BCE" w:rsidRPr="00DB54FE">
        <w:t xml:space="preserve"> </w:t>
      </w:r>
      <w:r w:rsidRPr="00DB54FE">
        <w:t>drew upon</w:t>
      </w:r>
      <w:r w:rsidR="001F1BCE">
        <w:t xml:space="preserve"> data from</w:t>
      </w:r>
      <w:r w:rsidRPr="00DB54FE">
        <w:t xml:space="preserve"> the Inter</w:t>
      </w:r>
      <w:r w:rsidR="00F01EA6">
        <w:t>-</w:t>
      </w:r>
      <w:r w:rsidR="001B6FB2">
        <w:t>d</w:t>
      </w:r>
      <w:r w:rsidRPr="00DB54FE">
        <w:t>epartmental Business Register (IDBR), Office for National Statistics, Business Register and Employment Survey, Annual Population Survey and Mint and Experian private datasets.</w:t>
      </w:r>
    </w:p>
    <w:p w14:paraId="69665CF5" w14:textId="77777777" w:rsidR="001E222E" w:rsidRPr="00514DB7" w:rsidRDefault="001E222E" w:rsidP="00C93734">
      <w:pPr>
        <w:pStyle w:val="ListParagraph"/>
        <w:numPr>
          <w:ilvl w:val="0"/>
          <w:numId w:val="42"/>
        </w:numPr>
        <w:jc w:val="both"/>
        <w:rPr>
          <w:b/>
        </w:rPr>
      </w:pPr>
      <w:r w:rsidRPr="00514DB7">
        <w:rPr>
          <w:b/>
        </w:rPr>
        <w:t>Qualitative Analysis</w:t>
      </w:r>
    </w:p>
    <w:p w14:paraId="17090C6E" w14:textId="77777777" w:rsidR="001E222E" w:rsidRDefault="001E222E" w:rsidP="00C93734">
      <w:pPr>
        <w:jc w:val="both"/>
        <w:rPr>
          <w:bCs/>
        </w:rPr>
      </w:pPr>
      <w:r>
        <w:rPr>
          <w:bCs/>
        </w:rPr>
        <w:t xml:space="preserve">Detailed face-to-face and telephone interviews </w:t>
      </w:r>
      <w:r w:rsidRPr="00AD3A0B">
        <w:rPr>
          <w:bCs/>
        </w:rPr>
        <w:t xml:space="preserve">were conducted over a </w:t>
      </w:r>
      <w:r>
        <w:rPr>
          <w:bCs/>
        </w:rPr>
        <w:t>three</w:t>
      </w:r>
      <w:r w:rsidR="001B6FB2">
        <w:rPr>
          <w:bCs/>
        </w:rPr>
        <w:t>-</w:t>
      </w:r>
      <w:r>
        <w:rPr>
          <w:bCs/>
        </w:rPr>
        <w:t xml:space="preserve">month period with a sample of approximately 30 senior </w:t>
      </w:r>
      <w:r w:rsidRPr="00AD3A0B">
        <w:rPr>
          <w:bCs/>
        </w:rPr>
        <w:t xml:space="preserve">representatives from </w:t>
      </w:r>
      <w:r>
        <w:rPr>
          <w:bCs/>
        </w:rPr>
        <w:t>established companies, industry organisations, public bodies and employer g</w:t>
      </w:r>
      <w:r w:rsidR="00531C76">
        <w:rPr>
          <w:bCs/>
        </w:rPr>
        <w:t xml:space="preserve">roups </w:t>
      </w:r>
      <w:r w:rsidR="001F1BCE">
        <w:rPr>
          <w:bCs/>
        </w:rPr>
        <w:t xml:space="preserve">located across </w:t>
      </w:r>
      <w:r w:rsidR="00531C76">
        <w:rPr>
          <w:bCs/>
        </w:rPr>
        <w:t xml:space="preserve">the NEL area. </w:t>
      </w:r>
      <w:r w:rsidR="001F1BCE">
        <w:rPr>
          <w:bCs/>
        </w:rPr>
        <w:t xml:space="preserve">Specific </w:t>
      </w:r>
      <w:r>
        <w:rPr>
          <w:bCs/>
        </w:rPr>
        <w:t>themes were explored including sector characteristics and trends, local economic performance, skills and labour supply, land and property quality and availability, prospects for growth and diversification and constraints to expansion.  Organisations and businesses interviewed are listed in Appendix C.</w:t>
      </w:r>
    </w:p>
    <w:p w14:paraId="512EA13D" w14:textId="77777777" w:rsidR="001E222E" w:rsidRPr="00310D01" w:rsidRDefault="001E222E" w:rsidP="00C93734">
      <w:pPr>
        <w:pStyle w:val="ListParagraph"/>
        <w:numPr>
          <w:ilvl w:val="0"/>
          <w:numId w:val="42"/>
        </w:numPr>
        <w:jc w:val="both"/>
        <w:rPr>
          <w:b/>
        </w:rPr>
      </w:pPr>
      <w:r w:rsidRPr="00310D01">
        <w:rPr>
          <w:b/>
          <w:bCs/>
        </w:rPr>
        <w:t>Business S</w:t>
      </w:r>
      <w:r w:rsidRPr="00310D01">
        <w:rPr>
          <w:b/>
        </w:rPr>
        <w:t>urvey</w:t>
      </w:r>
    </w:p>
    <w:p w14:paraId="04EC93BB" w14:textId="77777777" w:rsidR="001E222E" w:rsidRDefault="001E222E" w:rsidP="00C93734">
      <w:pPr>
        <w:jc w:val="both"/>
      </w:pPr>
      <w:r>
        <w:rPr>
          <w:bCs/>
        </w:rPr>
        <w:t>A survey of</w:t>
      </w:r>
      <w:r w:rsidR="001F1BCE">
        <w:rPr>
          <w:bCs/>
        </w:rPr>
        <w:t xml:space="preserve"> a representative sample of</w:t>
      </w:r>
      <w:r>
        <w:rPr>
          <w:bCs/>
        </w:rPr>
        <w:t xml:space="preserve"> businesses in NEL was </w:t>
      </w:r>
      <w:r w:rsidR="001F1BCE">
        <w:rPr>
          <w:bCs/>
        </w:rPr>
        <w:t>undertaken, with</w:t>
      </w:r>
      <w:r>
        <w:rPr>
          <w:bCs/>
        </w:rPr>
        <w:t xml:space="preserve"> 370 businesses surveyed in total</w:t>
      </w:r>
      <w:r w:rsidR="001B6FB2">
        <w:rPr>
          <w:bCs/>
        </w:rPr>
        <w:t>,</w:t>
      </w:r>
      <w:r>
        <w:rPr>
          <w:bCs/>
        </w:rPr>
        <w:t xml:space="preserve"> representing around 10</w:t>
      </w:r>
      <w:r w:rsidRPr="00FC2AB0">
        <w:t xml:space="preserve">% of </w:t>
      </w:r>
      <w:r>
        <w:t xml:space="preserve">all </w:t>
      </w:r>
      <w:r w:rsidRPr="00FC2AB0">
        <w:t xml:space="preserve">employers </w:t>
      </w:r>
      <w:r>
        <w:t xml:space="preserve">in the local economy.  In addition to collecting business performance and operational information for firms, the survey also addressed similar </w:t>
      </w:r>
      <w:r w:rsidR="001F1BCE">
        <w:t xml:space="preserve">themes </w:t>
      </w:r>
      <w:r w:rsidR="001B6FB2">
        <w:t>to those</w:t>
      </w:r>
      <w:r>
        <w:t xml:space="preserve"> </w:t>
      </w:r>
      <w:r w:rsidR="001F1BCE">
        <w:t xml:space="preserve">discussed </w:t>
      </w:r>
      <w:r w:rsidR="001B6FB2">
        <w:t>in the</w:t>
      </w:r>
      <w:r>
        <w:t xml:space="preserve"> </w:t>
      </w:r>
      <w:r w:rsidR="001B6FB2">
        <w:t>interview stage</w:t>
      </w:r>
      <w:r>
        <w:t xml:space="preserve">.  </w:t>
      </w:r>
    </w:p>
    <w:p w14:paraId="02EC1600" w14:textId="77777777" w:rsidR="001E222E" w:rsidRDefault="001E222E" w:rsidP="00C93734">
      <w:pPr>
        <w:jc w:val="both"/>
      </w:pPr>
      <w:r>
        <w:t>The business survey was carried out by an independent</w:t>
      </w:r>
      <w:r w:rsidR="001F1BCE">
        <w:t xml:space="preserve"> </w:t>
      </w:r>
      <w:r>
        <w:t xml:space="preserve">market research company (Hill Taylor Limited).  </w:t>
      </w:r>
      <w:r w:rsidR="001F1BCE">
        <w:t>In</w:t>
      </w:r>
      <w:r>
        <w:t xml:space="preserve"> accordance with the Market Research Society’s Code of Conduct, all findings from the business survey are aggregated </w:t>
      </w:r>
      <w:r w:rsidR="001F1BCE">
        <w:t>to preserve anonymity</w:t>
      </w:r>
      <w:r>
        <w:t xml:space="preserve">.  Similarly, all company names and the individuals representing them in the survey remain confidential and are not </w:t>
      </w:r>
      <w:r w:rsidR="001F1BCE">
        <w:t xml:space="preserve">made available </w:t>
      </w:r>
      <w:r>
        <w:t xml:space="preserve">to Atkins, our client or other organisations.   </w:t>
      </w:r>
    </w:p>
    <w:p w14:paraId="36149FCB" w14:textId="77777777" w:rsidR="001E222E" w:rsidRDefault="001E222E" w:rsidP="00C93734">
      <w:pPr>
        <w:pStyle w:val="ListParagraph"/>
        <w:numPr>
          <w:ilvl w:val="0"/>
          <w:numId w:val="42"/>
        </w:numPr>
        <w:jc w:val="both"/>
        <w:rPr>
          <w:b/>
        </w:rPr>
      </w:pPr>
      <w:r w:rsidRPr="005C591D">
        <w:rPr>
          <w:b/>
        </w:rPr>
        <w:t xml:space="preserve">Reporting </w:t>
      </w:r>
    </w:p>
    <w:p w14:paraId="50430584" w14:textId="77777777" w:rsidR="001E222E" w:rsidRPr="005C591D" w:rsidRDefault="001E222E" w:rsidP="00C93734">
      <w:pPr>
        <w:jc w:val="both"/>
      </w:pPr>
      <w:r w:rsidRPr="005C591D">
        <w:t xml:space="preserve">This document </w:t>
      </w:r>
      <w:r w:rsidR="00640565">
        <w:t>pulls together</w:t>
      </w:r>
      <w:r w:rsidR="001F1BCE">
        <w:t xml:space="preserve"> and presents </w:t>
      </w:r>
      <w:r w:rsidRPr="005C591D">
        <w:t>the outputs of the survey, interview</w:t>
      </w:r>
      <w:r w:rsidR="00531C76">
        <w:t>s</w:t>
      </w:r>
      <w:r w:rsidRPr="005C591D">
        <w:t xml:space="preserve"> and secondary data analysis.</w:t>
      </w:r>
      <w:r>
        <w:t xml:space="preserve">  Drawing directly on this evidence</w:t>
      </w:r>
      <w:r w:rsidR="00E91DBE">
        <w:t xml:space="preserve"> and considering the policy priorities of the area</w:t>
      </w:r>
      <w:r w:rsidR="007023D5">
        <w:t>,</w:t>
      </w:r>
      <w:r>
        <w:t xml:space="preserve"> our recommendations are set out in the final section of this report.</w:t>
      </w:r>
    </w:p>
    <w:p w14:paraId="36377078" w14:textId="77777777" w:rsidR="001E222E" w:rsidRPr="00686352" w:rsidRDefault="001E222E" w:rsidP="00C93734">
      <w:pPr>
        <w:jc w:val="both"/>
      </w:pPr>
    </w:p>
    <w:p w14:paraId="07E28B6E" w14:textId="77777777" w:rsidR="00B877A8" w:rsidRPr="00686352" w:rsidRDefault="00B877A8" w:rsidP="00C93734">
      <w:pPr>
        <w:jc w:val="both"/>
      </w:pPr>
      <w:r>
        <w:br w:type="page"/>
      </w:r>
    </w:p>
    <w:p w14:paraId="190BBAA7" w14:textId="77777777" w:rsidR="00C55C7C" w:rsidRDefault="00C55C7C" w:rsidP="00C55C7C">
      <w:pPr>
        <w:pStyle w:val="Heading1"/>
        <w:numPr>
          <w:ilvl w:val="0"/>
          <w:numId w:val="5"/>
        </w:numPr>
        <w:jc w:val="both"/>
      </w:pPr>
      <w:bookmarkStart w:id="31" w:name="_Toc395103907"/>
      <w:bookmarkStart w:id="32" w:name="_Ref391910817"/>
      <w:r>
        <w:t>Local Policy &amp; Economic Context</w:t>
      </w:r>
      <w:bookmarkEnd w:id="31"/>
    </w:p>
    <w:p w14:paraId="72045B47" w14:textId="77777777" w:rsidR="00C55C7C" w:rsidRDefault="00C55C7C" w:rsidP="00C55C7C">
      <w:pPr>
        <w:pStyle w:val="Heading2"/>
        <w:numPr>
          <w:ilvl w:val="1"/>
          <w:numId w:val="5"/>
        </w:numPr>
        <w:jc w:val="both"/>
      </w:pPr>
      <w:bookmarkStart w:id="33" w:name="_Toc395103908"/>
      <w:r>
        <w:t>Introduction</w:t>
      </w:r>
      <w:bookmarkEnd w:id="33"/>
    </w:p>
    <w:p w14:paraId="2C2E9EFE" w14:textId="77777777" w:rsidR="00C55C7C" w:rsidRDefault="00C55C7C" w:rsidP="00C55C7C">
      <w:pPr>
        <w:jc w:val="both"/>
      </w:pPr>
      <w:r>
        <w:t xml:space="preserve">This section provides a brief overview of the local and sub-regional policy and economic context for NEL and the wider sub-region. For a more detailed assessment, please refer to the local economic audit presented in </w:t>
      </w:r>
      <w:r w:rsidR="002D14A9">
        <w:t>a separate report.</w:t>
      </w:r>
      <w:r>
        <w:t xml:space="preserve">  </w:t>
      </w:r>
      <w:r w:rsidR="00A939E9">
        <w:t>This section also provides an overview and introduction to the five key sectors.</w:t>
      </w:r>
    </w:p>
    <w:p w14:paraId="139634D7" w14:textId="77777777" w:rsidR="00C55C7C" w:rsidRDefault="00C55C7C" w:rsidP="00C55C7C">
      <w:pPr>
        <w:pStyle w:val="Heading2"/>
        <w:numPr>
          <w:ilvl w:val="1"/>
          <w:numId w:val="5"/>
        </w:numPr>
        <w:jc w:val="both"/>
      </w:pPr>
      <w:bookmarkStart w:id="34" w:name="_Toc395103909"/>
      <w:r>
        <w:t xml:space="preserve">Local </w:t>
      </w:r>
      <w:r w:rsidRPr="00675608">
        <w:t>Policy</w:t>
      </w:r>
      <w:r>
        <w:t xml:space="preserve"> Context</w:t>
      </w:r>
      <w:bookmarkEnd w:id="34"/>
    </w:p>
    <w:p w14:paraId="0475E949" w14:textId="77777777" w:rsidR="00C55C7C" w:rsidRDefault="00C55C7C" w:rsidP="00C55C7C">
      <w:pPr>
        <w:autoSpaceDE w:val="0"/>
        <w:autoSpaceDN w:val="0"/>
        <w:adjustRightInd w:val="0"/>
        <w:jc w:val="both"/>
        <w:rPr>
          <w:rFonts w:eastAsia="Calibri" w:cs="Arial"/>
          <w:color w:val="394A58"/>
        </w:rPr>
      </w:pPr>
      <w:r>
        <w:rPr>
          <w:rFonts w:eastAsia="Calibri" w:cs="Arial"/>
          <w:color w:val="394A58"/>
        </w:rPr>
        <w:t>Under the localism agenda, central government has maintained that</w:t>
      </w:r>
      <w:r w:rsidRPr="00AC4008">
        <w:rPr>
          <w:rFonts w:eastAsia="Calibri" w:cs="Arial"/>
          <w:color w:val="394A58"/>
        </w:rPr>
        <w:t xml:space="preserve"> local authorities should </w:t>
      </w:r>
      <w:r>
        <w:rPr>
          <w:rFonts w:eastAsia="Calibri" w:cs="Arial"/>
          <w:color w:val="394A58"/>
        </w:rPr>
        <w:t>play</w:t>
      </w:r>
      <w:r w:rsidRPr="00AC4008">
        <w:rPr>
          <w:rFonts w:eastAsia="Calibri" w:cs="Arial"/>
          <w:color w:val="394A58"/>
        </w:rPr>
        <w:t xml:space="preserve"> a </w:t>
      </w:r>
      <w:r>
        <w:rPr>
          <w:rFonts w:eastAsia="Calibri" w:cs="Arial"/>
          <w:color w:val="394A58"/>
        </w:rPr>
        <w:t>leading</w:t>
      </w:r>
      <w:r w:rsidRPr="00AC4008">
        <w:rPr>
          <w:rFonts w:eastAsia="Calibri" w:cs="Arial"/>
          <w:color w:val="394A58"/>
        </w:rPr>
        <w:t xml:space="preserve"> role in </w:t>
      </w:r>
      <w:r>
        <w:rPr>
          <w:rFonts w:eastAsia="Calibri" w:cs="Arial"/>
          <w:color w:val="394A58"/>
        </w:rPr>
        <w:t xml:space="preserve">supporting </w:t>
      </w:r>
      <w:r w:rsidRPr="00AC4008">
        <w:rPr>
          <w:rFonts w:eastAsia="Calibri" w:cs="Arial"/>
          <w:color w:val="394A58"/>
        </w:rPr>
        <w:t>economic development and regeneration</w:t>
      </w:r>
      <w:r>
        <w:rPr>
          <w:rFonts w:eastAsia="Calibri" w:cs="Arial"/>
          <w:color w:val="394A58"/>
        </w:rPr>
        <w:t xml:space="preserve"> in their areas</w:t>
      </w:r>
      <w:r w:rsidRPr="00AC4008">
        <w:rPr>
          <w:rFonts w:eastAsia="Calibri" w:cs="Arial"/>
          <w:color w:val="394A58"/>
        </w:rPr>
        <w:t xml:space="preserve">. </w:t>
      </w:r>
      <w:r>
        <w:rPr>
          <w:rFonts w:eastAsia="Calibri" w:cs="Arial"/>
          <w:color w:val="394A58"/>
        </w:rPr>
        <w:t>Local authorities and their partners are particularly important for facilitating</w:t>
      </w:r>
      <w:r w:rsidRPr="00AC4008">
        <w:rPr>
          <w:rFonts w:eastAsia="Calibri" w:cs="Arial"/>
          <w:color w:val="394A58"/>
        </w:rPr>
        <w:t xml:space="preserve"> business growth</w:t>
      </w:r>
      <w:r>
        <w:rPr>
          <w:rFonts w:eastAsia="Calibri" w:cs="Arial"/>
          <w:color w:val="394A58"/>
        </w:rPr>
        <w:t>, diversification and inward investment. Local authorities are also instrumental in ensuring a sufficient quality and quantity of land and premises is made available to accommodate the changing needs of existing businesses as well as potential investors in the area.  This includes land for offices, industry, warehousing and logistics, housing, retail, community facilities and waste.  Another key role of local authorities is to prioritise critical investment in infrastructure investment, including, but not limited to, transport provision</w:t>
      </w:r>
      <w:r w:rsidRPr="00AC4008">
        <w:rPr>
          <w:rFonts w:eastAsia="Calibri" w:cs="Arial"/>
          <w:color w:val="394A58"/>
        </w:rPr>
        <w:t xml:space="preserve">. </w:t>
      </w:r>
    </w:p>
    <w:p w14:paraId="3A834C71" w14:textId="77777777" w:rsidR="00C55C7C" w:rsidRPr="005E3EC6" w:rsidRDefault="00C55C7C" w:rsidP="00C55C7C">
      <w:pPr>
        <w:pStyle w:val="Heading3"/>
        <w:numPr>
          <w:ilvl w:val="2"/>
          <w:numId w:val="5"/>
        </w:numPr>
      </w:pPr>
      <w:r w:rsidRPr="005E3EC6">
        <w:t>Local Enterprise Partnerships</w:t>
      </w:r>
    </w:p>
    <w:p w14:paraId="5A186A5C" w14:textId="77777777" w:rsidR="00C55C7C" w:rsidRDefault="00C55C7C" w:rsidP="00C55C7C">
      <w:pPr>
        <w:jc w:val="both"/>
      </w:pPr>
      <w:r>
        <w:t xml:space="preserve">The government initiated the establishment of Local Enterprise Partnerships (LEPs) in June 2010, based on functional economic areas. Local authorities and LEPs are charged with stimulating development that is aligned with broader government policy objectives regarding rebalancing the economy away from public sector employment and over-reliance on a narrow range of sectors, including financial services. </w:t>
      </w:r>
    </w:p>
    <w:p w14:paraId="75B5270E" w14:textId="77777777" w:rsidR="00C55C7C" w:rsidRDefault="00C55C7C" w:rsidP="00C55C7C">
      <w:pPr>
        <w:jc w:val="both"/>
      </w:pPr>
      <w:r>
        <w:t xml:space="preserve">NEL forms part of two LEPs: the Humber LEP (largely north of the River Humber) and the Greater Lincolnshire LEP (south of the Humber).  Both LEPs have published strategic economic plans (SEPs), which provide direction for the future economic development of their respective areas. Though the areas have different economic and social characteristics, there is a degree of overlap between the actions proposed in the SEPs. </w:t>
      </w:r>
    </w:p>
    <w:p w14:paraId="41A849E8" w14:textId="77777777" w:rsidR="00C55C7C" w:rsidRDefault="00C55C7C" w:rsidP="00C55C7C">
      <w:pPr>
        <w:pStyle w:val="Heading4"/>
        <w:numPr>
          <w:ilvl w:val="3"/>
          <w:numId w:val="5"/>
        </w:numPr>
      </w:pPr>
      <w:r>
        <w:t>Humber LEP’s Strategic Economic Plan 2014-2020</w:t>
      </w:r>
    </w:p>
    <w:p w14:paraId="70283301" w14:textId="77777777" w:rsidR="00C55C7C" w:rsidRDefault="00C55C7C" w:rsidP="00C55C7C"/>
    <w:p w14:paraId="51399284" w14:textId="77777777" w:rsidR="00C55C7C" w:rsidRPr="00B706C5" w:rsidRDefault="00C55C7C" w:rsidP="00C55C7C">
      <w:pPr>
        <w:pStyle w:val="Heading4NoNumb"/>
      </w:pPr>
      <w:r>
        <w:t>Aims and vision</w:t>
      </w:r>
    </w:p>
    <w:p w14:paraId="28B6B430" w14:textId="77777777" w:rsidR="00C55C7C" w:rsidRDefault="00C55C7C" w:rsidP="00C55C7C">
      <w:r>
        <w:t xml:space="preserve">The Humber SEP emphasises the Humber estuary as a national asset and the basis for economic opportunities in the region, particularly in regards to the expanding offshore wind sector. The plan states an ambition for the Humber ‘Energy Estuary’ to become “a renowned national and international centre for renewable energy and an area whose economy is resilient and competitive”, demonstrating the importance of this sector for the future of the regional economy. </w:t>
      </w:r>
    </w:p>
    <w:p w14:paraId="042B4DF0" w14:textId="77777777" w:rsidR="00C55C7C" w:rsidRDefault="00C55C7C" w:rsidP="00C55C7C">
      <w:r>
        <w:t xml:space="preserve">Feeding in to this ambition are three visions: economy -  for a thriving renewable sector supported by access to finance and capital schemes; skills - a better-aligned skills system and reduction in the proportion of the population with no qualifications; and place – with a strong visitor economy, increased civic pride and improved infrastructure and housing, including addressing flooding and coastal erosion. </w:t>
      </w:r>
    </w:p>
    <w:p w14:paraId="0C59A205" w14:textId="77777777" w:rsidR="00C55C7C" w:rsidRDefault="00C55C7C" w:rsidP="00C55C7C">
      <w:r>
        <w:t xml:space="preserve">Barriers to growth identified in the SEP include: </w:t>
      </w:r>
    </w:p>
    <w:p w14:paraId="65A94546" w14:textId="77777777" w:rsidR="00C55C7C" w:rsidRDefault="00C55C7C" w:rsidP="00C55C7C">
      <w:pPr>
        <w:pStyle w:val="ListParagraph"/>
        <w:numPr>
          <w:ilvl w:val="0"/>
          <w:numId w:val="90"/>
        </w:numPr>
      </w:pPr>
      <w:r>
        <w:t>A low skill</w:t>
      </w:r>
      <w:r w:rsidR="00A939E9">
        <w:t>s</w:t>
      </w:r>
      <w:r>
        <w:t xml:space="preserve"> level amongst the workforce, particularly regarding the high proportion of the population with no qualifications and a relatively low proportion with high qualifications. This is matched by a local economy with an overreliance on low-skilled employment.</w:t>
      </w:r>
    </w:p>
    <w:p w14:paraId="29D375C2" w14:textId="77777777" w:rsidR="00C55C7C" w:rsidRDefault="00C55C7C" w:rsidP="00C55C7C">
      <w:pPr>
        <w:pStyle w:val="ListParagraph"/>
        <w:numPr>
          <w:ilvl w:val="0"/>
          <w:numId w:val="90"/>
        </w:numPr>
      </w:pPr>
      <w:r>
        <w:t xml:space="preserve">Relatively high levels of economic inactivity, unemployment and long-term sickness. Whilst economic activity </w:t>
      </w:r>
      <w:r w:rsidR="00B764D6">
        <w:t xml:space="preserve">in NEL </w:t>
      </w:r>
      <w:r>
        <w:t xml:space="preserve">is not far </w:t>
      </w:r>
      <w:r w:rsidR="00B764D6">
        <w:t>from the national average</w:t>
      </w:r>
      <w:r>
        <w:t xml:space="preserve">, the area does have high levels of unemployment and long-term sickness. </w:t>
      </w:r>
    </w:p>
    <w:p w14:paraId="30595976" w14:textId="77777777" w:rsidR="00C55C7C" w:rsidRDefault="00C55C7C" w:rsidP="00C55C7C">
      <w:pPr>
        <w:pStyle w:val="ListParagraph"/>
        <w:numPr>
          <w:ilvl w:val="0"/>
          <w:numId w:val="90"/>
        </w:numPr>
      </w:pPr>
      <w:r>
        <w:t xml:space="preserve">Poor business survival and growth, complemented by relatively low take-up of national business support programmes. NEL has seen particularly low rates of business survival in recent years, almost half those of areas elsewhere in the Humber </w:t>
      </w:r>
      <w:r w:rsidR="00B764D6">
        <w:t>area</w:t>
      </w:r>
      <w:r>
        <w:t xml:space="preserve">.  </w:t>
      </w:r>
    </w:p>
    <w:p w14:paraId="6EC9D05E" w14:textId="77777777" w:rsidR="00C55C7C" w:rsidRPr="00B706C5" w:rsidRDefault="00C55C7C" w:rsidP="00C55C7C">
      <w:pPr>
        <w:pStyle w:val="Heading4NoNumb"/>
      </w:pPr>
      <w:r>
        <w:t xml:space="preserve">Priority Sectors </w:t>
      </w:r>
    </w:p>
    <w:p w14:paraId="4F4B9172" w14:textId="77777777" w:rsidR="00C55C7C" w:rsidRDefault="00C55C7C" w:rsidP="00C55C7C">
      <w:r>
        <w:t xml:space="preserve">Priority sectors </w:t>
      </w:r>
      <w:r w:rsidR="00B764D6">
        <w:t>identified in the SEP include renewable energy,</w:t>
      </w:r>
      <w:r>
        <w:t xml:space="preserve"> ports and logistics, chemicals, food and the visitor economy. Given the overlap with NEL’s priority sectors, the relevance of the LEP’s aims in developing these sectors is clear. </w:t>
      </w:r>
    </w:p>
    <w:p w14:paraId="2117A074" w14:textId="77777777" w:rsidR="00C55C7C" w:rsidRDefault="00C55C7C" w:rsidP="00C55C7C">
      <w:pPr>
        <w:pStyle w:val="ListParagraph"/>
        <w:numPr>
          <w:ilvl w:val="0"/>
          <w:numId w:val="93"/>
        </w:numPr>
      </w:pPr>
      <w:r>
        <w:t xml:space="preserve">For the ports and logistics sector, the SEP notes that the offshore renewable sector represents the greatest opportunity for growth. Key activities proposed to support the sector include developing the Grimsby Port Delivery Plan (to include several infrastructure improvements), stimulating the expansion of specialist businesses (including prioritising physical developments), business and supply chain support and skills development programmes for local residents. </w:t>
      </w:r>
    </w:p>
    <w:p w14:paraId="2273340C" w14:textId="77777777" w:rsidR="00C55C7C" w:rsidRDefault="00C55C7C" w:rsidP="00C55C7C">
      <w:pPr>
        <w:pStyle w:val="ListParagraph"/>
        <w:numPr>
          <w:ilvl w:val="0"/>
          <w:numId w:val="93"/>
        </w:numPr>
      </w:pPr>
      <w:r>
        <w:t xml:space="preserve">For the chemicals sector, activities identified in the plan include fostering links between employers and skills providers in order to ensure labour supply meets demand and to promote innovation, skills development programmes and improving business support. </w:t>
      </w:r>
    </w:p>
    <w:p w14:paraId="38A062C9" w14:textId="77777777" w:rsidR="00C55C7C" w:rsidRDefault="00C55C7C" w:rsidP="00C55C7C">
      <w:pPr>
        <w:pStyle w:val="ListParagraph"/>
        <w:numPr>
          <w:ilvl w:val="0"/>
          <w:numId w:val="93"/>
        </w:numPr>
      </w:pPr>
      <w:r>
        <w:t xml:space="preserve">Food is another key sector for both NEL and the Humber LEP. In particular, the SEP highlights the potential for encouraging linkages between NEL’s seafood cluster and the sector elsewhere in the region, including collaboration with the Greater Lincolnshire LEP. Key support activities for the sector include targeted supply chain support and support in accessing international markets, cross-LEP projects and collaboration between local specialists, closer links with training providers and support to companies in accessing higher education expertise to facilitate innovation. </w:t>
      </w:r>
    </w:p>
    <w:p w14:paraId="7BFA9C39" w14:textId="77777777" w:rsidR="00C55C7C" w:rsidRDefault="00C55C7C" w:rsidP="00C55C7C">
      <w:pPr>
        <w:pStyle w:val="ListParagraph"/>
        <w:numPr>
          <w:ilvl w:val="0"/>
          <w:numId w:val="93"/>
        </w:numPr>
      </w:pPr>
      <w:r>
        <w:t xml:space="preserve">In terms of the visitor economy, the SEP notes the importance of heritage coastline and seaside resorts in NEL, and that Cleethorpes has witnessed one of the largest increases in coastal house prices in the past decade. Key support activities include skills development programmes, promotion of the Humber as a location for national and international events, development and promotion of the area’s natural and built environment, and supporting businesses in taking advantage of opportunities presented by the sector. </w:t>
      </w:r>
    </w:p>
    <w:p w14:paraId="5848236D" w14:textId="77777777" w:rsidR="00C55C7C" w:rsidRPr="00B706C5" w:rsidRDefault="00C55C7C" w:rsidP="00C55C7C">
      <w:pPr>
        <w:pStyle w:val="Heading4NoNumb"/>
      </w:pPr>
      <w:r>
        <w:t>Proposed actions and developments</w:t>
      </w:r>
    </w:p>
    <w:p w14:paraId="6283FC04" w14:textId="77777777" w:rsidR="00C55C7C" w:rsidRDefault="00C55C7C" w:rsidP="00C55C7C">
      <w:r>
        <w:t xml:space="preserve">Proposed actions and developments are organised across five themes. These are presented in </w:t>
      </w:r>
      <w:r w:rsidR="00781CD3">
        <w:fldChar w:fldCharType="begin"/>
      </w:r>
      <w:r>
        <w:instrText xml:space="preserve"> REF _Ref393715528 \h </w:instrText>
      </w:r>
      <w:r w:rsidR="00781CD3">
        <w:fldChar w:fldCharType="separate"/>
      </w:r>
      <w:r w:rsidR="00E95E1A">
        <w:t xml:space="preserve">Table </w:t>
      </w:r>
      <w:r w:rsidR="00E95E1A">
        <w:rPr>
          <w:noProof/>
        </w:rPr>
        <w:t>2</w:t>
      </w:r>
      <w:r w:rsidR="00E95E1A">
        <w:t>-</w:t>
      </w:r>
      <w:r w:rsidR="00E95E1A">
        <w:rPr>
          <w:noProof/>
        </w:rPr>
        <w:t>1</w:t>
      </w:r>
      <w:r w:rsidR="00781CD3">
        <w:fldChar w:fldCharType="end"/>
      </w:r>
      <w:r>
        <w:t xml:space="preserve"> along with selected projects. </w:t>
      </w:r>
    </w:p>
    <w:p w14:paraId="7C68031C" w14:textId="77777777" w:rsidR="00C55C7C" w:rsidRDefault="00C55C7C" w:rsidP="00C55C7C">
      <w:pPr>
        <w:pStyle w:val="Caption"/>
      </w:pPr>
      <w:bookmarkStart w:id="35" w:name="_Ref393715528"/>
      <w:r>
        <w:t xml:space="preserve">Table </w:t>
      </w:r>
      <w:fldSimple w:instr=" STYLEREF 1 \s  \* MERGEFORMAT ">
        <w:r w:rsidR="00E95E1A">
          <w:rPr>
            <w:noProof/>
          </w:rPr>
          <w:t>2</w:t>
        </w:r>
      </w:fldSimple>
      <w:r>
        <w:t>-</w:t>
      </w:r>
      <w:fldSimple w:instr=" SEQ Table \* ARABIC \s 1  \* MERGEFORMAT ">
        <w:r w:rsidR="00E95E1A">
          <w:rPr>
            <w:noProof/>
          </w:rPr>
          <w:t>1</w:t>
        </w:r>
      </w:fldSimple>
      <w:bookmarkEnd w:id="35"/>
      <w:r>
        <w:tab/>
        <w:t xml:space="preserve">Proposed actions by theme in Humber SEP </w:t>
      </w:r>
    </w:p>
    <w:tbl>
      <w:tblPr>
        <w:tblStyle w:val="Atkins14pt"/>
        <w:tblW w:w="0" w:type="auto"/>
        <w:tblLook w:val="04A0" w:firstRow="1" w:lastRow="0" w:firstColumn="1" w:lastColumn="0" w:noHBand="0" w:noVBand="1"/>
      </w:tblPr>
      <w:tblGrid>
        <w:gridCol w:w="2268"/>
        <w:gridCol w:w="3544"/>
        <w:gridCol w:w="3829"/>
      </w:tblGrid>
      <w:tr w:rsidR="00C55C7C" w14:paraId="602439A3" w14:textId="77777777" w:rsidTr="00C55C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3D4C4B53" w14:textId="77777777" w:rsidR="00C55C7C" w:rsidRDefault="00C55C7C" w:rsidP="00C55C7C">
            <w:r>
              <w:t>Theme</w:t>
            </w:r>
          </w:p>
        </w:tc>
        <w:tc>
          <w:tcPr>
            <w:tcW w:w="3544" w:type="dxa"/>
          </w:tcPr>
          <w:p w14:paraId="32F27643" w14:textId="77777777" w:rsidR="00C55C7C" w:rsidRDefault="00C55C7C" w:rsidP="00C55C7C">
            <w:pPr>
              <w:cnfStyle w:val="100000000000" w:firstRow="1" w:lastRow="0" w:firstColumn="0" w:lastColumn="0" w:oddVBand="0" w:evenVBand="0" w:oddHBand="0" w:evenHBand="0" w:firstRowFirstColumn="0" w:firstRowLastColumn="0" w:lastRowFirstColumn="0" w:lastRowLastColumn="0"/>
            </w:pPr>
            <w:r>
              <w:t>Direct relevance to NEL</w:t>
            </w:r>
          </w:p>
        </w:tc>
        <w:tc>
          <w:tcPr>
            <w:tcW w:w="3829" w:type="dxa"/>
          </w:tcPr>
          <w:p w14:paraId="1AAFAA48" w14:textId="77777777" w:rsidR="00C55C7C" w:rsidRDefault="00C55C7C" w:rsidP="00C55C7C">
            <w:pPr>
              <w:cnfStyle w:val="100000000000" w:firstRow="1" w:lastRow="0" w:firstColumn="0" w:lastColumn="0" w:oddVBand="0" w:evenVBand="0" w:oddHBand="0" w:evenHBand="0" w:firstRowFirstColumn="0" w:firstRowLastColumn="0" w:lastRowFirstColumn="0" w:lastRowLastColumn="0"/>
            </w:pPr>
            <w:r>
              <w:t xml:space="preserve">Indirect relevance </w:t>
            </w:r>
          </w:p>
        </w:tc>
      </w:tr>
      <w:tr w:rsidR="00C55C7C" w14:paraId="785FB0BE" w14:textId="77777777" w:rsidTr="00C55C7C">
        <w:tc>
          <w:tcPr>
            <w:cnfStyle w:val="001000000000" w:firstRow="0" w:lastRow="0" w:firstColumn="1" w:lastColumn="0" w:oddVBand="0" w:evenVBand="0" w:oddHBand="0" w:evenHBand="0" w:firstRowFirstColumn="0" w:firstRowLastColumn="0" w:lastRowFirstColumn="0" w:lastRowLastColumn="0"/>
            <w:tcW w:w="2268" w:type="dxa"/>
          </w:tcPr>
          <w:p w14:paraId="68C405DE" w14:textId="77777777" w:rsidR="00C55C7C" w:rsidRDefault="00C55C7C" w:rsidP="00C55C7C">
            <w:r>
              <w:t>Creating an infrastructure that supports growth</w:t>
            </w:r>
          </w:p>
        </w:tc>
        <w:tc>
          <w:tcPr>
            <w:tcW w:w="3544" w:type="dxa"/>
          </w:tcPr>
          <w:p w14:paraId="432205D1" w14:textId="77777777" w:rsidR="00C55C7C" w:rsidRDefault="00C55C7C" w:rsidP="00C55C7C">
            <w:pPr>
              <w:pStyle w:val="ListParagraph"/>
              <w:numPr>
                <w:ilvl w:val="0"/>
                <w:numId w:val="94"/>
              </w:numPr>
              <w:ind w:left="357" w:hanging="357"/>
              <w:cnfStyle w:val="000000000000" w:firstRow="0" w:lastRow="0" w:firstColumn="0" w:lastColumn="0" w:oddVBand="0" w:evenVBand="0" w:oddHBand="0" w:evenHBand="0" w:firstRowFirstColumn="0" w:firstRowLastColumn="0" w:lastRowFirstColumn="0" w:lastRowLastColumn="0"/>
            </w:pPr>
            <w:r>
              <w:t>A160/A180 Port of Immingham improvement</w:t>
            </w:r>
          </w:p>
          <w:p w14:paraId="0B45F98C" w14:textId="77777777" w:rsidR="00C55C7C" w:rsidRDefault="00C55C7C" w:rsidP="00C55C7C">
            <w:pPr>
              <w:pStyle w:val="ListParagraph"/>
              <w:numPr>
                <w:ilvl w:val="0"/>
                <w:numId w:val="94"/>
              </w:numPr>
              <w:ind w:left="357" w:hanging="357"/>
              <w:cnfStyle w:val="000000000000" w:firstRow="0" w:lastRow="0" w:firstColumn="0" w:lastColumn="0" w:oddVBand="0" w:evenVBand="0" w:oddHBand="0" w:evenHBand="0" w:firstRowFirstColumn="0" w:firstRowLastColumn="0" w:lastRowFirstColumn="0" w:lastRowLastColumn="0"/>
            </w:pPr>
            <w:r>
              <w:t>Improving connectivity between port facilities and renewables development sites</w:t>
            </w:r>
          </w:p>
          <w:p w14:paraId="16832270" w14:textId="77777777" w:rsidR="00C55C7C" w:rsidRDefault="00C55C7C" w:rsidP="00C55C7C">
            <w:pPr>
              <w:pStyle w:val="ListParagraph"/>
              <w:numPr>
                <w:ilvl w:val="0"/>
                <w:numId w:val="94"/>
              </w:numPr>
              <w:ind w:left="357" w:hanging="357"/>
              <w:cnfStyle w:val="000000000000" w:firstRow="0" w:lastRow="0" w:firstColumn="0" w:lastColumn="0" w:oddVBand="0" w:evenVBand="0" w:oddHBand="0" w:evenHBand="0" w:firstRowFirstColumn="0" w:firstRowLastColumn="0" w:lastRowFirstColumn="0" w:lastRowLastColumn="0"/>
            </w:pPr>
            <w:r>
              <w:t>Encouragement of strategic employment sites, including Europarc</w:t>
            </w:r>
          </w:p>
          <w:p w14:paraId="3FCCED77" w14:textId="77777777" w:rsidR="00C55C7C" w:rsidRPr="00E82AD0" w:rsidRDefault="00C55C7C" w:rsidP="00C55C7C">
            <w:pPr>
              <w:pStyle w:val="ListParagraph"/>
              <w:numPr>
                <w:ilvl w:val="0"/>
                <w:numId w:val="94"/>
              </w:numPr>
              <w:ind w:left="357" w:hanging="357"/>
              <w:cnfStyle w:val="000000000000" w:firstRow="0" w:lastRow="0" w:firstColumn="0" w:lastColumn="0" w:oddVBand="0" w:evenVBand="0" w:oddHBand="0" w:evenHBand="0" w:firstRowFirstColumn="0" w:firstRowLastColumn="0" w:lastRowFirstColumn="0" w:lastRowLastColumn="0"/>
            </w:pPr>
            <w:r>
              <w:t>Address quality of place issues to attract and retain skilled workers, including Grimsby town centre</w:t>
            </w:r>
          </w:p>
        </w:tc>
        <w:tc>
          <w:tcPr>
            <w:tcW w:w="3829" w:type="dxa"/>
          </w:tcPr>
          <w:p w14:paraId="33BED2B6" w14:textId="77777777" w:rsidR="00C55C7C" w:rsidRDefault="00C55C7C" w:rsidP="00C55C7C">
            <w:pPr>
              <w:pStyle w:val="ListParagraph"/>
              <w:numPr>
                <w:ilvl w:val="0"/>
                <w:numId w:val="94"/>
              </w:numPr>
              <w:ind w:left="357" w:hanging="357"/>
              <w:cnfStyle w:val="000000000000" w:firstRow="0" w:lastRow="0" w:firstColumn="0" w:lastColumn="0" w:oddVBand="0" w:evenVBand="0" w:oddHBand="0" w:evenHBand="0" w:firstRowFirstColumn="0" w:firstRowLastColumn="0" w:lastRowFirstColumn="0" w:lastRowLastColumn="0"/>
            </w:pPr>
            <w:r w:rsidRPr="00E82AD0">
              <w:t>Reinstate services from Hull to Manchester Airport</w:t>
            </w:r>
          </w:p>
          <w:p w14:paraId="3AA659D9" w14:textId="77777777" w:rsidR="00C55C7C" w:rsidRPr="00E82AD0" w:rsidRDefault="00C55C7C" w:rsidP="00C55C7C">
            <w:pPr>
              <w:pStyle w:val="ListParagraph"/>
              <w:numPr>
                <w:ilvl w:val="0"/>
                <w:numId w:val="94"/>
              </w:numPr>
              <w:ind w:left="357" w:hanging="357"/>
              <w:cnfStyle w:val="000000000000" w:firstRow="0" w:lastRow="0" w:firstColumn="0" w:lastColumn="0" w:oddVBand="0" w:evenVBand="0" w:oddHBand="0" w:evenHBand="0" w:firstRowFirstColumn="0" w:firstRowLastColumn="0" w:lastRowFirstColumn="0" w:lastRowLastColumn="0"/>
            </w:pPr>
            <w:r>
              <w:t>Improving broadband connectivity</w:t>
            </w:r>
          </w:p>
          <w:p w14:paraId="1AD1A97C" w14:textId="77777777" w:rsidR="00C55C7C" w:rsidRDefault="00C55C7C" w:rsidP="00C55C7C">
            <w:pPr>
              <w:cnfStyle w:val="000000000000" w:firstRow="0" w:lastRow="0" w:firstColumn="0" w:lastColumn="0" w:oddVBand="0" w:evenVBand="0" w:oddHBand="0" w:evenHBand="0" w:firstRowFirstColumn="0" w:firstRowLastColumn="0" w:lastRowFirstColumn="0" w:lastRowLastColumn="0"/>
            </w:pPr>
          </w:p>
        </w:tc>
      </w:tr>
      <w:tr w:rsidR="00C55C7C" w14:paraId="4BE2F87E" w14:textId="77777777" w:rsidTr="00C55C7C">
        <w:tc>
          <w:tcPr>
            <w:cnfStyle w:val="001000000000" w:firstRow="0" w:lastRow="0" w:firstColumn="1" w:lastColumn="0" w:oddVBand="0" w:evenVBand="0" w:oddHBand="0" w:evenHBand="0" w:firstRowFirstColumn="0" w:firstRowLastColumn="0" w:lastRowFirstColumn="0" w:lastRowLastColumn="0"/>
            <w:tcW w:w="2268" w:type="dxa"/>
          </w:tcPr>
          <w:p w14:paraId="0A0C59CB" w14:textId="77777777" w:rsidR="00C55C7C" w:rsidRDefault="00C55C7C" w:rsidP="00C55C7C">
            <w:r>
              <w:t xml:space="preserve">Supporting businesses to succeed </w:t>
            </w:r>
          </w:p>
        </w:tc>
        <w:tc>
          <w:tcPr>
            <w:tcW w:w="7373" w:type="dxa"/>
            <w:gridSpan w:val="2"/>
          </w:tcPr>
          <w:p w14:paraId="16DD8276" w14:textId="77777777" w:rsidR="00C55C7C" w:rsidRDefault="00C55C7C" w:rsidP="00C55C7C">
            <w:pPr>
              <w:pStyle w:val="ListParagraph"/>
              <w:numPr>
                <w:ilvl w:val="0"/>
                <w:numId w:val="95"/>
              </w:numPr>
              <w:ind w:left="357" w:hanging="357"/>
              <w:cnfStyle w:val="000000000000" w:firstRow="0" w:lastRow="0" w:firstColumn="0" w:lastColumn="0" w:oddVBand="0" w:evenVBand="0" w:oddHBand="0" w:evenHBand="0" w:firstRowFirstColumn="0" w:firstRowLastColumn="0" w:lastRowFirstColumn="0" w:lastRowLastColumn="0"/>
            </w:pPr>
            <w:r>
              <w:t>Humber LEP Growth Hub</w:t>
            </w:r>
          </w:p>
          <w:p w14:paraId="4AE2A7CE" w14:textId="77777777" w:rsidR="00C55C7C" w:rsidRDefault="00C55C7C" w:rsidP="00C55C7C">
            <w:pPr>
              <w:pStyle w:val="ListParagraph"/>
              <w:numPr>
                <w:ilvl w:val="0"/>
                <w:numId w:val="95"/>
              </w:numPr>
              <w:ind w:left="357" w:hanging="357"/>
              <w:cnfStyle w:val="000000000000" w:firstRow="0" w:lastRow="0" w:firstColumn="0" w:lastColumn="0" w:oddVBand="0" w:evenVBand="0" w:oddHBand="0" w:evenHBand="0" w:firstRowFirstColumn="0" w:firstRowLastColumn="0" w:lastRowFirstColumn="0" w:lastRowLastColumn="0"/>
            </w:pPr>
            <w:r>
              <w:t>SME Growth and Innovation Programme</w:t>
            </w:r>
          </w:p>
          <w:p w14:paraId="744C79DA" w14:textId="77777777" w:rsidR="00C55C7C" w:rsidRDefault="00C55C7C" w:rsidP="00C55C7C">
            <w:pPr>
              <w:pStyle w:val="ListParagraph"/>
              <w:numPr>
                <w:ilvl w:val="0"/>
                <w:numId w:val="95"/>
              </w:numPr>
              <w:ind w:left="357" w:hanging="357"/>
              <w:cnfStyle w:val="000000000000" w:firstRow="0" w:lastRow="0" w:firstColumn="0" w:lastColumn="0" w:oddVBand="0" w:evenVBand="0" w:oddHBand="0" w:evenHBand="0" w:firstRowFirstColumn="0" w:firstRowLastColumn="0" w:lastRowFirstColumn="0" w:lastRowLastColumn="0"/>
            </w:pPr>
            <w:r>
              <w:t>Providing finance to support entrepreneurship</w:t>
            </w:r>
          </w:p>
          <w:p w14:paraId="34EB8F3D" w14:textId="77777777" w:rsidR="00C55C7C" w:rsidRPr="00601AD3" w:rsidRDefault="00C55C7C" w:rsidP="00C55C7C">
            <w:pPr>
              <w:pStyle w:val="ListParagraph"/>
              <w:numPr>
                <w:ilvl w:val="0"/>
                <w:numId w:val="95"/>
              </w:numPr>
              <w:ind w:left="357" w:hanging="357"/>
              <w:cnfStyle w:val="000000000000" w:firstRow="0" w:lastRow="0" w:firstColumn="0" w:lastColumn="0" w:oddVBand="0" w:evenVBand="0" w:oddHBand="0" w:evenHBand="0" w:firstRowFirstColumn="0" w:firstRowLastColumn="0" w:lastRowFirstColumn="0" w:lastRowLastColumn="0"/>
            </w:pPr>
            <w:r>
              <w:t xml:space="preserve">Promoting and supporting research collaboration in priority sectors </w:t>
            </w:r>
          </w:p>
        </w:tc>
      </w:tr>
      <w:tr w:rsidR="00C55C7C" w14:paraId="6E0C7EB7" w14:textId="77777777" w:rsidTr="00C55C7C">
        <w:tc>
          <w:tcPr>
            <w:cnfStyle w:val="001000000000" w:firstRow="0" w:lastRow="0" w:firstColumn="1" w:lastColumn="0" w:oddVBand="0" w:evenVBand="0" w:oddHBand="0" w:evenHBand="0" w:firstRowFirstColumn="0" w:firstRowLastColumn="0" w:lastRowFirstColumn="0" w:lastRowLastColumn="0"/>
            <w:tcW w:w="2268" w:type="dxa"/>
          </w:tcPr>
          <w:p w14:paraId="5D63D1BD" w14:textId="77777777" w:rsidR="00C55C7C" w:rsidRDefault="00C55C7C" w:rsidP="00C55C7C">
            <w:r>
              <w:t xml:space="preserve">A great place to live and visit </w:t>
            </w:r>
          </w:p>
        </w:tc>
        <w:tc>
          <w:tcPr>
            <w:tcW w:w="3544" w:type="dxa"/>
          </w:tcPr>
          <w:p w14:paraId="597222F0" w14:textId="77777777" w:rsidR="00C55C7C" w:rsidRDefault="00C55C7C" w:rsidP="00C55C7C">
            <w:pPr>
              <w:pStyle w:val="ListParagraph"/>
              <w:numPr>
                <w:ilvl w:val="0"/>
                <w:numId w:val="96"/>
              </w:numPr>
              <w:ind w:left="357" w:hanging="357"/>
              <w:cnfStyle w:val="000000000000" w:firstRow="0" w:lastRow="0" w:firstColumn="0" w:lastColumn="0" w:oddVBand="0" w:evenVBand="0" w:oddHBand="0" w:evenHBand="0" w:firstRowFirstColumn="0" w:firstRowLastColumn="0" w:lastRowFirstColumn="0" w:lastRowLastColumn="0"/>
            </w:pPr>
            <w:r>
              <w:t>Sustainable urban extension for Grimsby</w:t>
            </w:r>
          </w:p>
          <w:p w14:paraId="0AB344E1" w14:textId="77777777" w:rsidR="00C55C7C" w:rsidRPr="00601AD3" w:rsidRDefault="00C55C7C" w:rsidP="00C55C7C">
            <w:pPr>
              <w:pStyle w:val="ListParagraph"/>
              <w:numPr>
                <w:ilvl w:val="0"/>
                <w:numId w:val="96"/>
              </w:numPr>
              <w:ind w:left="357" w:hanging="357"/>
              <w:cnfStyle w:val="000000000000" w:firstRow="0" w:lastRow="0" w:firstColumn="0" w:lastColumn="0" w:oddVBand="0" w:evenVBand="0" w:oddHBand="0" w:evenHBand="0" w:firstRowFirstColumn="0" w:firstRowLastColumn="0" w:lastRowFirstColumn="0" w:lastRowLastColumn="0"/>
            </w:pPr>
            <w:r>
              <w:t>Regeneration of Cleethorpes promenade</w:t>
            </w:r>
          </w:p>
        </w:tc>
        <w:tc>
          <w:tcPr>
            <w:tcW w:w="3829" w:type="dxa"/>
          </w:tcPr>
          <w:p w14:paraId="1A66309A" w14:textId="77777777" w:rsidR="00C55C7C" w:rsidRDefault="00C55C7C" w:rsidP="00C55C7C">
            <w:pPr>
              <w:pStyle w:val="ListParagraph"/>
              <w:numPr>
                <w:ilvl w:val="0"/>
                <w:numId w:val="95"/>
              </w:numPr>
              <w:ind w:left="357" w:hanging="357"/>
              <w:cnfStyle w:val="000000000000" w:firstRow="0" w:lastRow="0" w:firstColumn="0" w:lastColumn="0" w:oddVBand="0" w:evenVBand="0" w:oddHBand="0" w:evenHBand="0" w:firstRowFirstColumn="0" w:firstRowLastColumn="0" w:lastRowFirstColumn="0" w:lastRowLastColumn="0"/>
            </w:pPr>
            <w:r>
              <w:t xml:space="preserve">Support plan-led housing growth </w:t>
            </w:r>
          </w:p>
          <w:p w14:paraId="5D6334A6" w14:textId="77777777" w:rsidR="00C55C7C" w:rsidRDefault="00C55C7C" w:rsidP="00C55C7C">
            <w:pPr>
              <w:pStyle w:val="ListParagraph"/>
              <w:numPr>
                <w:ilvl w:val="0"/>
                <w:numId w:val="95"/>
              </w:numPr>
              <w:ind w:left="357" w:hanging="357"/>
              <w:cnfStyle w:val="000000000000" w:firstRow="0" w:lastRow="0" w:firstColumn="0" w:lastColumn="0" w:oddVBand="0" w:evenVBand="0" w:oddHBand="0" w:evenHBand="0" w:firstRowFirstColumn="0" w:firstRowLastColumn="0" w:lastRowFirstColumn="0" w:lastRowLastColumn="0"/>
            </w:pPr>
            <w:r>
              <w:t>Ensure schemes delivered under Affordable Homes Programme</w:t>
            </w:r>
          </w:p>
          <w:p w14:paraId="41E7A0B1" w14:textId="77777777" w:rsidR="00C55C7C" w:rsidRPr="00601AD3" w:rsidRDefault="00C55C7C" w:rsidP="00C55C7C">
            <w:pPr>
              <w:pStyle w:val="ListParagraph"/>
              <w:numPr>
                <w:ilvl w:val="0"/>
                <w:numId w:val="95"/>
              </w:numPr>
              <w:ind w:left="357" w:hanging="357"/>
              <w:cnfStyle w:val="000000000000" w:firstRow="0" w:lastRow="0" w:firstColumn="0" w:lastColumn="0" w:oddVBand="0" w:evenVBand="0" w:oddHBand="0" w:evenHBand="0" w:firstRowFirstColumn="0" w:firstRowLastColumn="0" w:lastRowFirstColumn="0" w:lastRowLastColumn="0"/>
            </w:pPr>
            <w:r>
              <w:t xml:space="preserve">Adapt existing homes in response to climate change, to improve energy efficiency and flood resilience </w:t>
            </w:r>
            <w:r w:rsidRPr="00601AD3">
              <w:t xml:space="preserve"> </w:t>
            </w:r>
          </w:p>
        </w:tc>
      </w:tr>
      <w:tr w:rsidR="00C55C7C" w14:paraId="0D1FAFF8" w14:textId="77777777" w:rsidTr="00C55C7C">
        <w:tc>
          <w:tcPr>
            <w:cnfStyle w:val="001000000000" w:firstRow="0" w:lastRow="0" w:firstColumn="1" w:lastColumn="0" w:oddVBand="0" w:evenVBand="0" w:oddHBand="0" w:evenHBand="0" w:firstRowFirstColumn="0" w:firstRowLastColumn="0" w:lastRowFirstColumn="0" w:lastRowLastColumn="0"/>
            <w:tcW w:w="2268" w:type="dxa"/>
          </w:tcPr>
          <w:p w14:paraId="70661934" w14:textId="77777777" w:rsidR="00C55C7C" w:rsidRDefault="00C55C7C" w:rsidP="00C55C7C">
            <w:r>
              <w:t>A skilled and productive workforce</w:t>
            </w:r>
          </w:p>
        </w:tc>
        <w:tc>
          <w:tcPr>
            <w:tcW w:w="3544" w:type="dxa"/>
          </w:tcPr>
          <w:p w14:paraId="17E1E14B" w14:textId="77777777" w:rsidR="00C55C7C" w:rsidRDefault="00C55C7C" w:rsidP="00C55C7C">
            <w:pPr>
              <w:pStyle w:val="ListParagraph"/>
              <w:numPr>
                <w:ilvl w:val="0"/>
                <w:numId w:val="95"/>
              </w:numPr>
              <w:ind w:left="357" w:hanging="357"/>
              <w:cnfStyle w:val="000000000000" w:firstRow="0" w:lastRow="0" w:firstColumn="0" w:lastColumn="0" w:oddVBand="0" w:evenVBand="0" w:oddHBand="0" w:evenHBand="0" w:firstRowFirstColumn="0" w:firstRowLastColumn="0" w:lastRowFirstColumn="0" w:lastRowLastColumn="0"/>
            </w:pPr>
            <w:r>
              <w:t>Environmental Logistics Learning Hub (Grimsby Institute)</w:t>
            </w:r>
          </w:p>
          <w:p w14:paraId="4F8CC865" w14:textId="77777777" w:rsidR="00C55C7C" w:rsidRPr="00601AD3" w:rsidRDefault="00C55C7C" w:rsidP="00C55C7C">
            <w:pPr>
              <w:pStyle w:val="ListParagraph"/>
              <w:numPr>
                <w:ilvl w:val="0"/>
                <w:numId w:val="95"/>
              </w:numPr>
              <w:ind w:left="357" w:hanging="357"/>
              <w:cnfStyle w:val="000000000000" w:firstRow="0" w:lastRow="0" w:firstColumn="0" w:lastColumn="0" w:oddVBand="0" w:evenVBand="0" w:oddHBand="0" w:evenHBand="0" w:firstRowFirstColumn="0" w:firstRowLastColumn="0" w:lastRowFirstColumn="0" w:lastRowLastColumn="0"/>
            </w:pPr>
            <w:r>
              <w:t>CATCH Energy Offshore to support O&amp;M providers based in Port of Grimsby</w:t>
            </w:r>
          </w:p>
        </w:tc>
        <w:tc>
          <w:tcPr>
            <w:tcW w:w="3829" w:type="dxa"/>
          </w:tcPr>
          <w:p w14:paraId="66F0B5D6" w14:textId="77777777" w:rsidR="00C55C7C" w:rsidRDefault="00C55C7C" w:rsidP="00C55C7C">
            <w:pPr>
              <w:pStyle w:val="ListParagraph"/>
              <w:numPr>
                <w:ilvl w:val="0"/>
                <w:numId w:val="95"/>
              </w:numPr>
              <w:ind w:left="357" w:hanging="357"/>
              <w:cnfStyle w:val="000000000000" w:firstRow="0" w:lastRow="0" w:firstColumn="0" w:lastColumn="0" w:oddVBand="0" w:evenVBand="0" w:oddHBand="0" w:evenHBand="0" w:firstRowFirstColumn="0" w:firstRowLastColumn="0" w:lastRowFirstColumn="0" w:lastRowLastColumn="0"/>
            </w:pPr>
            <w:r>
              <w:t xml:space="preserve">Humber Skills Fund </w:t>
            </w:r>
          </w:p>
          <w:p w14:paraId="3B7CC934" w14:textId="77777777" w:rsidR="00C55C7C" w:rsidRDefault="00C55C7C" w:rsidP="00C55C7C">
            <w:pPr>
              <w:pStyle w:val="ListParagraph"/>
              <w:numPr>
                <w:ilvl w:val="0"/>
                <w:numId w:val="95"/>
              </w:numPr>
              <w:ind w:left="357" w:hanging="357"/>
              <w:cnfStyle w:val="000000000000" w:firstRow="0" w:lastRow="0" w:firstColumn="0" w:lastColumn="0" w:oddVBand="0" w:evenVBand="0" w:oddHBand="0" w:evenHBand="0" w:firstRowFirstColumn="0" w:firstRowLastColumn="0" w:lastRowFirstColumn="0" w:lastRowLastColumn="0"/>
            </w:pPr>
            <w:r>
              <w:t>Apprenticeship Hub</w:t>
            </w:r>
          </w:p>
          <w:p w14:paraId="3D3FB066" w14:textId="77777777" w:rsidR="00C55C7C" w:rsidRDefault="00C55C7C" w:rsidP="00C55C7C">
            <w:pPr>
              <w:pStyle w:val="ListParagraph"/>
              <w:numPr>
                <w:ilvl w:val="0"/>
                <w:numId w:val="95"/>
              </w:numPr>
              <w:ind w:left="357" w:hanging="357"/>
              <w:cnfStyle w:val="000000000000" w:firstRow="0" w:lastRow="0" w:firstColumn="0" w:lastColumn="0" w:oddVBand="0" w:evenVBand="0" w:oddHBand="0" w:evenHBand="0" w:firstRowFirstColumn="0" w:firstRowLastColumn="0" w:lastRowFirstColumn="0" w:lastRowLastColumn="0"/>
            </w:pPr>
            <w:r>
              <w:t xml:space="preserve">Humber Energy Campus/Humber University Technical College </w:t>
            </w:r>
          </w:p>
          <w:p w14:paraId="4F5F1118" w14:textId="77777777" w:rsidR="00C55C7C" w:rsidRPr="00601AD3" w:rsidRDefault="00C55C7C" w:rsidP="00C55C7C">
            <w:pPr>
              <w:pStyle w:val="ListParagraph"/>
              <w:numPr>
                <w:ilvl w:val="0"/>
                <w:numId w:val="95"/>
              </w:numPr>
              <w:ind w:left="357" w:hanging="357"/>
              <w:cnfStyle w:val="000000000000" w:firstRow="0" w:lastRow="0" w:firstColumn="0" w:lastColumn="0" w:oddVBand="0" w:evenVBand="0" w:oddHBand="0" w:evenHBand="0" w:firstRowFirstColumn="0" w:firstRowLastColumn="0" w:lastRowFirstColumn="0" w:lastRowLastColumn="0"/>
            </w:pPr>
            <w:r>
              <w:t xml:space="preserve">Provide support to skills providers to introduce new courses </w:t>
            </w:r>
          </w:p>
        </w:tc>
      </w:tr>
      <w:tr w:rsidR="00C55C7C" w14:paraId="49992F09" w14:textId="77777777" w:rsidTr="00C55C7C">
        <w:tc>
          <w:tcPr>
            <w:cnfStyle w:val="001000000000" w:firstRow="0" w:lastRow="0" w:firstColumn="1" w:lastColumn="0" w:oddVBand="0" w:evenVBand="0" w:oddHBand="0" w:evenHBand="0" w:firstRowFirstColumn="0" w:firstRowLastColumn="0" w:lastRowFirstColumn="0" w:lastRowLastColumn="0"/>
            <w:tcW w:w="2268" w:type="dxa"/>
          </w:tcPr>
          <w:p w14:paraId="13AE864D" w14:textId="77777777" w:rsidR="00C55C7C" w:rsidRDefault="00C55C7C" w:rsidP="00C55C7C">
            <w:r>
              <w:t xml:space="preserve">Flood risk and environmental management </w:t>
            </w:r>
          </w:p>
        </w:tc>
        <w:tc>
          <w:tcPr>
            <w:tcW w:w="3544" w:type="dxa"/>
          </w:tcPr>
          <w:p w14:paraId="2962FD35" w14:textId="77777777" w:rsidR="00C55C7C" w:rsidRPr="00575FCC" w:rsidRDefault="00C55C7C" w:rsidP="00C55C7C">
            <w:pPr>
              <w:pStyle w:val="ListParagraph"/>
              <w:numPr>
                <w:ilvl w:val="0"/>
                <w:numId w:val="95"/>
              </w:numPr>
              <w:ind w:left="357" w:hanging="357"/>
              <w:cnfStyle w:val="000000000000" w:firstRow="0" w:lastRow="0" w:firstColumn="0" w:lastColumn="0" w:oddVBand="0" w:evenVBand="0" w:oddHBand="0" w:evenHBand="0" w:firstRowFirstColumn="0" w:firstRowLastColumn="0" w:lastRowFirstColumn="0" w:lastRowLastColumn="0"/>
            </w:pPr>
            <w:r>
              <w:t xml:space="preserve">Maximise benefits of flood defence schemes by linking them with other proposals such as the Grimsby Docks Flood Defence Scheme. </w:t>
            </w:r>
          </w:p>
        </w:tc>
        <w:tc>
          <w:tcPr>
            <w:tcW w:w="3829" w:type="dxa"/>
          </w:tcPr>
          <w:p w14:paraId="5598ADCC" w14:textId="77777777" w:rsidR="00C55C7C" w:rsidRDefault="00C55C7C" w:rsidP="00C55C7C">
            <w:pPr>
              <w:pStyle w:val="ListParagraph"/>
              <w:numPr>
                <w:ilvl w:val="0"/>
                <w:numId w:val="95"/>
              </w:numPr>
              <w:ind w:left="357" w:hanging="357"/>
              <w:cnfStyle w:val="000000000000" w:firstRow="0" w:lastRow="0" w:firstColumn="0" w:lastColumn="0" w:oddVBand="0" w:evenVBand="0" w:oddHBand="0" w:evenHBand="0" w:firstRowFirstColumn="0" w:firstRowLastColumn="0" w:lastRowFirstColumn="0" w:lastRowLastColumn="0"/>
            </w:pPr>
            <w:r>
              <w:t xml:space="preserve">Support studies to inform flood defence schemes </w:t>
            </w:r>
          </w:p>
          <w:p w14:paraId="5D505941" w14:textId="77777777" w:rsidR="00C55C7C" w:rsidRDefault="00C55C7C" w:rsidP="00C55C7C">
            <w:pPr>
              <w:pStyle w:val="ListParagraph"/>
              <w:numPr>
                <w:ilvl w:val="0"/>
                <w:numId w:val="95"/>
              </w:numPr>
              <w:ind w:left="357" w:hanging="357"/>
              <w:cnfStyle w:val="000000000000" w:firstRow="0" w:lastRow="0" w:firstColumn="0" w:lastColumn="0" w:oddVBand="0" w:evenVBand="0" w:oddHBand="0" w:evenHBand="0" w:firstRowFirstColumn="0" w:firstRowLastColumn="0" w:lastRowFirstColumn="0" w:lastRowLastColumn="0"/>
            </w:pPr>
            <w:r>
              <w:t>Continue with the Humber Flood Risk Management Strategy</w:t>
            </w:r>
          </w:p>
          <w:p w14:paraId="6E7CECE6" w14:textId="77777777" w:rsidR="00C55C7C" w:rsidRPr="00575FCC" w:rsidRDefault="00C55C7C" w:rsidP="00C55C7C">
            <w:pPr>
              <w:pStyle w:val="ListParagraph"/>
              <w:numPr>
                <w:ilvl w:val="0"/>
                <w:numId w:val="95"/>
              </w:numPr>
              <w:ind w:left="357" w:hanging="357"/>
              <w:cnfStyle w:val="000000000000" w:firstRow="0" w:lastRow="0" w:firstColumn="0" w:lastColumn="0" w:oddVBand="0" w:evenVBand="0" w:oddHBand="0" w:evenHBand="0" w:firstRowFirstColumn="0" w:firstRowLastColumn="0" w:lastRowFirstColumn="0" w:lastRowLastColumn="0"/>
            </w:pPr>
            <w:r>
              <w:t>Promote sustainable development</w:t>
            </w:r>
          </w:p>
        </w:tc>
      </w:tr>
    </w:tbl>
    <w:p w14:paraId="14AE534D" w14:textId="77777777" w:rsidR="00C55C7C" w:rsidRDefault="00C55C7C" w:rsidP="00C55C7C"/>
    <w:p w14:paraId="7EBE5B14" w14:textId="77777777" w:rsidR="00C55C7C" w:rsidRDefault="00C55C7C" w:rsidP="00C55C7C">
      <w:pPr>
        <w:pStyle w:val="Heading4"/>
        <w:numPr>
          <w:ilvl w:val="3"/>
          <w:numId w:val="5"/>
        </w:numPr>
        <w:rPr>
          <w:i/>
        </w:rPr>
      </w:pPr>
      <w:r>
        <w:t xml:space="preserve">Greater Lincolnshire LEP </w:t>
      </w:r>
      <w:r>
        <w:rPr>
          <w:i/>
        </w:rPr>
        <w:t>Strategic Economic Plan</w:t>
      </w:r>
    </w:p>
    <w:p w14:paraId="67B9119D" w14:textId="77777777" w:rsidR="00C55C7C" w:rsidRPr="00B706C5" w:rsidRDefault="00C55C7C" w:rsidP="00C55C7C">
      <w:pPr>
        <w:pStyle w:val="Heading4NoNumb"/>
      </w:pPr>
      <w:r>
        <w:t>Aims and vision</w:t>
      </w:r>
    </w:p>
    <w:p w14:paraId="41E59DE9" w14:textId="77777777" w:rsidR="00C55C7C" w:rsidRDefault="00C55C7C" w:rsidP="00C55C7C">
      <w:r>
        <w:t xml:space="preserve">The Greater Lincolnshire SEP presents a range of actions projected to, on the basis of continued EU funding, increase the value of the area’s economy by £3.2 billion, assist 22,000 businesses and create 13,000 jobs. Taking actions across a range of themes including housing, infrastructure, business support and the environment, the plan aims to maintain local strengths in the agri-food, manufacturing and engineering and visitor economy sectors, whilst promoting growth in the low carbon, port and logistics and health and care sectors. </w:t>
      </w:r>
    </w:p>
    <w:p w14:paraId="20E7C060" w14:textId="77777777" w:rsidR="00C55C7C" w:rsidRDefault="00C55C7C" w:rsidP="00C55C7C">
      <w:r>
        <w:t xml:space="preserve">The plan identifies current challenges to growth in the area as including: </w:t>
      </w:r>
    </w:p>
    <w:p w14:paraId="75CBD659" w14:textId="77777777" w:rsidR="00C55C7C" w:rsidRDefault="00C55C7C" w:rsidP="00C55C7C">
      <w:pPr>
        <w:pStyle w:val="ListParagraph"/>
        <w:numPr>
          <w:ilvl w:val="0"/>
          <w:numId w:val="111"/>
        </w:numPr>
      </w:pPr>
      <w:r>
        <w:t>Under-developed road and rail infrastructure, constraining supply chains, labour markets and access to markets.</w:t>
      </w:r>
    </w:p>
    <w:p w14:paraId="27EB0C5E" w14:textId="77777777" w:rsidR="00C55C7C" w:rsidRDefault="00C55C7C" w:rsidP="00C55C7C">
      <w:pPr>
        <w:pStyle w:val="ListParagraph"/>
        <w:numPr>
          <w:ilvl w:val="0"/>
          <w:numId w:val="111"/>
        </w:numPr>
      </w:pPr>
      <w:r>
        <w:t>Investment in flood defences and water management is required to unlock economic and housing growth.</w:t>
      </w:r>
    </w:p>
    <w:p w14:paraId="7F464BAF" w14:textId="77777777" w:rsidR="00C55C7C" w:rsidRDefault="00C55C7C" w:rsidP="00C55C7C">
      <w:pPr>
        <w:pStyle w:val="ListParagraph"/>
        <w:numPr>
          <w:ilvl w:val="0"/>
          <w:numId w:val="111"/>
        </w:numPr>
      </w:pPr>
      <w:r>
        <w:t xml:space="preserve">Housing growth and community services provision is required to support economic growth </w:t>
      </w:r>
    </w:p>
    <w:p w14:paraId="46D27B19" w14:textId="77777777" w:rsidR="00C55C7C" w:rsidRDefault="00C55C7C" w:rsidP="00C55C7C">
      <w:pPr>
        <w:pStyle w:val="ListParagraph"/>
        <w:numPr>
          <w:ilvl w:val="0"/>
          <w:numId w:val="111"/>
        </w:numPr>
      </w:pPr>
      <w:r>
        <w:t>Youth unemployment and low skills levels in parts of Greater Lincolnshire constrain growth and limit the economic opportunities available to young people.</w:t>
      </w:r>
    </w:p>
    <w:p w14:paraId="13C9581C" w14:textId="77777777" w:rsidR="00C55C7C" w:rsidRDefault="00C55C7C" w:rsidP="00C55C7C">
      <w:pPr>
        <w:pStyle w:val="Heading4NoNumb"/>
      </w:pPr>
      <w:r>
        <w:t xml:space="preserve">Priority Sectors </w:t>
      </w:r>
    </w:p>
    <w:p w14:paraId="2E45DE79" w14:textId="77777777" w:rsidR="00C55C7C" w:rsidRDefault="00C55C7C" w:rsidP="00C55C7C">
      <w:r>
        <w:t xml:space="preserve">Various actions are proposed in the SEP to support existing and expanding sectors, many of which overlap with NEL’s priority sectors. These are presented in </w:t>
      </w:r>
      <w:r w:rsidR="00781CD3">
        <w:fldChar w:fldCharType="begin"/>
      </w:r>
      <w:r>
        <w:instrText xml:space="preserve"> REF _Ref393719526 \h </w:instrText>
      </w:r>
      <w:r w:rsidR="00781CD3">
        <w:fldChar w:fldCharType="separate"/>
      </w:r>
      <w:r w:rsidR="00E95E1A">
        <w:t xml:space="preserve">Table </w:t>
      </w:r>
      <w:r w:rsidR="00E95E1A">
        <w:rPr>
          <w:noProof/>
        </w:rPr>
        <w:t>2</w:t>
      </w:r>
      <w:r w:rsidR="00E95E1A">
        <w:t>-</w:t>
      </w:r>
      <w:r w:rsidR="00E95E1A">
        <w:rPr>
          <w:noProof/>
        </w:rPr>
        <w:t>2</w:t>
      </w:r>
      <w:r w:rsidR="00781CD3">
        <w:fldChar w:fldCharType="end"/>
      </w:r>
      <w:r>
        <w:t xml:space="preserve"> </w:t>
      </w:r>
    </w:p>
    <w:p w14:paraId="4974998E" w14:textId="77777777" w:rsidR="00C55C7C" w:rsidRDefault="00C55C7C" w:rsidP="00C55C7C">
      <w:pPr>
        <w:pStyle w:val="Caption"/>
      </w:pPr>
      <w:bookmarkStart w:id="36" w:name="_Ref393719526"/>
      <w:r>
        <w:t xml:space="preserve">Table </w:t>
      </w:r>
      <w:fldSimple w:instr=" STYLEREF 1 \s  \* MERGEFORMAT ">
        <w:r w:rsidR="00E95E1A">
          <w:rPr>
            <w:noProof/>
          </w:rPr>
          <w:t>2</w:t>
        </w:r>
      </w:fldSimple>
      <w:r>
        <w:t>-</w:t>
      </w:r>
      <w:fldSimple w:instr=" SEQ Table \* ARABIC \s 1  \* MERGEFORMAT ">
        <w:r w:rsidR="00E95E1A">
          <w:rPr>
            <w:noProof/>
          </w:rPr>
          <w:t>2</w:t>
        </w:r>
      </w:fldSimple>
      <w:bookmarkEnd w:id="36"/>
      <w:r>
        <w:tab/>
        <w:t>Actions proposed for sector support in Greater Lincolnshire SEP</w:t>
      </w:r>
    </w:p>
    <w:tbl>
      <w:tblPr>
        <w:tblW w:w="9637" w:type="dxa"/>
        <w:tblInd w:w="57" w:type="dxa"/>
        <w:tblBorders>
          <w:top w:val="single" w:sz="2" w:space="0" w:color="000000" w:themeColor="dark1"/>
          <w:left w:val="single" w:sz="2" w:space="0" w:color="000000" w:themeColor="dark1"/>
          <w:bottom w:val="single" w:sz="2" w:space="0" w:color="000000" w:themeColor="dark1"/>
          <w:right w:val="single" w:sz="2" w:space="0" w:color="000000" w:themeColor="dark1"/>
          <w:insideH w:val="single" w:sz="2" w:space="0" w:color="000000" w:themeColor="dark1"/>
          <w:insideV w:val="single" w:sz="2" w:space="0" w:color="000000" w:themeColor="dark1"/>
        </w:tblBorders>
        <w:tblLayout w:type="fixed"/>
        <w:tblCellMar>
          <w:left w:w="57" w:type="dxa"/>
          <w:right w:w="57" w:type="dxa"/>
        </w:tblCellMar>
        <w:tblLook w:val="0020" w:firstRow="1" w:lastRow="0" w:firstColumn="0" w:lastColumn="0" w:noHBand="0" w:noVBand="0"/>
      </w:tblPr>
      <w:tblGrid>
        <w:gridCol w:w="1985"/>
        <w:gridCol w:w="7652"/>
      </w:tblGrid>
      <w:tr w:rsidR="00C55C7C" w14:paraId="64354E47" w14:textId="77777777" w:rsidTr="00C55C7C">
        <w:trPr>
          <w:tblHeader/>
        </w:trPr>
        <w:tc>
          <w:tcPr>
            <w:tcW w:w="1985" w:type="dxa"/>
            <w:shd w:val="clear" w:color="auto" w:fill="F0EEEB" w:themeFill="accent6" w:themeFillTint="99"/>
          </w:tcPr>
          <w:p w14:paraId="1933AF02" w14:textId="77777777" w:rsidR="00C55C7C" w:rsidRDefault="00C55C7C" w:rsidP="00C55C7C">
            <w:pPr>
              <w:pStyle w:val="TableHeading"/>
            </w:pPr>
            <w:r>
              <w:t>Sector</w:t>
            </w:r>
          </w:p>
        </w:tc>
        <w:tc>
          <w:tcPr>
            <w:tcW w:w="7652" w:type="dxa"/>
            <w:shd w:val="clear" w:color="auto" w:fill="F0EEEB" w:themeFill="accent6" w:themeFillTint="99"/>
          </w:tcPr>
          <w:p w14:paraId="6ECDB212" w14:textId="77777777" w:rsidR="00C55C7C" w:rsidRDefault="00C55C7C" w:rsidP="00C55C7C">
            <w:pPr>
              <w:pStyle w:val="TableHeading"/>
            </w:pPr>
            <w:r>
              <w:t>Actions</w:t>
            </w:r>
          </w:p>
        </w:tc>
      </w:tr>
      <w:tr w:rsidR="00C55C7C" w14:paraId="02CB0899" w14:textId="77777777" w:rsidTr="00C55C7C">
        <w:tc>
          <w:tcPr>
            <w:tcW w:w="1985" w:type="dxa"/>
            <w:shd w:val="clear" w:color="auto" w:fill="auto"/>
          </w:tcPr>
          <w:p w14:paraId="6C08EFCD" w14:textId="77777777" w:rsidR="00C55C7C" w:rsidRDefault="00C55C7C" w:rsidP="00C55C7C">
            <w:pPr>
              <w:pStyle w:val="TableText"/>
            </w:pPr>
            <w:r>
              <w:t>Agri-food</w:t>
            </w:r>
          </w:p>
        </w:tc>
        <w:tc>
          <w:tcPr>
            <w:tcW w:w="7652" w:type="dxa"/>
            <w:shd w:val="clear" w:color="auto" w:fill="auto"/>
          </w:tcPr>
          <w:p w14:paraId="2DE48EE6" w14:textId="77777777" w:rsidR="00C55C7C" w:rsidRDefault="00C55C7C" w:rsidP="00C55C7C">
            <w:pPr>
              <w:pStyle w:val="TableText"/>
              <w:numPr>
                <w:ilvl w:val="0"/>
                <w:numId w:val="115"/>
              </w:numPr>
              <w:ind w:left="357" w:hanging="357"/>
            </w:pPr>
            <w:r>
              <w:t>Drive product and process innovation through the development of innovation hubs, including Humber Seafood Institute</w:t>
            </w:r>
          </w:p>
          <w:p w14:paraId="344AD81C" w14:textId="77777777" w:rsidR="00C55C7C" w:rsidRDefault="00C55C7C" w:rsidP="00C55C7C">
            <w:pPr>
              <w:pStyle w:val="TableText"/>
              <w:numPr>
                <w:ilvl w:val="0"/>
                <w:numId w:val="115"/>
              </w:numPr>
              <w:ind w:left="357" w:hanging="357"/>
            </w:pPr>
            <w:r>
              <w:t>Invest in infrastructure, including at the Port of Immingham</w:t>
            </w:r>
          </w:p>
          <w:p w14:paraId="365179BF" w14:textId="77777777" w:rsidR="00C55C7C" w:rsidRDefault="00C55C7C" w:rsidP="00C55C7C">
            <w:pPr>
              <w:pStyle w:val="ListParagraph"/>
              <w:numPr>
                <w:ilvl w:val="0"/>
                <w:numId w:val="105"/>
              </w:numPr>
              <w:ind w:left="357" w:hanging="357"/>
            </w:pPr>
            <w:r>
              <w:t xml:space="preserve">Increase supply of high-quality food-grade industrial accommodation </w:t>
            </w:r>
          </w:p>
          <w:p w14:paraId="6EB86A7A" w14:textId="77777777" w:rsidR="00C55C7C" w:rsidRDefault="00C55C7C" w:rsidP="00C55C7C">
            <w:pPr>
              <w:pStyle w:val="ListParagraph"/>
              <w:numPr>
                <w:ilvl w:val="0"/>
                <w:numId w:val="105"/>
              </w:numPr>
              <w:ind w:left="357" w:hanging="357"/>
            </w:pPr>
            <w:r>
              <w:t>Build capacity and competitiveness of supply chains to address issues around energy costs, water resource management and workforce skills</w:t>
            </w:r>
          </w:p>
          <w:p w14:paraId="33D9BF36" w14:textId="77777777" w:rsidR="00C55C7C" w:rsidRDefault="00C55C7C" w:rsidP="00C55C7C">
            <w:pPr>
              <w:pStyle w:val="ListParagraph"/>
              <w:numPr>
                <w:ilvl w:val="0"/>
                <w:numId w:val="105"/>
              </w:numPr>
              <w:ind w:left="357" w:hanging="357"/>
            </w:pPr>
            <w:r>
              <w:t xml:space="preserve">Develop skills base to facilitate access to apprenticeships and employment opportunities </w:t>
            </w:r>
          </w:p>
          <w:p w14:paraId="43893BE1" w14:textId="77777777" w:rsidR="00C55C7C" w:rsidRDefault="00C55C7C" w:rsidP="00C55C7C">
            <w:pPr>
              <w:pStyle w:val="ListParagraph"/>
              <w:numPr>
                <w:ilvl w:val="0"/>
                <w:numId w:val="105"/>
              </w:numPr>
              <w:ind w:left="357" w:hanging="357"/>
            </w:pPr>
            <w:r>
              <w:t xml:space="preserve">Facilitating expansion of Europarc through infrastructure investment, in collaboration with Humber LEP </w:t>
            </w:r>
          </w:p>
        </w:tc>
      </w:tr>
      <w:tr w:rsidR="00C55C7C" w14:paraId="0A34729B" w14:textId="77777777" w:rsidTr="00C55C7C">
        <w:tc>
          <w:tcPr>
            <w:tcW w:w="1985" w:type="dxa"/>
            <w:shd w:val="clear" w:color="auto" w:fill="auto"/>
          </w:tcPr>
          <w:p w14:paraId="4215919A" w14:textId="77777777" w:rsidR="00C55C7C" w:rsidRDefault="00C55C7C" w:rsidP="00C55C7C">
            <w:pPr>
              <w:pStyle w:val="TableText"/>
            </w:pPr>
            <w:r>
              <w:t xml:space="preserve">Manufacturing &amp; engineering </w:t>
            </w:r>
          </w:p>
        </w:tc>
        <w:tc>
          <w:tcPr>
            <w:tcW w:w="7652" w:type="dxa"/>
            <w:shd w:val="clear" w:color="auto" w:fill="auto"/>
          </w:tcPr>
          <w:p w14:paraId="507F8761" w14:textId="77777777" w:rsidR="00C55C7C" w:rsidRDefault="00C55C7C" w:rsidP="00C55C7C">
            <w:pPr>
              <w:pStyle w:val="ListParagraph"/>
              <w:numPr>
                <w:ilvl w:val="0"/>
                <w:numId w:val="106"/>
              </w:numPr>
              <w:ind w:left="357" w:hanging="357"/>
            </w:pPr>
            <w:r>
              <w:t xml:space="preserve">Maintain supply of high-quality serviced employment sites and premises across Greater Lincolnshire, including promoting Enterprise Zones in NEL </w:t>
            </w:r>
          </w:p>
          <w:p w14:paraId="47797B31" w14:textId="77777777" w:rsidR="00C55C7C" w:rsidRDefault="00C55C7C" w:rsidP="00C55C7C">
            <w:pPr>
              <w:pStyle w:val="ListParagraph"/>
              <w:numPr>
                <w:ilvl w:val="0"/>
                <w:numId w:val="106"/>
              </w:numPr>
              <w:ind w:left="357" w:hanging="357"/>
            </w:pPr>
            <w:r>
              <w:t>Encourage employer engagement in apprenticeships and workforce developments through de-risking investment in training</w:t>
            </w:r>
          </w:p>
          <w:p w14:paraId="1A77D04F" w14:textId="77777777" w:rsidR="00C55C7C" w:rsidRDefault="00C55C7C" w:rsidP="00C55C7C">
            <w:pPr>
              <w:pStyle w:val="ListParagraph"/>
              <w:numPr>
                <w:ilvl w:val="0"/>
                <w:numId w:val="106"/>
              </w:numPr>
              <w:ind w:left="357" w:hanging="357"/>
            </w:pPr>
            <w:r>
              <w:t xml:space="preserve">Unlock development and housing land, including in Grimsby </w:t>
            </w:r>
          </w:p>
          <w:p w14:paraId="017F2172" w14:textId="77777777" w:rsidR="00C55C7C" w:rsidRDefault="00C55C7C" w:rsidP="00C55C7C">
            <w:pPr>
              <w:pStyle w:val="ListParagraph"/>
              <w:numPr>
                <w:ilvl w:val="0"/>
                <w:numId w:val="106"/>
              </w:numPr>
              <w:ind w:left="357" w:hanging="357"/>
            </w:pPr>
            <w:r>
              <w:t xml:space="preserve">Unlock development of key sites on the South Humber Bank to support the renewable and chemicals sectors </w:t>
            </w:r>
          </w:p>
          <w:p w14:paraId="0532D57B" w14:textId="77777777" w:rsidR="00C55C7C" w:rsidRDefault="00C55C7C" w:rsidP="00C55C7C">
            <w:pPr>
              <w:pStyle w:val="ListParagraph"/>
              <w:numPr>
                <w:ilvl w:val="0"/>
                <w:numId w:val="106"/>
              </w:numPr>
              <w:ind w:left="357" w:hanging="357"/>
            </w:pPr>
            <w:r>
              <w:t xml:space="preserve">Rail gauge investment between Immingham and the East Coast mainline at Doncaster to enhance rail freight capacity </w:t>
            </w:r>
          </w:p>
        </w:tc>
      </w:tr>
      <w:tr w:rsidR="00C55C7C" w14:paraId="4DED5EE2" w14:textId="77777777" w:rsidTr="00C55C7C">
        <w:tc>
          <w:tcPr>
            <w:tcW w:w="1985" w:type="dxa"/>
            <w:shd w:val="clear" w:color="auto" w:fill="auto"/>
          </w:tcPr>
          <w:p w14:paraId="191D55A6" w14:textId="77777777" w:rsidR="00C55C7C" w:rsidRDefault="00C55C7C" w:rsidP="00C55C7C">
            <w:pPr>
              <w:pStyle w:val="TableText"/>
            </w:pPr>
            <w:r>
              <w:t>Visitor economy</w:t>
            </w:r>
          </w:p>
        </w:tc>
        <w:tc>
          <w:tcPr>
            <w:tcW w:w="7652" w:type="dxa"/>
            <w:shd w:val="clear" w:color="auto" w:fill="auto"/>
          </w:tcPr>
          <w:p w14:paraId="156B7165" w14:textId="77777777" w:rsidR="00C55C7C" w:rsidRDefault="00C55C7C" w:rsidP="00C55C7C">
            <w:pPr>
              <w:pStyle w:val="ListParagraph"/>
              <w:numPr>
                <w:ilvl w:val="0"/>
                <w:numId w:val="107"/>
              </w:numPr>
              <w:ind w:left="357" w:hanging="357"/>
            </w:pPr>
            <w:r>
              <w:t>Work with public and private sector partners to extend network of visitor attractions across Greater Lincolnshire</w:t>
            </w:r>
          </w:p>
          <w:p w14:paraId="55E9DC2E" w14:textId="77777777" w:rsidR="00C55C7C" w:rsidRDefault="00C55C7C" w:rsidP="00C55C7C">
            <w:pPr>
              <w:pStyle w:val="ListParagraph"/>
              <w:numPr>
                <w:ilvl w:val="0"/>
                <w:numId w:val="107"/>
              </w:numPr>
              <w:ind w:left="357" w:hanging="357"/>
            </w:pPr>
            <w:r>
              <w:t xml:space="preserve">Simplify and coordinate online presence in partnership with Visit England </w:t>
            </w:r>
          </w:p>
          <w:p w14:paraId="07B0AE5B" w14:textId="77777777" w:rsidR="00C55C7C" w:rsidRDefault="00C55C7C" w:rsidP="00C55C7C">
            <w:pPr>
              <w:pStyle w:val="ListParagraph"/>
              <w:numPr>
                <w:ilvl w:val="0"/>
                <w:numId w:val="107"/>
              </w:numPr>
              <w:ind w:left="357" w:hanging="357"/>
            </w:pPr>
            <w:r>
              <w:t xml:space="preserve">Enhance quality of visitor experience through supporting the development of the visitor accommodation/hospitality sectors and delivering investment in local visitor infrastructure </w:t>
            </w:r>
          </w:p>
          <w:p w14:paraId="201D965A" w14:textId="77777777" w:rsidR="00C55C7C" w:rsidRDefault="00C55C7C" w:rsidP="00C55C7C">
            <w:pPr>
              <w:pStyle w:val="ListParagraph"/>
              <w:numPr>
                <w:ilvl w:val="0"/>
                <w:numId w:val="107"/>
              </w:numPr>
              <w:ind w:left="357" w:hanging="357"/>
            </w:pPr>
            <w:r>
              <w:t xml:space="preserve">Develop customer service and other skills of workforce </w:t>
            </w:r>
          </w:p>
          <w:p w14:paraId="2A1DC480" w14:textId="77777777" w:rsidR="00C55C7C" w:rsidRDefault="00C55C7C" w:rsidP="00C55C7C">
            <w:pPr>
              <w:pStyle w:val="ListParagraph"/>
              <w:numPr>
                <w:ilvl w:val="0"/>
                <w:numId w:val="107"/>
              </w:numPr>
              <w:ind w:left="357" w:hanging="357"/>
            </w:pPr>
            <w:r>
              <w:t xml:space="preserve">Resort renaissance programme for Cleethorpes, including providing a site for major hotel, conference and leisure developments and integrating public-realm improvements with upgrades to flood defences </w:t>
            </w:r>
          </w:p>
          <w:p w14:paraId="5308391E" w14:textId="77777777" w:rsidR="00C55C7C" w:rsidRDefault="00C55C7C" w:rsidP="00C55C7C">
            <w:pPr>
              <w:pStyle w:val="ListParagraph"/>
              <w:numPr>
                <w:ilvl w:val="0"/>
                <w:numId w:val="107"/>
              </w:numPr>
              <w:ind w:left="357" w:hanging="357"/>
            </w:pPr>
            <w:r>
              <w:t>Improve frequency of services between Doncaster and Cleethorpes</w:t>
            </w:r>
          </w:p>
          <w:p w14:paraId="7D840CD6" w14:textId="77777777" w:rsidR="00C55C7C" w:rsidRDefault="00C55C7C" w:rsidP="00C55C7C">
            <w:pPr>
              <w:pStyle w:val="ListParagraph"/>
              <w:numPr>
                <w:ilvl w:val="0"/>
                <w:numId w:val="107"/>
              </w:numPr>
              <w:ind w:left="357" w:hanging="357"/>
            </w:pPr>
            <w:r>
              <w:t>Development of Ice Factory in Grimsby as major new attraction</w:t>
            </w:r>
          </w:p>
        </w:tc>
      </w:tr>
      <w:tr w:rsidR="00C55C7C" w14:paraId="4812DD79" w14:textId="77777777" w:rsidTr="00C55C7C">
        <w:tc>
          <w:tcPr>
            <w:tcW w:w="1985" w:type="dxa"/>
            <w:shd w:val="clear" w:color="auto" w:fill="auto"/>
          </w:tcPr>
          <w:p w14:paraId="265DE8BB" w14:textId="77777777" w:rsidR="00C55C7C" w:rsidRDefault="00C55C7C" w:rsidP="00C55C7C">
            <w:pPr>
              <w:pStyle w:val="TableText"/>
            </w:pPr>
            <w:r>
              <w:t>Low carbon</w:t>
            </w:r>
          </w:p>
        </w:tc>
        <w:tc>
          <w:tcPr>
            <w:tcW w:w="7652" w:type="dxa"/>
            <w:shd w:val="clear" w:color="auto" w:fill="auto"/>
          </w:tcPr>
          <w:p w14:paraId="7BB62599" w14:textId="77777777" w:rsidR="00C55C7C" w:rsidRDefault="00C55C7C" w:rsidP="00C55C7C">
            <w:pPr>
              <w:pStyle w:val="TableText"/>
              <w:numPr>
                <w:ilvl w:val="0"/>
                <w:numId w:val="116"/>
              </w:numPr>
              <w:ind w:left="357" w:hanging="357"/>
            </w:pPr>
            <w:r>
              <w:t xml:space="preserve">Raise awareness of supply chain opportunities and build capacity and capability of local firms to secure contracts </w:t>
            </w:r>
          </w:p>
          <w:p w14:paraId="15CD4C5B" w14:textId="77777777" w:rsidR="00C55C7C" w:rsidRDefault="00C55C7C" w:rsidP="00C55C7C">
            <w:pPr>
              <w:pStyle w:val="ListParagraph"/>
              <w:numPr>
                <w:ilvl w:val="0"/>
                <w:numId w:val="108"/>
              </w:numPr>
              <w:ind w:left="357" w:hanging="357"/>
            </w:pPr>
            <w:r>
              <w:t>Work with skills providers to deliver increased low carbon apprenticeships and training opportunities</w:t>
            </w:r>
          </w:p>
          <w:p w14:paraId="7FF6F694" w14:textId="77777777" w:rsidR="00C55C7C" w:rsidRDefault="00C55C7C" w:rsidP="00C55C7C">
            <w:pPr>
              <w:pStyle w:val="ListParagraph"/>
              <w:numPr>
                <w:ilvl w:val="0"/>
                <w:numId w:val="108"/>
              </w:numPr>
              <w:ind w:left="357" w:hanging="357"/>
            </w:pPr>
            <w:r>
              <w:t xml:space="preserve">Support research and development and technology transfer </w:t>
            </w:r>
          </w:p>
          <w:p w14:paraId="405E7C75" w14:textId="77777777" w:rsidR="00C55C7C" w:rsidRDefault="00C55C7C" w:rsidP="00C55C7C">
            <w:pPr>
              <w:pStyle w:val="ListParagraph"/>
              <w:numPr>
                <w:ilvl w:val="0"/>
                <w:numId w:val="108"/>
              </w:numPr>
              <w:ind w:left="357" w:hanging="357"/>
            </w:pPr>
            <w:r>
              <w:t>Develop the Humber Energy Campus and CATCH facility</w:t>
            </w:r>
          </w:p>
          <w:p w14:paraId="03D9758A" w14:textId="77777777" w:rsidR="00C55C7C" w:rsidRDefault="00C55C7C" w:rsidP="00C55C7C">
            <w:pPr>
              <w:pStyle w:val="ListParagraph"/>
              <w:numPr>
                <w:ilvl w:val="0"/>
                <w:numId w:val="108"/>
              </w:numPr>
              <w:ind w:left="357" w:hanging="357"/>
            </w:pPr>
            <w:r>
              <w:t>Deliver an integrated supply-chain development programme</w:t>
            </w:r>
          </w:p>
          <w:p w14:paraId="487EEB3A" w14:textId="77777777" w:rsidR="00C55C7C" w:rsidRDefault="00C55C7C" w:rsidP="00C55C7C">
            <w:pPr>
              <w:pStyle w:val="ListParagraph"/>
              <w:numPr>
                <w:ilvl w:val="0"/>
                <w:numId w:val="108"/>
              </w:numPr>
              <w:ind w:left="357" w:hanging="357"/>
            </w:pPr>
            <w:r>
              <w:t>Improve infrastructure at the Port of Grimsby Enterprise Zone</w:t>
            </w:r>
          </w:p>
        </w:tc>
      </w:tr>
      <w:tr w:rsidR="00C55C7C" w14:paraId="2DB9FAFC" w14:textId="77777777" w:rsidTr="00C55C7C">
        <w:tc>
          <w:tcPr>
            <w:tcW w:w="1985" w:type="dxa"/>
            <w:shd w:val="clear" w:color="auto" w:fill="auto"/>
          </w:tcPr>
          <w:p w14:paraId="16C736CA" w14:textId="77777777" w:rsidR="00C55C7C" w:rsidRDefault="00C55C7C" w:rsidP="00C55C7C">
            <w:pPr>
              <w:pStyle w:val="TableText"/>
            </w:pPr>
            <w:r>
              <w:t xml:space="preserve">Ports &amp; logistics </w:t>
            </w:r>
          </w:p>
        </w:tc>
        <w:tc>
          <w:tcPr>
            <w:tcW w:w="7652" w:type="dxa"/>
            <w:shd w:val="clear" w:color="auto" w:fill="auto"/>
          </w:tcPr>
          <w:p w14:paraId="738D8FF6" w14:textId="77777777" w:rsidR="00C55C7C" w:rsidRDefault="00C55C7C" w:rsidP="00C55C7C">
            <w:pPr>
              <w:pStyle w:val="TableText"/>
              <w:numPr>
                <w:ilvl w:val="0"/>
                <w:numId w:val="117"/>
              </w:numPr>
              <w:ind w:left="357" w:hanging="357"/>
            </w:pPr>
            <w:r>
              <w:t xml:space="preserve">Port of Grimsby access and employment programme </w:t>
            </w:r>
          </w:p>
          <w:p w14:paraId="18D8D37F" w14:textId="77777777" w:rsidR="00C55C7C" w:rsidRDefault="00C55C7C" w:rsidP="00C55C7C">
            <w:pPr>
              <w:pStyle w:val="TableText"/>
              <w:numPr>
                <w:ilvl w:val="0"/>
                <w:numId w:val="117"/>
              </w:numPr>
              <w:ind w:left="357" w:hanging="357"/>
            </w:pPr>
            <w:r>
              <w:t>Rail gauge investment between Immingham and Doncaster</w:t>
            </w:r>
          </w:p>
          <w:p w14:paraId="51365DD1" w14:textId="77777777" w:rsidR="00C55C7C" w:rsidRDefault="00C55C7C" w:rsidP="00C55C7C">
            <w:pPr>
              <w:pStyle w:val="TableText"/>
              <w:numPr>
                <w:ilvl w:val="0"/>
                <w:numId w:val="117"/>
              </w:numPr>
              <w:ind w:left="357" w:hanging="357"/>
            </w:pPr>
            <w:r>
              <w:t xml:space="preserve">Humberside Airport surface access improvements </w:t>
            </w:r>
          </w:p>
        </w:tc>
      </w:tr>
    </w:tbl>
    <w:p w14:paraId="52DE6A24" w14:textId="77777777" w:rsidR="00C55C7C" w:rsidRDefault="00C55C7C" w:rsidP="00C55C7C"/>
    <w:p w14:paraId="399AC3B1" w14:textId="77777777" w:rsidR="00C55C7C" w:rsidRPr="00B706C5" w:rsidRDefault="00C55C7C" w:rsidP="00C55C7C">
      <w:pPr>
        <w:pStyle w:val="Heading4NoNumb"/>
      </w:pPr>
      <w:r>
        <w:t xml:space="preserve">Proposed Cross-Sector Actions and Developments </w:t>
      </w:r>
    </w:p>
    <w:p w14:paraId="01522443" w14:textId="77777777" w:rsidR="00C55C7C" w:rsidRDefault="00C55C7C" w:rsidP="00C55C7C">
      <w:r>
        <w:t xml:space="preserve">The SEP proposes various infrastructure, housing and business support projects and initiatives to promote growth across sectors, with particular relevance for NEL. </w:t>
      </w:r>
    </w:p>
    <w:p w14:paraId="4745D257" w14:textId="77777777" w:rsidR="00C55C7C" w:rsidRDefault="00C55C7C" w:rsidP="00C55C7C">
      <w:r>
        <w:t>In terms of improving the availability of housing and employment land, the SEP proposes:</w:t>
      </w:r>
    </w:p>
    <w:p w14:paraId="5CA32FB1" w14:textId="77777777" w:rsidR="00C55C7C" w:rsidRDefault="00C55C7C" w:rsidP="00C55C7C">
      <w:pPr>
        <w:pStyle w:val="ListParagraph"/>
        <w:numPr>
          <w:ilvl w:val="0"/>
          <w:numId w:val="112"/>
        </w:numPr>
      </w:pPr>
      <w:r>
        <w:t>The development of Freeman Street and West &amp; East Marsh Road in Grimsby, to assist 166 businesses and create 280 housing units.</w:t>
      </w:r>
    </w:p>
    <w:p w14:paraId="7B6987AB" w14:textId="77777777" w:rsidR="00C55C7C" w:rsidRDefault="00C55C7C" w:rsidP="00C55C7C">
      <w:pPr>
        <w:pStyle w:val="ListParagraph"/>
        <w:numPr>
          <w:ilvl w:val="0"/>
          <w:numId w:val="112"/>
        </w:numPr>
      </w:pPr>
      <w:r>
        <w:t xml:space="preserve">Creating 600 housing units and creating employment land elsewhere in key employment zones in North East Lincolnshire. </w:t>
      </w:r>
    </w:p>
    <w:p w14:paraId="1A869A51" w14:textId="77777777" w:rsidR="00C55C7C" w:rsidRDefault="00C55C7C" w:rsidP="00C55C7C">
      <w:pPr>
        <w:pStyle w:val="ListParagraph"/>
        <w:numPr>
          <w:ilvl w:val="0"/>
          <w:numId w:val="112"/>
        </w:numPr>
      </w:pPr>
      <w:r>
        <w:t>The Lincolnshire Lakes development in North Lincolnshire</w:t>
      </w:r>
      <w:r w:rsidR="00B764D6">
        <w:t xml:space="preserve"> is also targeted to </w:t>
      </w:r>
      <w:r>
        <w:t xml:space="preserve">create employment land and provide 600 housing units. </w:t>
      </w:r>
    </w:p>
    <w:p w14:paraId="38DADE2F" w14:textId="77777777" w:rsidR="00C55C7C" w:rsidRDefault="00C55C7C" w:rsidP="00C55C7C">
      <w:r>
        <w:t xml:space="preserve">Proposed infrastructure investment includes several growth corridors within NEL: </w:t>
      </w:r>
    </w:p>
    <w:p w14:paraId="3F8A72DD" w14:textId="77777777" w:rsidR="00C55C7C" w:rsidRDefault="00C55C7C" w:rsidP="00C55C7C">
      <w:pPr>
        <w:pStyle w:val="ListParagraph"/>
        <w:numPr>
          <w:ilvl w:val="0"/>
          <w:numId w:val="114"/>
        </w:numPr>
      </w:pPr>
      <w:r>
        <w:t>The M180/A180 Scunthorpe to Grimsby route.</w:t>
      </w:r>
    </w:p>
    <w:p w14:paraId="3D654E32" w14:textId="77777777" w:rsidR="00C55C7C" w:rsidRDefault="00C55C7C" w:rsidP="00C55C7C">
      <w:pPr>
        <w:pStyle w:val="ListParagraph"/>
        <w:numPr>
          <w:ilvl w:val="0"/>
          <w:numId w:val="114"/>
        </w:numPr>
      </w:pPr>
      <w:r>
        <w:t xml:space="preserve">The A16 Grimsby to Louth route.  </w:t>
      </w:r>
    </w:p>
    <w:p w14:paraId="727599B2" w14:textId="77777777" w:rsidR="00C55C7C" w:rsidRDefault="00C55C7C" w:rsidP="00C55C7C">
      <w:pPr>
        <w:pStyle w:val="ListParagraph"/>
        <w:numPr>
          <w:ilvl w:val="0"/>
          <w:numId w:val="114"/>
        </w:numPr>
      </w:pPr>
      <w:r>
        <w:t>As mentioned, rail routes between Doncaster and Cleethorpes will receive gauge improvements, allowing for greater freight transport.</w:t>
      </w:r>
    </w:p>
    <w:p w14:paraId="24963116" w14:textId="77777777" w:rsidR="00C55C7C" w:rsidRDefault="00C55C7C" w:rsidP="00C55C7C">
      <w:r>
        <w:t xml:space="preserve">The LEP also intends to support small businesses by improving the provision of information and support in accessing finance, to be implemented and coordinated through a one-stop Growth Hub. </w:t>
      </w:r>
    </w:p>
    <w:p w14:paraId="30E5D05E" w14:textId="77777777" w:rsidR="00C55C7C" w:rsidRDefault="00C55C7C" w:rsidP="00C55C7C">
      <w:pPr>
        <w:pStyle w:val="Heading4"/>
        <w:numPr>
          <w:ilvl w:val="3"/>
          <w:numId w:val="5"/>
        </w:numPr>
      </w:pPr>
      <w:r>
        <w:t>Enterprise Zones</w:t>
      </w:r>
    </w:p>
    <w:p w14:paraId="7B77628A" w14:textId="77777777" w:rsidR="00C55C7C" w:rsidRPr="009815DB" w:rsidRDefault="00C55C7C" w:rsidP="00C55C7C">
      <w:pPr>
        <w:jc w:val="both"/>
        <w:rPr>
          <w:b/>
        </w:rPr>
      </w:pPr>
      <w:r w:rsidRPr="009815DB">
        <w:rPr>
          <w:b/>
        </w:rPr>
        <w:t xml:space="preserve">Enterprise Zones </w:t>
      </w:r>
    </w:p>
    <w:p w14:paraId="2E0C3169" w14:textId="77777777" w:rsidR="00C55C7C" w:rsidRDefault="00C55C7C" w:rsidP="00C55C7C">
      <w:pPr>
        <w:jc w:val="both"/>
      </w:pPr>
      <w:r w:rsidRPr="009815DB">
        <w:t xml:space="preserve">The Humber LEP was successful </w:t>
      </w:r>
      <w:r>
        <w:t>in having</w:t>
      </w:r>
      <w:r w:rsidRPr="009815DB">
        <w:t xml:space="preserve"> eight areas</w:t>
      </w:r>
      <w:r>
        <w:t xml:space="preserve"> designated as Enterprise Zones, which enables accelerated planning procedures and discounted business rates as incentives to encourage key businesses to the areas.  Of particular relevance to this study, Enterprise Zones in the area include:</w:t>
      </w:r>
    </w:p>
    <w:p w14:paraId="24D04491" w14:textId="77777777" w:rsidR="00C55C7C" w:rsidRDefault="00C55C7C" w:rsidP="00C55C7C">
      <w:pPr>
        <w:pStyle w:val="ListBullet"/>
        <w:numPr>
          <w:ilvl w:val="0"/>
          <w:numId w:val="1"/>
        </w:numPr>
        <w:tabs>
          <w:tab w:val="clear" w:pos="360"/>
          <w:tab w:val="num" w:pos="720"/>
        </w:tabs>
        <w:ind w:left="720"/>
        <w:jc w:val="both"/>
      </w:pPr>
      <w:r>
        <w:t>Port of Grimsby; and</w:t>
      </w:r>
    </w:p>
    <w:p w14:paraId="64E323B9" w14:textId="77777777" w:rsidR="00C55C7C" w:rsidRDefault="00C55C7C" w:rsidP="00C55C7C">
      <w:pPr>
        <w:pStyle w:val="ListBullet"/>
        <w:numPr>
          <w:ilvl w:val="0"/>
          <w:numId w:val="1"/>
        </w:numPr>
        <w:tabs>
          <w:tab w:val="clear" w:pos="360"/>
          <w:tab w:val="num" w:pos="720"/>
        </w:tabs>
        <w:ind w:left="720"/>
        <w:jc w:val="both"/>
      </w:pPr>
      <w:r>
        <w:t>Able Marine Energy Park</w:t>
      </w:r>
    </w:p>
    <w:p w14:paraId="78DE611F" w14:textId="77777777" w:rsidR="00C55C7C" w:rsidRDefault="00C55C7C" w:rsidP="00C55C7C">
      <w:pPr>
        <w:pStyle w:val="ListBullet"/>
        <w:numPr>
          <w:ilvl w:val="0"/>
          <w:numId w:val="0"/>
        </w:numPr>
        <w:ind w:left="720"/>
        <w:jc w:val="both"/>
      </w:pPr>
    </w:p>
    <w:p w14:paraId="0640D834" w14:textId="77777777" w:rsidR="00C55C7C" w:rsidRPr="00563F1D" w:rsidRDefault="00C55C7C" w:rsidP="00C55C7C">
      <w:pPr>
        <w:jc w:val="both"/>
        <w:rPr>
          <w:b/>
        </w:rPr>
      </w:pPr>
      <w:r w:rsidRPr="00563F1D">
        <w:rPr>
          <w:b/>
        </w:rPr>
        <w:t xml:space="preserve">Port of Grimsby East Enterprise Zone </w:t>
      </w:r>
    </w:p>
    <w:p w14:paraId="00B2F2C6" w14:textId="77777777" w:rsidR="00C55C7C" w:rsidRPr="002638C4" w:rsidRDefault="00C55C7C" w:rsidP="00C55C7C">
      <w:pPr>
        <w:jc w:val="both"/>
      </w:pPr>
      <w:r>
        <w:t>The Port of Grimsby East Enterprise Zone (</w:t>
      </w:r>
      <w:r>
        <w:rPr>
          <w:noProof/>
          <w:lang w:eastAsia="en-GB"/>
        </w:rPr>
        <w:t>Figure 2-1</w:t>
      </w:r>
      <w:r>
        <w:t>) s</w:t>
      </w:r>
      <w:r w:rsidRPr="002638C4">
        <w:t xml:space="preserve">pecifically </w:t>
      </w:r>
      <w:r>
        <w:t>targets</w:t>
      </w:r>
      <w:r w:rsidRPr="002638C4">
        <w:t xml:space="preserve"> operations and maintenance (O&amp;M) and associated supply chain activity for the </w:t>
      </w:r>
      <w:r>
        <w:t>offshore wind power</w:t>
      </w:r>
      <w:r w:rsidRPr="002638C4">
        <w:t xml:space="preserve"> industry. E</w:t>
      </w:r>
      <w:r>
        <w:t xml:space="preserve">nterprise zone </w:t>
      </w:r>
      <w:r w:rsidRPr="002638C4">
        <w:t xml:space="preserve">status </w:t>
      </w:r>
      <w:r>
        <w:t>entails a</w:t>
      </w:r>
      <w:r w:rsidRPr="002638C4">
        <w:t xml:space="preserve"> business rate discount worth up to £275,000 per business over a five</w:t>
      </w:r>
      <w:r>
        <w:t>-</w:t>
      </w:r>
      <w:r w:rsidRPr="002638C4">
        <w:t>year period</w:t>
      </w:r>
      <w:r>
        <w:rPr>
          <w:rStyle w:val="FootnoteReference"/>
        </w:rPr>
        <w:footnoteReference w:id="2"/>
      </w:r>
      <w:r w:rsidRPr="002638C4">
        <w:t xml:space="preserve">, which </w:t>
      </w:r>
      <w:r>
        <w:t xml:space="preserve">is intended to accelerate </w:t>
      </w:r>
      <w:r w:rsidRPr="002638C4">
        <w:t>the development of supply chain and support service businesses.</w:t>
      </w:r>
      <w:r>
        <w:t xml:space="preserve">  </w:t>
      </w:r>
    </w:p>
    <w:p w14:paraId="6C184C07" w14:textId="77777777" w:rsidR="00C55C7C" w:rsidRDefault="00C55C7C" w:rsidP="00C55C7C">
      <w:pPr>
        <w:pStyle w:val="Caption"/>
      </w:pPr>
      <w:r>
        <w:rPr>
          <w:noProof/>
          <w:lang w:eastAsia="en-GB"/>
        </w:rPr>
        <w:t xml:space="preserve">Figure </w:t>
      </w:r>
      <w:fldSimple w:instr=" STYLEREF 1 \s  \* MERGEFORMAT ">
        <w:r w:rsidR="00E95E1A">
          <w:rPr>
            <w:noProof/>
            <w:lang w:eastAsia="en-GB"/>
          </w:rPr>
          <w:t>2</w:t>
        </w:r>
      </w:fldSimple>
      <w:r>
        <w:rPr>
          <w:noProof/>
          <w:lang w:eastAsia="en-GB"/>
        </w:rPr>
        <w:t>-</w:t>
      </w:r>
      <w:fldSimple w:instr=" SEQ Figure \* ARABIC \s 1  \* MERGEFORMAT ">
        <w:r w:rsidR="00E95E1A">
          <w:rPr>
            <w:noProof/>
            <w:lang w:eastAsia="en-GB"/>
          </w:rPr>
          <w:t>1</w:t>
        </w:r>
      </w:fldSimple>
      <w:r>
        <w:rPr>
          <w:noProof/>
          <w:lang w:eastAsia="en-GB"/>
        </w:rPr>
        <w:tab/>
        <w:t>Port of Grimsby Enterprise Zone</w:t>
      </w:r>
      <w:r w:rsidR="008D7250">
        <w:rPr>
          <w:noProof/>
          <w:lang w:eastAsia="en-GB"/>
        </w:rPr>
        <w:drawing>
          <wp:inline distT="0" distB="0" distL="0" distR="0" wp14:anchorId="046571D8" wp14:editId="42CD1C2C">
            <wp:extent cx="5811734" cy="3650464"/>
            <wp:effectExtent l="19050" t="0" r="0" b="0"/>
            <wp:docPr id="30" name="Picture 1" descr="image shows the Port of Grimsby East Enterpris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hows the Port of Grimsby East Enterprise Zone"/>
                    <pic:cNvPicPr>
                      <a:picLocks noChangeAspect="1" noChangeArrowheads="1"/>
                    </pic:cNvPicPr>
                  </pic:nvPicPr>
                  <pic:blipFill>
                    <a:blip r:embed="rId22" cstate="print"/>
                    <a:srcRect/>
                    <a:stretch>
                      <a:fillRect/>
                    </a:stretch>
                  </pic:blipFill>
                  <pic:spPr bwMode="auto">
                    <a:xfrm>
                      <a:off x="0" y="0"/>
                      <a:ext cx="5811734" cy="3650464"/>
                    </a:xfrm>
                    <a:prstGeom prst="rect">
                      <a:avLst/>
                    </a:prstGeom>
                    <a:noFill/>
                    <a:ln w="9525">
                      <a:noFill/>
                      <a:miter lim="800000"/>
                      <a:headEnd/>
                      <a:tailEnd/>
                    </a:ln>
                  </pic:spPr>
                </pic:pic>
              </a:graphicData>
            </a:graphic>
          </wp:inline>
        </w:drawing>
      </w:r>
    </w:p>
    <w:p w14:paraId="7B2987ED" w14:textId="77777777" w:rsidR="00C55C7C" w:rsidRDefault="00C55C7C" w:rsidP="00C55C7C">
      <w:pPr>
        <w:jc w:val="both"/>
      </w:pPr>
      <w:r w:rsidRPr="00AF2D59">
        <w:t>This</w:t>
      </w:r>
      <w:r>
        <w:t xml:space="preserve"> Enterprise Zone designation</w:t>
      </w:r>
      <w:r w:rsidRPr="00AF2D59">
        <w:t xml:space="preserve"> builds upon</w:t>
      </w:r>
      <w:r>
        <w:t xml:space="preserve"> port owner Associated British Port’s (ABP)</w:t>
      </w:r>
      <w:r w:rsidR="00B67C3F">
        <w:t xml:space="preserve"> intentions for the Port of Grimsby to be “at the forefront of the developing offshore wind industry”</w:t>
      </w:r>
      <w:r w:rsidR="00B67C3F">
        <w:rPr>
          <w:rStyle w:val="FootnoteReference"/>
        </w:rPr>
        <w:footnoteReference w:id="3"/>
      </w:r>
      <w:r w:rsidR="00B67C3F">
        <w:t xml:space="preserve">, particularly in operations and maintenance and associated supply chain activity. </w:t>
      </w:r>
    </w:p>
    <w:p w14:paraId="03507D52" w14:textId="77777777" w:rsidR="00C55C7C" w:rsidRPr="00563F1D" w:rsidRDefault="00C55C7C" w:rsidP="00C55C7C">
      <w:pPr>
        <w:jc w:val="both"/>
        <w:rPr>
          <w:b/>
        </w:rPr>
      </w:pPr>
      <w:r w:rsidRPr="00563F1D">
        <w:rPr>
          <w:b/>
        </w:rPr>
        <w:t>Able Marine Energy Park Enterprise Zone</w:t>
      </w:r>
    </w:p>
    <w:p w14:paraId="41E46DC2" w14:textId="77777777" w:rsidR="00C55C7C" w:rsidRDefault="00C55C7C" w:rsidP="00C55C7C">
      <w:pPr>
        <w:jc w:val="both"/>
      </w:pPr>
      <w:r>
        <w:t xml:space="preserve">Although the ABLE Marine Energy Park (Figure </w:t>
      </w:r>
      <w:r>
        <w:rPr>
          <w:noProof/>
        </w:rPr>
        <w:t>2-2</w:t>
      </w:r>
      <w:r>
        <w:t>) is located in North Lincolnshire, it is expected to be a significant economic driver for growth in the renewables and ports sectors in the Humber</w:t>
      </w:r>
      <w:r w:rsidR="00EB37E6">
        <w:t xml:space="preserve"> area</w:t>
      </w:r>
      <w:r>
        <w:t xml:space="preserve"> generally.  Indeed, Immingham and Grimsby are the main urban areas in closest proximity to the Enterprise Zone. The park </w:t>
      </w:r>
      <w:r w:rsidRPr="002638C4">
        <w:t>offers business rate</w:t>
      </w:r>
      <w:r>
        <w:t xml:space="preserve"> discounts</w:t>
      </w:r>
      <w:r w:rsidRPr="002638C4">
        <w:t xml:space="preserve"> and </w:t>
      </w:r>
      <w:r>
        <w:t>enhanced capital a</w:t>
      </w:r>
      <w:r w:rsidRPr="002638C4">
        <w:t>llowanc</w:t>
      </w:r>
      <w:r>
        <w:t xml:space="preserve">es on plant and machinery.  These are aimed at incentivising </w:t>
      </w:r>
      <w:r w:rsidRPr="002638C4">
        <w:t xml:space="preserve">investment </w:t>
      </w:r>
      <w:r>
        <w:t>from</w:t>
      </w:r>
      <w:r w:rsidRPr="002638C4">
        <w:t xml:space="preserve"> </w:t>
      </w:r>
      <w:r>
        <w:t>large</w:t>
      </w:r>
      <w:r w:rsidRPr="002638C4">
        <w:t xml:space="preserve"> renewables manufacturing companies. </w:t>
      </w:r>
    </w:p>
    <w:p w14:paraId="73538371" w14:textId="77777777" w:rsidR="00C55C7C" w:rsidRDefault="00C55C7C" w:rsidP="00C55C7C">
      <w:pPr>
        <w:pStyle w:val="Caption"/>
      </w:pPr>
      <w:r>
        <w:t xml:space="preserve">Figure </w:t>
      </w:r>
      <w:fldSimple w:instr=" STYLEREF 1 \s  \* MERGEFORMAT ">
        <w:r w:rsidR="00E95E1A">
          <w:rPr>
            <w:noProof/>
          </w:rPr>
          <w:t>2</w:t>
        </w:r>
      </w:fldSimple>
      <w:r>
        <w:t>-</w:t>
      </w:r>
      <w:fldSimple w:instr=" SEQ Figure \* ARABIC \s 1  \* MERGEFORMAT ">
        <w:r w:rsidR="00E95E1A">
          <w:rPr>
            <w:noProof/>
          </w:rPr>
          <w:t>2</w:t>
        </w:r>
      </w:fldSimple>
      <w:r>
        <w:tab/>
        <w:t xml:space="preserve">ABLE Marine Park </w:t>
      </w:r>
      <w:r w:rsidR="008D7250">
        <w:rPr>
          <w:noProof/>
          <w:lang w:eastAsia="en-GB"/>
        </w:rPr>
        <w:drawing>
          <wp:inline distT="0" distB="0" distL="0" distR="0" wp14:anchorId="51BEA05F" wp14:editId="191B34EE">
            <wp:extent cx="4790456" cy="3457540"/>
            <wp:effectExtent l="1905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790710" cy="3457723"/>
                    </a:xfrm>
                    <a:prstGeom prst="rect">
                      <a:avLst/>
                    </a:prstGeom>
                    <a:noFill/>
                    <a:ln w="9525">
                      <a:noFill/>
                      <a:miter lim="800000"/>
                      <a:headEnd/>
                      <a:tailEnd/>
                    </a:ln>
                  </pic:spPr>
                </pic:pic>
              </a:graphicData>
            </a:graphic>
          </wp:inline>
        </w:drawing>
      </w:r>
    </w:p>
    <w:p w14:paraId="65E68055" w14:textId="77777777" w:rsidR="00C55C7C" w:rsidRDefault="00C55C7C" w:rsidP="00C55C7C">
      <w:pPr>
        <w:jc w:val="both"/>
      </w:pPr>
      <w:r w:rsidRPr="00DB4A9E">
        <w:rPr>
          <w:sz w:val="16"/>
        </w:rPr>
        <w:t>Note:</w:t>
      </w:r>
      <w:r>
        <w:rPr>
          <w:sz w:val="16"/>
        </w:rPr>
        <w:t xml:space="preserve"> The Able Marine Energy</w:t>
      </w:r>
      <w:r w:rsidRPr="00DB4A9E">
        <w:rPr>
          <w:sz w:val="16"/>
        </w:rPr>
        <w:t xml:space="preserve"> Park’s boundaries are not </w:t>
      </w:r>
      <w:r>
        <w:rPr>
          <w:sz w:val="16"/>
        </w:rPr>
        <w:t xml:space="preserve">fully </w:t>
      </w:r>
      <w:r w:rsidRPr="00DB4A9E">
        <w:rPr>
          <w:sz w:val="16"/>
        </w:rPr>
        <w:t>consistent with the enterprise zone but the ma</w:t>
      </w:r>
      <w:r>
        <w:rPr>
          <w:sz w:val="16"/>
        </w:rPr>
        <w:t>j</w:t>
      </w:r>
      <w:r w:rsidRPr="00DB4A9E">
        <w:rPr>
          <w:sz w:val="16"/>
        </w:rPr>
        <w:t>o</w:t>
      </w:r>
      <w:r>
        <w:rPr>
          <w:sz w:val="16"/>
        </w:rPr>
        <w:t>r</w:t>
      </w:r>
      <w:r w:rsidRPr="00DB4A9E">
        <w:rPr>
          <w:sz w:val="16"/>
        </w:rPr>
        <w:t>ity of the development will utilise the land</w:t>
      </w:r>
      <w:r>
        <w:t>.</w:t>
      </w:r>
    </w:p>
    <w:p w14:paraId="56D62780" w14:textId="77777777" w:rsidR="00C55C7C" w:rsidRPr="004D218B" w:rsidRDefault="00C55C7C" w:rsidP="00C55C7C">
      <w:pPr>
        <w:pStyle w:val="Heading4"/>
        <w:numPr>
          <w:ilvl w:val="3"/>
          <w:numId w:val="5"/>
        </w:numPr>
      </w:pPr>
      <w:r w:rsidRPr="004D218B">
        <w:t>Regional Growth Fund</w:t>
      </w:r>
    </w:p>
    <w:p w14:paraId="70B6458B" w14:textId="77777777" w:rsidR="00C55C7C" w:rsidRDefault="00C55C7C" w:rsidP="00C55C7C">
      <w:pPr>
        <w:pStyle w:val="BodyText"/>
        <w:jc w:val="both"/>
      </w:pPr>
      <w:r>
        <w:rPr>
          <w:shd w:val="clear" w:color="auto" w:fill="FFFFFF"/>
        </w:rPr>
        <w:t xml:space="preserve">The Regional Growth Fund supports projects and programmes that use private sector investment to stimulate economic growth and sustainable employment. </w:t>
      </w:r>
      <w:r>
        <w:t>The government established the Regional Growth Fund with two objectives:</w:t>
      </w:r>
    </w:p>
    <w:p w14:paraId="1B96E2DB" w14:textId="77777777" w:rsidR="00C55C7C" w:rsidRDefault="00C55C7C" w:rsidP="00C55C7C">
      <w:pPr>
        <w:pStyle w:val="ListParagraph"/>
        <w:numPr>
          <w:ilvl w:val="0"/>
          <w:numId w:val="61"/>
        </w:numPr>
        <w:jc w:val="both"/>
      </w:pPr>
      <w:r>
        <w:t>To encourage private-sector enterprise by providing support for projects with the significant potential for economic growth and additional sustainable private-sector employment; and</w:t>
      </w:r>
    </w:p>
    <w:p w14:paraId="06899AB1" w14:textId="77777777" w:rsidR="00C55C7C" w:rsidRDefault="00C55C7C" w:rsidP="00C55C7C">
      <w:pPr>
        <w:pStyle w:val="ListParagraph"/>
        <w:numPr>
          <w:ilvl w:val="0"/>
          <w:numId w:val="61"/>
        </w:numPr>
        <w:jc w:val="both"/>
      </w:pPr>
      <w:r>
        <w:t>To support in particular those areas and communities that currently depend on the public sector to make the transition to sustainable private-sector-led growth and prosperity.</w:t>
      </w:r>
    </w:p>
    <w:p w14:paraId="68003571" w14:textId="77777777" w:rsidR="00C55C7C" w:rsidRPr="004A7F83" w:rsidRDefault="00C55C7C" w:rsidP="00C55C7C">
      <w:pPr>
        <w:jc w:val="both"/>
      </w:pPr>
      <w:r w:rsidRPr="004A7F83">
        <w:t xml:space="preserve">As an area which </w:t>
      </w:r>
      <w:r>
        <w:t>falls</w:t>
      </w:r>
      <w:r w:rsidRPr="004A7F83">
        <w:t xml:space="preserve"> within two LEPs, businesses in </w:t>
      </w:r>
      <w:r>
        <w:t>NEL</w:t>
      </w:r>
      <w:r w:rsidRPr="004A7F83">
        <w:t xml:space="preserve"> are able to access </w:t>
      </w:r>
      <w:r>
        <w:t>the</w:t>
      </w:r>
      <w:r w:rsidRPr="004A7F83">
        <w:t xml:space="preserve"> </w:t>
      </w:r>
      <w:r>
        <w:t>Regional Growth Fund</w:t>
      </w:r>
      <w:r w:rsidRPr="004A7F83">
        <w:t xml:space="preserve"> programme</w:t>
      </w:r>
      <w:r>
        <w:t>s</w:t>
      </w:r>
      <w:r w:rsidRPr="004A7F83">
        <w:t xml:space="preserve"> </w:t>
      </w:r>
      <w:r>
        <w:t>for both the Humber and Greater Lincolnshire. F</w:t>
      </w:r>
      <w:r w:rsidRPr="00436315">
        <w:t xml:space="preserve">ollowing a successful bid made by the Humber LEP and </w:t>
      </w:r>
      <w:r>
        <w:t>NELC</w:t>
      </w:r>
      <w:r w:rsidRPr="00436315">
        <w:t xml:space="preserve">, £30 million was awarded to the Humber </w:t>
      </w:r>
      <w:r w:rsidR="002D14A9">
        <w:t>area</w:t>
      </w:r>
      <w:r w:rsidRPr="00436315">
        <w:t>. Approximately</w:t>
      </w:r>
      <w:r w:rsidRPr="000F7A58">
        <w:t xml:space="preserve"> </w:t>
      </w:r>
      <w:r w:rsidRPr="00436315">
        <w:t xml:space="preserve">£10 million is aimed at enabling further development of the renewable energy sector on the </w:t>
      </w:r>
      <w:r>
        <w:t>s</w:t>
      </w:r>
      <w:r w:rsidRPr="00436315">
        <w:t>outh Humber bank (within North East and North Lincolnshire). It is estimated that the £30 million of funding will unlock £120 million worth of private sector investment.</w:t>
      </w:r>
    </w:p>
    <w:p w14:paraId="6B0F1248" w14:textId="77777777" w:rsidR="00C55C7C" w:rsidRDefault="00C55C7C" w:rsidP="00C55C7C">
      <w:pPr>
        <w:pStyle w:val="Heading3"/>
        <w:numPr>
          <w:ilvl w:val="2"/>
          <w:numId w:val="5"/>
        </w:numPr>
      </w:pPr>
      <w:r>
        <w:t xml:space="preserve">Local Authority </w:t>
      </w:r>
    </w:p>
    <w:p w14:paraId="3C3D3304" w14:textId="77777777" w:rsidR="00C55C7C" w:rsidRDefault="00C55C7C" w:rsidP="00C55C7C">
      <w:pPr>
        <w:jc w:val="both"/>
        <w:rPr>
          <w:b/>
        </w:rPr>
      </w:pPr>
      <w:r w:rsidRPr="00037CA4">
        <w:rPr>
          <w:b/>
        </w:rPr>
        <w:t xml:space="preserve">The North East Lincolnshire </w:t>
      </w:r>
      <w:r>
        <w:rPr>
          <w:b/>
        </w:rPr>
        <w:t xml:space="preserve">Local Plan </w:t>
      </w:r>
    </w:p>
    <w:p w14:paraId="12DAF8CC" w14:textId="77777777" w:rsidR="00C55C7C" w:rsidRPr="00A82E77" w:rsidRDefault="00C55C7C" w:rsidP="00C55C7C">
      <w:pPr>
        <w:spacing w:before="120"/>
        <w:jc w:val="both"/>
      </w:pPr>
      <w:r>
        <w:t>The upcoming</w:t>
      </w:r>
      <w:r w:rsidRPr="00A82E77">
        <w:t xml:space="preserve"> Local Plan will deliver the Council's spatial vision, setting out planning policies to guide development in </w:t>
      </w:r>
      <w:r>
        <w:t>NEL</w:t>
      </w:r>
      <w:r w:rsidRPr="00A82E77">
        <w:t xml:space="preserve">. This research document </w:t>
      </w:r>
      <w:r>
        <w:t>will feed</w:t>
      </w:r>
      <w:r w:rsidRPr="00A82E77">
        <w:t xml:space="preserve"> into the evidence base for the </w:t>
      </w:r>
      <w:r>
        <w:t>new</w:t>
      </w:r>
      <w:r w:rsidRPr="00A82E77">
        <w:t xml:space="preserve"> Plan. Other evidence</w:t>
      </w:r>
      <w:r>
        <w:t>-</w:t>
      </w:r>
      <w:r w:rsidRPr="00A82E77">
        <w:t xml:space="preserve">gathering </w:t>
      </w:r>
      <w:r>
        <w:t>activities are planned</w:t>
      </w:r>
      <w:r w:rsidRPr="00A82E77">
        <w:t xml:space="preserve"> and further consultation is being undertaken to </w:t>
      </w:r>
      <w:r>
        <w:t>contribute to</w:t>
      </w:r>
      <w:r w:rsidRPr="00A82E77">
        <w:t xml:space="preserve"> the evidence</w:t>
      </w:r>
      <w:r>
        <w:t xml:space="preserve"> base</w:t>
      </w:r>
      <w:r w:rsidRPr="00A82E77">
        <w:t xml:space="preserve"> and vision.</w:t>
      </w:r>
      <w:r>
        <w:t xml:space="preserve"> Once completed, the identified preferred options will be published for general consideration. </w:t>
      </w:r>
    </w:p>
    <w:p w14:paraId="75876380" w14:textId="77777777" w:rsidR="00C55C7C" w:rsidRPr="003A21ED" w:rsidRDefault="00C55C7C" w:rsidP="00C55C7C">
      <w:pPr>
        <w:jc w:val="both"/>
      </w:pPr>
      <w:r>
        <w:t>Currently, the</w:t>
      </w:r>
      <w:r w:rsidRPr="003A21ED">
        <w:t xml:space="preserve"> </w:t>
      </w:r>
      <w:r>
        <w:t xml:space="preserve">economic priority for the area, as set out in the spatial objectives of the </w:t>
      </w:r>
      <w:r w:rsidRPr="00B4641C">
        <w:rPr>
          <w:i/>
        </w:rPr>
        <w:t>Core Strategy Revised Preferred Options Paper</w:t>
      </w:r>
      <w:r>
        <w:t>,</w:t>
      </w:r>
      <w:r w:rsidRPr="003A21ED">
        <w:t xml:space="preserve"> is to “support the growth of the local economy in ways which are compatible with environmental objectives, creating conditions that sustain more and better jobs, remove the barriers to accessing jobs and raising skills including support for rural regeneration and diversification and strengthening of the tourism offer”</w:t>
      </w:r>
      <w:r w:rsidR="00CF6646">
        <w:rPr>
          <w:rStyle w:val="FootnoteReference"/>
        </w:rPr>
        <w:footnoteReference w:id="4"/>
      </w:r>
      <w:r w:rsidRPr="003A21ED">
        <w:t>.</w:t>
      </w:r>
    </w:p>
    <w:p w14:paraId="66012AF2" w14:textId="77777777" w:rsidR="00C55C7C" w:rsidRPr="003A21ED" w:rsidRDefault="00C55C7C" w:rsidP="00C55C7C">
      <w:pPr>
        <w:jc w:val="both"/>
      </w:pPr>
      <w:r w:rsidRPr="003A21ED">
        <w:t xml:space="preserve">A number of </w:t>
      </w:r>
      <w:r>
        <w:t xml:space="preserve">relevant issues were </w:t>
      </w:r>
      <w:r w:rsidRPr="003A21ED">
        <w:t xml:space="preserve">raised in the </w:t>
      </w:r>
      <w:r>
        <w:t>consultation undertaken in December 2012</w:t>
      </w:r>
      <w:r w:rsidRPr="003A21ED">
        <w:t xml:space="preserve">, </w:t>
      </w:r>
      <w:r>
        <w:t xml:space="preserve">including: </w:t>
      </w:r>
    </w:p>
    <w:p w14:paraId="55D97315" w14:textId="77777777" w:rsidR="00C55C7C" w:rsidRPr="003A21ED" w:rsidRDefault="00C55C7C" w:rsidP="00C55C7C">
      <w:pPr>
        <w:pStyle w:val="ListParagraph"/>
        <w:numPr>
          <w:ilvl w:val="0"/>
          <w:numId w:val="59"/>
        </w:numPr>
        <w:jc w:val="both"/>
      </w:pPr>
      <w:r>
        <w:t>A n</w:t>
      </w:r>
      <w:r w:rsidRPr="003A21ED">
        <w:t>eed to effectively work on priorities across boundaries</w:t>
      </w:r>
      <w:r>
        <w:t>;</w:t>
      </w:r>
    </w:p>
    <w:p w14:paraId="1220DF6C" w14:textId="77777777" w:rsidR="00C55C7C" w:rsidRPr="003A21ED" w:rsidRDefault="00C55C7C" w:rsidP="00C55C7C">
      <w:pPr>
        <w:pStyle w:val="ListParagraph"/>
        <w:numPr>
          <w:ilvl w:val="0"/>
          <w:numId w:val="59"/>
        </w:numPr>
        <w:jc w:val="both"/>
      </w:pPr>
      <w:r>
        <w:t xml:space="preserve">The consideration of </w:t>
      </w:r>
      <w:r w:rsidRPr="003A21ED">
        <w:t xml:space="preserve">sustainability </w:t>
      </w:r>
      <w:r>
        <w:t xml:space="preserve">in </w:t>
      </w:r>
      <w:r w:rsidRPr="003A21ED">
        <w:t>development</w:t>
      </w:r>
      <w:r>
        <w:t>;</w:t>
      </w:r>
    </w:p>
    <w:p w14:paraId="1227F034" w14:textId="77777777" w:rsidR="00C55C7C" w:rsidRPr="003A21ED" w:rsidRDefault="00C55C7C" w:rsidP="00C55C7C">
      <w:pPr>
        <w:pStyle w:val="ListParagraph"/>
        <w:numPr>
          <w:ilvl w:val="0"/>
          <w:numId w:val="59"/>
        </w:numPr>
        <w:jc w:val="both"/>
      </w:pPr>
      <w:r>
        <w:t xml:space="preserve">A requirement for </w:t>
      </w:r>
      <w:r w:rsidRPr="003A21ED">
        <w:t>a strong and competitive economy which considers the local characteristics and distinctiveness</w:t>
      </w:r>
      <w:r>
        <w:t>;</w:t>
      </w:r>
    </w:p>
    <w:p w14:paraId="2136B6B0" w14:textId="77777777" w:rsidR="00C55C7C" w:rsidRPr="003A21ED" w:rsidRDefault="00C55C7C" w:rsidP="00C55C7C">
      <w:pPr>
        <w:pStyle w:val="ListParagraph"/>
        <w:numPr>
          <w:ilvl w:val="0"/>
          <w:numId w:val="59"/>
        </w:numPr>
        <w:jc w:val="both"/>
      </w:pPr>
      <w:r>
        <w:t>R</w:t>
      </w:r>
      <w:r w:rsidRPr="003A21ED">
        <w:t>esponses to environment challenges (e.g. waste water and flooding)</w:t>
      </w:r>
      <w:r>
        <w:t>; and,</w:t>
      </w:r>
    </w:p>
    <w:p w14:paraId="4B0B2F77" w14:textId="77777777" w:rsidR="00C55C7C" w:rsidRPr="003A21ED" w:rsidRDefault="00C55C7C" w:rsidP="00C55C7C">
      <w:pPr>
        <w:pStyle w:val="ListParagraph"/>
        <w:numPr>
          <w:ilvl w:val="0"/>
          <w:numId w:val="59"/>
        </w:numPr>
        <w:jc w:val="both"/>
      </w:pPr>
      <w:r w:rsidRPr="003A21ED">
        <w:t>How development</w:t>
      </w:r>
      <w:r>
        <w:t>s</w:t>
      </w:r>
      <w:r w:rsidRPr="003A21ED">
        <w:t xml:space="preserve"> could impact upon the area spatially.</w:t>
      </w:r>
    </w:p>
    <w:p w14:paraId="0728C48C" w14:textId="77777777" w:rsidR="00C55C7C" w:rsidRDefault="00C55C7C" w:rsidP="00C55C7C">
      <w:pPr>
        <w:jc w:val="both"/>
      </w:pPr>
      <w:r w:rsidRPr="00F27FC2">
        <w:t>The previous Local Plan</w:t>
      </w:r>
      <w:r>
        <w:t xml:space="preserve"> was adopted over 10 years ago in 2003. </w:t>
      </w:r>
      <w:r w:rsidRPr="00F27FC2">
        <w:t xml:space="preserve">The </w:t>
      </w:r>
      <w:r>
        <w:t>Plan</w:t>
      </w:r>
      <w:r w:rsidRPr="00F27FC2">
        <w:t xml:space="preserve"> identified key sector development policies and proposals including </w:t>
      </w:r>
      <w:r>
        <w:t>e</w:t>
      </w:r>
      <w:r w:rsidRPr="00F27FC2">
        <w:t xml:space="preserve">nergy </w:t>
      </w:r>
      <w:r>
        <w:t>g</w:t>
      </w:r>
      <w:r w:rsidRPr="00F27FC2">
        <w:t xml:space="preserve">eneration from </w:t>
      </w:r>
      <w:r>
        <w:t>r</w:t>
      </w:r>
      <w:r w:rsidRPr="00F27FC2">
        <w:t xml:space="preserve">enewable </w:t>
      </w:r>
      <w:r>
        <w:t>r</w:t>
      </w:r>
      <w:r w:rsidRPr="00F27FC2">
        <w:t xml:space="preserve">esources and </w:t>
      </w:r>
      <w:r>
        <w:t>w</w:t>
      </w:r>
      <w:r w:rsidRPr="00F27FC2">
        <w:t xml:space="preserve">ind </w:t>
      </w:r>
      <w:r>
        <w:t>t</w:t>
      </w:r>
      <w:r w:rsidRPr="00F27FC2">
        <w:t xml:space="preserve">urbine </w:t>
      </w:r>
      <w:r>
        <w:t>f</w:t>
      </w:r>
      <w:r w:rsidRPr="00F27FC2">
        <w:t>acilities.</w:t>
      </w:r>
      <w:r>
        <w:t xml:space="preserve"> A number of policies have been saved</w:t>
      </w:r>
      <w:r w:rsidRPr="005D392D">
        <w:t xml:space="preserve"> from the</w:t>
      </w:r>
      <w:r>
        <w:t xml:space="preserve"> previous plan</w:t>
      </w:r>
      <w:r w:rsidRPr="005D392D">
        <w:t xml:space="preserve"> </w:t>
      </w:r>
      <w:r>
        <w:t xml:space="preserve">which include: </w:t>
      </w:r>
    </w:p>
    <w:p w14:paraId="4208D9F1" w14:textId="77777777" w:rsidR="00C55C7C" w:rsidRDefault="00C55C7C" w:rsidP="00C55C7C">
      <w:pPr>
        <w:pStyle w:val="ListParagraph"/>
        <w:numPr>
          <w:ilvl w:val="0"/>
          <w:numId w:val="60"/>
        </w:numPr>
        <w:autoSpaceDE w:val="0"/>
        <w:autoSpaceDN w:val="0"/>
        <w:adjustRightInd w:val="0"/>
        <w:spacing w:after="0"/>
        <w:jc w:val="both"/>
      </w:pPr>
      <w:r>
        <w:t>Policy E1: Industrial Land.</w:t>
      </w:r>
    </w:p>
    <w:p w14:paraId="689DDD65" w14:textId="77777777" w:rsidR="00C55C7C" w:rsidRDefault="00C55C7C" w:rsidP="00C55C7C">
      <w:pPr>
        <w:pStyle w:val="ListParagraph"/>
        <w:numPr>
          <w:ilvl w:val="0"/>
          <w:numId w:val="60"/>
        </w:numPr>
        <w:autoSpaceDE w:val="0"/>
        <w:autoSpaceDN w:val="0"/>
        <w:adjustRightInd w:val="0"/>
        <w:spacing w:after="0"/>
        <w:jc w:val="both"/>
      </w:pPr>
      <w:r>
        <w:t>Policy E2: Estuary Related Land.</w:t>
      </w:r>
    </w:p>
    <w:p w14:paraId="0B436CA6" w14:textId="77777777" w:rsidR="00C55C7C" w:rsidRDefault="00C55C7C" w:rsidP="00C55C7C">
      <w:pPr>
        <w:pStyle w:val="ListParagraph"/>
        <w:numPr>
          <w:ilvl w:val="0"/>
          <w:numId w:val="60"/>
        </w:numPr>
        <w:autoSpaceDE w:val="0"/>
        <w:autoSpaceDN w:val="0"/>
        <w:adjustRightInd w:val="0"/>
        <w:spacing w:after="0"/>
        <w:jc w:val="both"/>
      </w:pPr>
      <w:r>
        <w:t>Policy E3: Operational Port Area.</w:t>
      </w:r>
    </w:p>
    <w:p w14:paraId="34ABC092" w14:textId="77777777" w:rsidR="00C55C7C" w:rsidRDefault="00C55C7C" w:rsidP="00C55C7C">
      <w:pPr>
        <w:pStyle w:val="ListParagraph"/>
        <w:numPr>
          <w:ilvl w:val="0"/>
          <w:numId w:val="60"/>
        </w:numPr>
        <w:autoSpaceDE w:val="0"/>
        <w:autoSpaceDN w:val="0"/>
        <w:adjustRightInd w:val="0"/>
        <w:spacing w:after="0"/>
        <w:jc w:val="both"/>
      </w:pPr>
      <w:r>
        <w:t>Policy E4: Land adj. Railway, Habrough.</w:t>
      </w:r>
    </w:p>
    <w:p w14:paraId="3C077795" w14:textId="77777777" w:rsidR="00C55C7C" w:rsidRDefault="00C55C7C" w:rsidP="00C55C7C">
      <w:pPr>
        <w:pStyle w:val="ListParagraph"/>
        <w:numPr>
          <w:ilvl w:val="0"/>
          <w:numId w:val="60"/>
        </w:numPr>
        <w:autoSpaceDE w:val="0"/>
        <w:autoSpaceDN w:val="0"/>
        <w:adjustRightInd w:val="0"/>
        <w:spacing w:after="0"/>
        <w:jc w:val="both"/>
      </w:pPr>
      <w:r>
        <w:t>Policy E5: Manby Hall Business Park, Immingham.</w:t>
      </w:r>
    </w:p>
    <w:p w14:paraId="0583611B" w14:textId="77777777" w:rsidR="00C55C7C" w:rsidRDefault="00C55C7C" w:rsidP="00C55C7C">
      <w:pPr>
        <w:pStyle w:val="ListParagraph"/>
        <w:numPr>
          <w:ilvl w:val="0"/>
          <w:numId w:val="60"/>
        </w:numPr>
        <w:autoSpaceDE w:val="0"/>
        <w:autoSpaceDN w:val="0"/>
        <w:adjustRightInd w:val="0"/>
        <w:spacing w:after="0"/>
        <w:jc w:val="both"/>
      </w:pPr>
      <w:r>
        <w:t>Policy E6: Europarc III</w:t>
      </w:r>
    </w:p>
    <w:p w14:paraId="1C30F159" w14:textId="77777777" w:rsidR="00C55C7C" w:rsidRDefault="00C55C7C" w:rsidP="00C55C7C">
      <w:pPr>
        <w:pStyle w:val="ListParagraph"/>
        <w:numPr>
          <w:ilvl w:val="0"/>
          <w:numId w:val="60"/>
        </w:numPr>
        <w:autoSpaceDE w:val="0"/>
        <w:autoSpaceDN w:val="0"/>
        <w:adjustRightInd w:val="0"/>
        <w:spacing w:after="0"/>
        <w:jc w:val="both"/>
      </w:pPr>
      <w:r>
        <w:t>Policy E7: Convamore Road, Grimsby.</w:t>
      </w:r>
    </w:p>
    <w:p w14:paraId="1CA7A113" w14:textId="77777777" w:rsidR="00C55C7C" w:rsidRDefault="00C55C7C" w:rsidP="00C55C7C">
      <w:pPr>
        <w:pStyle w:val="ListParagraph"/>
        <w:numPr>
          <w:ilvl w:val="0"/>
          <w:numId w:val="60"/>
        </w:numPr>
        <w:autoSpaceDE w:val="0"/>
        <w:autoSpaceDN w:val="0"/>
        <w:adjustRightInd w:val="0"/>
        <w:spacing w:after="0"/>
        <w:jc w:val="both"/>
      </w:pPr>
      <w:r>
        <w:t>Policy E8: Station Road, Great Coates.</w:t>
      </w:r>
    </w:p>
    <w:p w14:paraId="65DB2327" w14:textId="77777777" w:rsidR="00C55C7C" w:rsidRDefault="00C55C7C" w:rsidP="00C55C7C">
      <w:pPr>
        <w:pStyle w:val="ListParagraph"/>
        <w:numPr>
          <w:ilvl w:val="0"/>
          <w:numId w:val="60"/>
        </w:numPr>
        <w:autoSpaceDE w:val="0"/>
        <w:autoSpaceDN w:val="0"/>
        <w:adjustRightInd w:val="0"/>
        <w:spacing w:after="0"/>
        <w:jc w:val="both"/>
      </w:pPr>
      <w:r>
        <w:t>Policy E9: Former Bass Site, Birchin Way, Grimsby.</w:t>
      </w:r>
    </w:p>
    <w:p w14:paraId="22E0736D" w14:textId="77777777" w:rsidR="00C55C7C" w:rsidRDefault="00C55C7C" w:rsidP="00C55C7C">
      <w:pPr>
        <w:pStyle w:val="ListParagraph"/>
        <w:numPr>
          <w:ilvl w:val="0"/>
          <w:numId w:val="60"/>
        </w:numPr>
        <w:autoSpaceDE w:val="0"/>
        <w:autoSpaceDN w:val="0"/>
        <w:adjustRightInd w:val="0"/>
        <w:spacing w:after="0"/>
        <w:jc w:val="both"/>
      </w:pPr>
      <w:r>
        <w:t>Policy E10: Macaulay Lane, Grimsby.</w:t>
      </w:r>
    </w:p>
    <w:p w14:paraId="17B8D16D" w14:textId="77777777" w:rsidR="00C55C7C" w:rsidRDefault="00C55C7C" w:rsidP="00C55C7C">
      <w:pPr>
        <w:pStyle w:val="ListParagraph"/>
        <w:numPr>
          <w:ilvl w:val="0"/>
          <w:numId w:val="60"/>
        </w:numPr>
        <w:autoSpaceDE w:val="0"/>
        <w:autoSpaceDN w:val="0"/>
        <w:adjustRightInd w:val="0"/>
        <w:spacing w:after="0"/>
        <w:jc w:val="both"/>
      </w:pPr>
      <w:r>
        <w:t>Policy E11: Grimsby District Hospital.</w:t>
      </w:r>
    </w:p>
    <w:p w14:paraId="2846F840" w14:textId="77777777" w:rsidR="00C55C7C" w:rsidRDefault="00C55C7C" w:rsidP="00C55C7C">
      <w:pPr>
        <w:pStyle w:val="ListParagraph"/>
        <w:numPr>
          <w:ilvl w:val="0"/>
          <w:numId w:val="60"/>
        </w:numPr>
        <w:autoSpaceDE w:val="0"/>
        <w:autoSpaceDN w:val="0"/>
        <w:adjustRightInd w:val="0"/>
        <w:spacing w:after="0"/>
        <w:jc w:val="both"/>
      </w:pPr>
      <w:r>
        <w:t>Policy E12: Peaks Lane, Grimsby.</w:t>
      </w:r>
    </w:p>
    <w:p w14:paraId="45AE64D3" w14:textId="77777777" w:rsidR="00C55C7C" w:rsidRDefault="00C55C7C" w:rsidP="00C55C7C">
      <w:pPr>
        <w:pStyle w:val="ListParagraph"/>
        <w:numPr>
          <w:ilvl w:val="0"/>
          <w:numId w:val="60"/>
        </w:numPr>
        <w:autoSpaceDE w:val="0"/>
        <w:autoSpaceDN w:val="0"/>
        <w:adjustRightInd w:val="0"/>
        <w:spacing w:after="0"/>
        <w:jc w:val="both"/>
      </w:pPr>
      <w:r>
        <w:t>Policy E14: Hewitts Avenue Business Park, New Waltham.</w:t>
      </w:r>
    </w:p>
    <w:p w14:paraId="4E5EC79F" w14:textId="77777777" w:rsidR="00C55C7C" w:rsidRDefault="00C55C7C" w:rsidP="00C55C7C">
      <w:pPr>
        <w:pStyle w:val="ListParagraph"/>
        <w:numPr>
          <w:ilvl w:val="0"/>
          <w:numId w:val="60"/>
        </w:numPr>
        <w:autoSpaceDE w:val="0"/>
        <w:autoSpaceDN w:val="0"/>
        <w:adjustRightInd w:val="0"/>
        <w:spacing w:after="0"/>
        <w:jc w:val="both"/>
      </w:pPr>
      <w:r>
        <w:t>Policy E15: Wilton Road, Humberston.</w:t>
      </w:r>
    </w:p>
    <w:p w14:paraId="251CF7DA" w14:textId="77777777" w:rsidR="00C55C7C" w:rsidRDefault="00C55C7C" w:rsidP="00C55C7C">
      <w:pPr>
        <w:pStyle w:val="ListParagraph"/>
        <w:numPr>
          <w:ilvl w:val="0"/>
          <w:numId w:val="60"/>
        </w:numPr>
        <w:autoSpaceDE w:val="0"/>
        <w:autoSpaceDN w:val="0"/>
        <w:adjustRightInd w:val="0"/>
        <w:spacing w:after="0"/>
        <w:jc w:val="both"/>
      </w:pPr>
      <w:r>
        <w:t>Policy E16: Waltham Airfield.</w:t>
      </w:r>
    </w:p>
    <w:p w14:paraId="635D3EE9" w14:textId="77777777" w:rsidR="00C55C7C" w:rsidRDefault="00C55C7C" w:rsidP="00C55C7C">
      <w:pPr>
        <w:pStyle w:val="ListParagraph"/>
        <w:numPr>
          <w:ilvl w:val="0"/>
          <w:numId w:val="60"/>
        </w:numPr>
        <w:autoSpaceDE w:val="0"/>
        <w:autoSpaceDN w:val="0"/>
        <w:adjustRightInd w:val="0"/>
        <w:spacing w:after="0"/>
        <w:jc w:val="both"/>
      </w:pPr>
      <w:r>
        <w:t>Policy E17: Other Sites for Employment Sites.</w:t>
      </w:r>
    </w:p>
    <w:p w14:paraId="0B434CE3" w14:textId="77777777" w:rsidR="00C55C7C" w:rsidRDefault="00C55C7C" w:rsidP="00C55C7C">
      <w:pPr>
        <w:pStyle w:val="ListParagraph"/>
        <w:numPr>
          <w:ilvl w:val="0"/>
          <w:numId w:val="60"/>
        </w:numPr>
        <w:autoSpaceDE w:val="0"/>
        <w:autoSpaceDN w:val="0"/>
        <w:adjustRightInd w:val="0"/>
        <w:spacing w:after="0"/>
        <w:jc w:val="both"/>
      </w:pPr>
      <w:r>
        <w:t>Policy E19: Farm Diversification.</w:t>
      </w:r>
    </w:p>
    <w:p w14:paraId="2FE94495" w14:textId="77777777" w:rsidR="00C55C7C" w:rsidRDefault="00C55C7C" w:rsidP="00C55C7C">
      <w:pPr>
        <w:pStyle w:val="ListParagraph"/>
        <w:numPr>
          <w:ilvl w:val="0"/>
          <w:numId w:val="60"/>
        </w:numPr>
        <w:autoSpaceDE w:val="0"/>
        <w:autoSpaceDN w:val="0"/>
        <w:adjustRightInd w:val="0"/>
        <w:spacing w:after="0"/>
        <w:jc w:val="both"/>
      </w:pPr>
      <w:r>
        <w:t>Policy E20: Strategic Employment Exceptions at Europarc IV.</w:t>
      </w:r>
    </w:p>
    <w:p w14:paraId="22F8D0BD" w14:textId="77777777" w:rsidR="00C55C7C" w:rsidRDefault="00C55C7C" w:rsidP="00C55C7C">
      <w:pPr>
        <w:autoSpaceDE w:val="0"/>
        <w:autoSpaceDN w:val="0"/>
        <w:adjustRightInd w:val="0"/>
        <w:spacing w:after="0"/>
        <w:jc w:val="both"/>
      </w:pPr>
    </w:p>
    <w:p w14:paraId="3E6C9683" w14:textId="77777777" w:rsidR="00C55C7C" w:rsidRDefault="00C55C7C" w:rsidP="00C55C7C">
      <w:pPr>
        <w:autoSpaceDE w:val="0"/>
        <w:autoSpaceDN w:val="0"/>
        <w:adjustRightInd w:val="0"/>
        <w:spacing w:after="0"/>
        <w:jc w:val="both"/>
      </w:pPr>
      <w:r>
        <w:t xml:space="preserve">The new Local Plan should support existing business sectors, taking account of whether they are expanding or contracting and, where possible, identify and plan for emerging sectors likely to locate in the area. </w:t>
      </w:r>
    </w:p>
    <w:p w14:paraId="66D6EDBD" w14:textId="77777777" w:rsidR="00C55C7C" w:rsidRDefault="00C55C7C" w:rsidP="00C55C7C">
      <w:pPr>
        <w:autoSpaceDE w:val="0"/>
        <w:autoSpaceDN w:val="0"/>
        <w:adjustRightInd w:val="0"/>
        <w:spacing w:after="0"/>
        <w:jc w:val="both"/>
      </w:pPr>
    </w:p>
    <w:p w14:paraId="5E6B56CE" w14:textId="77777777" w:rsidR="00C55C7C" w:rsidRDefault="00C55C7C" w:rsidP="00C55C7C">
      <w:pPr>
        <w:jc w:val="both"/>
        <w:rPr>
          <w:b/>
        </w:rPr>
      </w:pPr>
      <w:r w:rsidRPr="001330E5">
        <w:rPr>
          <w:b/>
        </w:rPr>
        <w:t>Strategic Housing Market Assessment (SHMA) 2013</w:t>
      </w:r>
    </w:p>
    <w:p w14:paraId="56EE134C" w14:textId="77777777" w:rsidR="00C55C7C" w:rsidRDefault="00C55C7C" w:rsidP="002D14A9">
      <w:r>
        <w:t xml:space="preserve">The SHMA </w:t>
      </w:r>
      <w:r w:rsidR="002D14A9">
        <w:t>(2013)</w:t>
      </w:r>
      <w:r>
        <w:t xml:space="preserve"> provided an assessment of future population and </w:t>
      </w:r>
      <w:r w:rsidR="002D14A9">
        <w:t>household</w:t>
      </w:r>
      <w:r>
        <w:t xml:space="preserve"> change under several scenarios. These ranged from growth of 5,490 to 9,375 </w:t>
      </w:r>
      <w:r w:rsidR="002D14A9">
        <w:t xml:space="preserve">additional </w:t>
      </w:r>
      <w:r>
        <w:t>households</w:t>
      </w:r>
      <w:r w:rsidR="002D14A9">
        <w:t xml:space="preserve"> in the period up to 2030.  However, t</w:t>
      </w:r>
      <w:r>
        <w:t xml:space="preserve">he report did not </w:t>
      </w:r>
      <w:r w:rsidR="002D14A9">
        <w:t xml:space="preserve">include a strongly proactive policy scenario with the aim of capturing effects on housing demand and supply arising from investment in key sectors and including </w:t>
      </w:r>
      <w:r>
        <w:t>recent activity in the renewable</w:t>
      </w:r>
      <w:r w:rsidR="002D14A9">
        <w:t>s</w:t>
      </w:r>
      <w:r>
        <w:t xml:space="preserve"> sector. </w:t>
      </w:r>
    </w:p>
    <w:p w14:paraId="06672B1F" w14:textId="77777777" w:rsidR="00C55C7C" w:rsidRDefault="00C55C7C" w:rsidP="00C55C7C">
      <w:pPr>
        <w:autoSpaceDE w:val="0"/>
        <w:autoSpaceDN w:val="0"/>
        <w:adjustRightInd w:val="0"/>
        <w:jc w:val="both"/>
        <w:rPr>
          <w:b/>
        </w:rPr>
      </w:pPr>
      <w:r>
        <w:rPr>
          <w:b/>
        </w:rPr>
        <w:t xml:space="preserve">2013 </w:t>
      </w:r>
      <w:r w:rsidRPr="004D218B">
        <w:rPr>
          <w:b/>
        </w:rPr>
        <w:t>Review of Sites</w:t>
      </w:r>
    </w:p>
    <w:p w14:paraId="3EEDF5F1" w14:textId="77777777" w:rsidR="00C55C7C" w:rsidRPr="004D218B" w:rsidRDefault="00C55C7C" w:rsidP="00C55C7C">
      <w:pPr>
        <w:autoSpaceDE w:val="0"/>
        <w:autoSpaceDN w:val="0"/>
        <w:adjustRightInd w:val="0"/>
        <w:spacing w:after="0"/>
        <w:jc w:val="both"/>
        <w:rPr>
          <w:b/>
        </w:rPr>
      </w:pPr>
      <w:r w:rsidRPr="001330E5">
        <w:t>As part of the update on the evidence base</w:t>
      </w:r>
      <w:r w:rsidR="004A374D">
        <w:t xml:space="preserve"> for the local plan</w:t>
      </w:r>
      <w:r w:rsidR="00D13200">
        <w:t>, the C</w:t>
      </w:r>
      <w:r w:rsidRPr="001330E5">
        <w:t xml:space="preserve">ouncil </w:t>
      </w:r>
      <w:r w:rsidR="004838CD">
        <w:t>has published a review of</w:t>
      </w:r>
      <w:r w:rsidRPr="001330E5">
        <w:t xml:space="preserve"> all potential housing</w:t>
      </w:r>
      <w:r w:rsidR="004A374D">
        <w:t xml:space="preserve"> and employment</w:t>
      </w:r>
      <w:r w:rsidRPr="001330E5">
        <w:t xml:space="preserve"> sites</w:t>
      </w:r>
      <w:r w:rsidR="004838CD">
        <w:t xml:space="preserve"> for consultation, in order</w:t>
      </w:r>
      <w:r w:rsidRPr="001330E5">
        <w:t xml:space="preserve"> to determine their availability, suitability and achievability for development</w:t>
      </w:r>
      <w:r>
        <w:t>.</w:t>
      </w:r>
      <w:r w:rsidR="004A374D">
        <w:t xml:space="preserve"> The Employment Land Review to be undertaken in conjunction with this study will further strengthen the evidence base </w:t>
      </w:r>
      <w:r w:rsidR="002D14A9">
        <w:t>in relation to</w:t>
      </w:r>
      <w:r w:rsidR="004A374D">
        <w:t xml:space="preserve"> the availability of </w:t>
      </w:r>
      <w:r w:rsidR="00D13200">
        <w:t xml:space="preserve">suitable and viable </w:t>
      </w:r>
      <w:r w:rsidR="004A374D">
        <w:t xml:space="preserve">sites for allocation. </w:t>
      </w:r>
    </w:p>
    <w:p w14:paraId="4A00E26F" w14:textId="77777777" w:rsidR="00C55C7C" w:rsidRDefault="00C55C7C" w:rsidP="00C55C7C">
      <w:pPr>
        <w:autoSpaceDE w:val="0"/>
        <w:autoSpaceDN w:val="0"/>
        <w:adjustRightInd w:val="0"/>
        <w:spacing w:after="0"/>
        <w:jc w:val="both"/>
      </w:pPr>
    </w:p>
    <w:p w14:paraId="1EFBABE5" w14:textId="77777777" w:rsidR="00D13200" w:rsidRDefault="00D13200">
      <w:pPr>
        <w:spacing w:after="200" w:line="276" w:lineRule="auto"/>
        <w:rPr>
          <w:b/>
        </w:rPr>
      </w:pPr>
      <w:r>
        <w:rPr>
          <w:b/>
        </w:rPr>
        <w:br w:type="page"/>
      </w:r>
    </w:p>
    <w:p w14:paraId="37FE356D" w14:textId="77777777" w:rsidR="00C55C7C" w:rsidRPr="00C85F20" w:rsidRDefault="00C55C7C" w:rsidP="00C55C7C">
      <w:pPr>
        <w:jc w:val="both"/>
        <w:rPr>
          <w:b/>
        </w:rPr>
      </w:pPr>
      <w:r w:rsidRPr="00C85F20">
        <w:rPr>
          <w:b/>
        </w:rPr>
        <w:t>Development and Growth Plan</w:t>
      </w:r>
      <w:r>
        <w:rPr>
          <w:b/>
        </w:rPr>
        <w:t xml:space="preserve"> 2012</w:t>
      </w:r>
    </w:p>
    <w:p w14:paraId="2E546A25" w14:textId="77777777" w:rsidR="00C55C7C" w:rsidRDefault="00C55C7C" w:rsidP="00C55C7C">
      <w:pPr>
        <w:jc w:val="both"/>
      </w:pPr>
      <w:r>
        <w:t>Produced by NELC in November 2012, the f</w:t>
      </w:r>
      <w:r w:rsidRPr="00C85F20">
        <w:t>ocus</w:t>
      </w:r>
      <w:r>
        <w:t xml:space="preserve"> of the Development and Growth Plan was</w:t>
      </w:r>
      <w:r w:rsidRPr="00C85F20">
        <w:t xml:space="preserve"> </w:t>
      </w:r>
      <w:r>
        <w:t xml:space="preserve">clearly targeted at several key sectors: ports and logistics; renewables; chemicals and process industries; food processing; and visitor economy, services and retail (Table </w:t>
      </w:r>
      <w:r>
        <w:rPr>
          <w:noProof/>
        </w:rPr>
        <w:t>2</w:t>
      </w:r>
      <w:r>
        <w:t>-</w:t>
      </w:r>
      <w:r w:rsidR="00D13200">
        <w:rPr>
          <w:noProof/>
        </w:rPr>
        <w:t>3</w:t>
      </w:r>
      <w:r>
        <w:t xml:space="preserve">).  The plan seeks “to strengthen the overall economy and ensuring that growth benefits all sectors, including inter-dependent supply chains which are integral to the area’s economic success” and “represents a shift of focus to our key economic growth sectors and their priorities, as detailed in the governance chart opposite”. Some of the key themes of the Plan are summarised in Table </w:t>
      </w:r>
      <w:r>
        <w:rPr>
          <w:noProof/>
        </w:rPr>
        <w:t>2</w:t>
      </w:r>
      <w:r>
        <w:t>-</w:t>
      </w:r>
      <w:r w:rsidR="00D13200">
        <w:rPr>
          <w:noProof/>
        </w:rPr>
        <w:t>3</w:t>
      </w:r>
      <w:r>
        <w:t>.</w:t>
      </w:r>
    </w:p>
    <w:p w14:paraId="7778D538" w14:textId="77777777" w:rsidR="00C55C7C" w:rsidRDefault="00C55C7C" w:rsidP="00C55C7C">
      <w:pPr>
        <w:pStyle w:val="Caption"/>
      </w:pPr>
      <w:r>
        <w:t xml:space="preserve">Table </w:t>
      </w:r>
      <w:fldSimple w:instr=" STYLEREF 1 \s  \* MERGEFORMAT ">
        <w:r w:rsidR="00E95E1A">
          <w:rPr>
            <w:noProof/>
          </w:rPr>
          <w:t>2</w:t>
        </w:r>
      </w:fldSimple>
      <w:r>
        <w:t>-</w:t>
      </w:r>
      <w:fldSimple w:instr=" SEQ Table \* ARABIC \s 1  \* MERGEFORMAT ">
        <w:r w:rsidR="00E95E1A">
          <w:rPr>
            <w:noProof/>
          </w:rPr>
          <w:t>3</w:t>
        </w:r>
      </w:fldSimple>
      <w:r>
        <w:tab/>
      </w:r>
      <w:r w:rsidR="00D13200">
        <w:t xml:space="preserve">Development &amp; Growth Plan 2012 - </w:t>
      </w:r>
      <w:r>
        <w:t>Sector Aims</w:t>
      </w:r>
    </w:p>
    <w:tbl>
      <w:tblPr>
        <w:tblStyle w:val="Atkins14pt"/>
        <w:tblW w:w="0" w:type="auto"/>
        <w:tblLook w:val="04A0" w:firstRow="1" w:lastRow="0" w:firstColumn="1" w:lastColumn="0" w:noHBand="0" w:noVBand="1"/>
      </w:tblPr>
      <w:tblGrid>
        <w:gridCol w:w="4821"/>
        <w:gridCol w:w="4820"/>
      </w:tblGrid>
      <w:tr w:rsidR="00C55C7C" w14:paraId="05BD5F17" w14:textId="77777777" w:rsidTr="00C55C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21" w:type="dxa"/>
          </w:tcPr>
          <w:p w14:paraId="7198C5FE" w14:textId="77777777" w:rsidR="00C55C7C" w:rsidRPr="00282B77" w:rsidRDefault="00C55C7C" w:rsidP="00C55C7C">
            <w:pPr>
              <w:pStyle w:val="TableText"/>
              <w:jc w:val="both"/>
              <w:rPr>
                <w:rFonts w:eastAsiaTheme="minorHAnsi" w:cstheme="minorBidi"/>
                <w:color w:val="auto"/>
                <w:szCs w:val="22"/>
                <w:lang w:eastAsia="en-US"/>
              </w:rPr>
            </w:pPr>
            <w:r w:rsidRPr="00282B77">
              <w:rPr>
                <w:rFonts w:eastAsiaTheme="minorHAnsi" w:cstheme="minorBidi"/>
                <w:color w:val="auto"/>
                <w:szCs w:val="22"/>
                <w:lang w:eastAsia="en-US"/>
              </w:rPr>
              <w:t>Sector</w:t>
            </w:r>
          </w:p>
        </w:tc>
        <w:tc>
          <w:tcPr>
            <w:tcW w:w="4820" w:type="dxa"/>
          </w:tcPr>
          <w:p w14:paraId="0CF09CD5" w14:textId="77777777" w:rsidR="00C55C7C" w:rsidRPr="00282B77" w:rsidRDefault="00C55C7C" w:rsidP="00C55C7C">
            <w:pPr>
              <w:pStyle w:val="TableText"/>
              <w:jc w:val="both"/>
              <w:cnfStyle w:val="100000000000" w:firstRow="1" w:lastRow="0" w:firstColumn="0" w:lastColumn="0" w:oddVBand="0" w:evenVBand="0" w:oddHBand="0" w:evenHBand="0" w:firstRowFirstColumn="0" w:firstRowLastColumn="0" w:lastRowFirstColumn="0" w:lastRowLastColumn="0"/>
              <w:rPr>
                <w:rFonts w:eastAsiaTheme="minorHAnsi" w:cstheme="minorBidi"/>
                <w:color w:val="auto"/>
                <w:szCs w:val="22"/>
                <w:lang w:eastAsia="en-US"/>
              </w:rPr>
            </w:pPr>
            <w:r w:rsidRPr="00282B77">
              <w:rPr>
                <w:rFonts w:eastAsiaTheme="minorHAnsi" w:cstheme="minorBidi"/>
                <w:color w:val="auto"/>
                <w:szCs w:val="22"/>
                <w:lang w:eastAsia="en-US"/>
              </w:rPr>
              <w:t>Aim</w:t>
            </w:r>
          </w:p>
        </w:tc>
      </w:tr>
      <w:tr w:rsidR="00C55C7C" w14:paraId="465860A0" w14:textId="77777777" w:rsidTr="00C55C7C">
        <w:tc>
          <w:tcPr>
            <w:cnfStyle w:val="001000000000" w:firstRow="0" w:lastRow="0" w:firstColumn="1" w:lastColumn="0" w:oddVBand="0" w:evenVBand="0" w:oddHBand="0" w:evenHBand="0" w:firstRowFirstColumn="0" w:firstRowLastColumn="0" w:lastRowFirstColumn="0" w:lastRowLastColumn="0"/>
            <w:tcW w:w="4821" w:type="dxa"/>
          </w:tcPr>
          <w:p w14:paraId="4CF5A250" w14:textId="77777777" w:rsidR="00C55C7C" w:rsidRPr="00282B77" w:rsidRDefault="00C55C7C" w:rsidP="00C55C7C">
            <w:pPr>
              <w:autoSpaceDE w:val="0"/>
              <w:autoSpaceDN w:val="0"/>
              <w:adjustRightInd w:val="0"/>
              <w:spacing w:after="0"/>
              <w:jc w:val="both"/>
              <w:rPr>
                <w:rFonts w:eastAsiaTheme="minorHAnsi" w:cstheme="minorBidi"/>
                <w:color w:val="auto"/>
                <w:szCs w:val="22"/>
                <w:lang w:eastAsia="en-US"/>
              </w:rPr>
            </w:pPr>
            <w:r w:rsidRPr="00282B77">
              <w:rPr>
                <w:rFonts w:eastAsiaTheme="minorHAnsi" w:cstheme="minorBidi"/>
                <w:color w:val="auto"/>
                <w:szCs w:val="22"/>
                <w:lang w:eastAsia="en-US"/>
              </w:rPr>
              <w:t xml:space="preserve">Ports &amp; </w:t>
            </w:r>
            <w:r>
              <w:rPr>
                <w:rFonts w:eastAsiaTheme="minorHAnsi" w:cstheme="minorBidi"/>
                <w:color w:val="auto"/>
                <w:szCs w:val="22"/>
                <w:lang w:eastAsia="en-US"/>
              </w:rPr>
              <w:t>L</w:t>
            </w:r>
            <w:r w:rsidRPr="00282B77">
              <w:rPr>
                <w:rFonts w:eastAsiaTheme="minorHAnsi" w:cstheme="minorBidi"/>
                <w:color w:val="auto"/>
                <w:szCs w:val="22"/>
                <w:lang w:eastAsia="en-US"/>
              </w:rPr>
              <w:t>ogistics</w:t>
            </w:r>
          </w:p>
        </w:tc>
        <w:tc>
          <w:tcPr>
            <w:tcW w:w="4820" w:type="dxa"/>
          </w:tcPr>
          <w:p w14:paraId="0660B04E" w14:textId="77777777" w:rsidR="00C55C7C" w:rsidRPr="00282B77" w:rsidRDefault="00C55C7C" w:rsidP="00C55C7C">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Promote the Humber Port complex with a focus on Immingham and Grimsby together with developing the logistics offer.</w:t>
            </w:r>
          </w:p>
        </w:tc>
      </w:tr>
      <w:tr w:rsidR="00C55C7C" w14:paraId="3FCAF156" w14:textId="77777777" w:rsidTr="00C55C7C">
        <w:tc>
          <w:tcPr>
            <w:cnfStyle w:val="001000000000" w:firstRow="0" w:lastRow="0" w:firstColumn="1" w:lastColumn="0" w:oddVBand="0" w:evenVBand="0" w:oddHBand="0" w:evenHBand="0" w:firstRowFirstColumn="0" w:firstRowLastColumn="0" w:lastRowFirstColumn="0" w:lastRowLastColumn="0"/>
            <w:tcW w:w="4821" w:type="dxa"/>
          </w:tcPr>
          <w:p w14:paraId="477FAE1F" w14:textId="77777777" w:rsidR="00C55C7C" w:rsidRPr="00282B77" w:rsidRDefault="00C55C7C" w:rsidP="00C55C7C">
            <w:pPr>
              <w:autoSpaceDE w:val="0"/>
              <w:autoSpaceDN w:val="0"/>
              <w:adjustRightInd w:val="0"/>
              <w:spacing w:after="0"/>
              <w:jc w:val="both"/>
              <w:rPr>
                <w:rFonts w:eastAsiaTheme="minorHAnsi" w:cstheme="minorBidi"/>
                <w:color w:val="auto"/>
                <w:szCs w:val="22"/>
                <w:lang w:eastAsia="en-US"/>
              </w:rPr>
            </w:pPr>
            <w:r w:rsidRPr="00282B77">
              <w:rPr>
                <w:rFonts w:eastAsiaTheme="minorHAnsi" w:cstheme="minorBidi"/>
                <w:color w:val="auto"/>
                <w:szCs w:val="22"/>
                <w:lang w:eastAsia="en-US"/>
              </w:rPr>
              <w:t xml:space="preserve">Food </w:t>
            </w:r>
            <w:r>
              <w:rPr>
                <w:rFonts w:eastAsiaTheme="minorHAnsi" w:cstheme="minorBidi"/>
                <w:color w:val="auto"/>
                <w:szCs w:val="22"/>
                <w:lang w:eastAsia="en-US"/>
              </w:rPr>
              <w:t>M</w:t>
            </w:r>
            <w:r w:rsidRPr="00282B77">
              <w:rPr>
                <w:rFonts w:eastAsiaTheme="minorHAnsi" w:cstheme="minorBidi"/>
                <w:color w:val="auto"/>
                <w:szCs w:val="22"/>
                <w:lang w:eastAsia="en-US"/>
              </w:rPr>
              <w:t>anufacturing</w:t>
            </w:r>
          </w:p>
        </w:tc>
        <w:tc>
          <w:tcPr>
            <w:tcW w:w="4820" w:type="dxa"/>
          </w:tcPr>
          <w:p w14:paraId="0847A67E" w14:textId="77777777" w:rsidR="00C55C7C" w:rsidRPr="00282B77" w:rsidRDefault="00C55C7C" w:rsidP="00C55C7C">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Secure, sustain and grow this primary sector within North East Lincolnshire to become the UK’s leading food manufacturing cluster</w:t>
            </w:r>
          </w:p>
        </w:tc>
      </w:tr>
      <w:tr w:rsidR="00C55C7C" w14:paraId="507891F8" w14:textId="77777777" w:rsidTr="00C55C7C">
        <w:tc>
          <w:tcPr>
            <w:cnfStyle w:val="001000000000" w:firstRow="0" w:lastRow="0" w:firstColumn="1" w:lastColumn="0" w:oddVBand="0" w:evenVBand="0" w:oddHBand="0" w:evenHBand="0" w:firstRowFirstColumn="0" w:firstRowLastColumn="0" w:lastRowFirstColumn="0" w:lastRowLastColumn="0"/>
            <w:tcW w:w="4821" w:type="dxa"/>
          </w:tcPr>
          <w:p w14:paraId="6799479B" w14:textId="77777777" w:rsidR="00C55C7C" w:rsidRPr="00282B77" w:rsidRDefault="00C55C7C" w:rsidP="00C55C7C">
            <w:pPr>
              <w:autoSpaceDE w:val="0"/>
              <w:autoSpaceDN w:val="0"/>
              <w:adjustRightInd w:val="0"/>
              <w:spacing w:after="0"/>
              <w:jc w:val="both"/>
              <w:rPr>
                <w:rFonts w:eastAsiaTheme="minorHAnsi" w:cstheme="minorBidi"/>
                <w:color w:val="auto"/>
                <w:szCs w:val="22"/>
                <w:lang w:eastAsia="en-US"/>
              </w:rPr>
            </w:pPr>
            <w:r w:rsidRPr="00282B77">
              <w:rPr>
                <w:rFonts w:eastAsiaTheme="minorHAnsi" w:cstheme="minorBidi"/>
                <w:color w:val="auto"/>
                <w:szCs w:val="22"/>
                <w:lang w:eastAsia="en-US"/>
              </w:rPr>
              <w:t xml:space="preserve">Renewables &amp; </w:t>
            </w:r>
            <w:r>
              <w:rPr>
                <w:rFonts w:eastAsiaTheme="minorHAnsi" w:cstheme="minorBidi"/>
                <w:color w:val="auto"/>
                <w:szCs w:val="22"/>
                <w:lang w:eastAsia="en-US"/>
              </w:rPr>
              <w:t>E</w:t>
            </w:r>
            <w:r w:rsidRPr="00282B77">
              <w:rPr>
                <w:rFonts w:eastAsiaTheme="minorHAnsi" w:cstheme="minorBidi"/>
                <w:color w:val="auto"/>
                <w:szCs w:val="22"/>
                <w:lang w:eastAsia="en-US"/>
              </w:rPr>
              <w:t>nergy</w:t>
            </w:r>
          </w:p>
        </w:tc>
        <w:tc>
          <w:tcPr>
            <w:tcW w:w="4820" w:type="dxa"/>
          </w:tcPr>
          <w:p w14:paraId="7E5CFD91" w14:textId="77777777" w:rsidR="00C55C7C" w:rsidRPr="00282B77" w:rsidRDefault="00C55C7C" w:rsidP="00C55C7C">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2"/>
                <w:lang w:eastAsia="en-US"/>
              </w:rPr>
            </w:pPr>
            <w:r w:rsidRPr="00282B77">
              <w:rPr>
                <w:rFonts w:eastAsiaTheme="minorHAnsi" w:cstheme="minorBidi"/>
                <w:color w:val="auto"/>
                <w:szCs w:val="22"/>
                <w:lang w:eastAsia="en-US"/>
              </w:rPr>
              <w:t>Establish North East Lincolnshire as the leading operations and maintenance centre for offshore wind and to facilitate the provision of energy security to industry.</w:t>
            </w:r>
          </w:p>
        </w:tc>
      </w:tr>
      <w:tr w:rsidR="00C55C7C" w14:paraId="32C45689" w14:textId="77777777" w:rsidTr="00C55C7C">
        <w:tc>
          <w:tcPr>
            <w:cnfStyle w:val="001000000000" w:firstRow="0" w:lastRow="0" w:firstColumn="1" w:lastColumn="0" w:oddVBand="0" w:evenVBand="0" w:oddHBand="0" w:evenHBand="0" w:firstRowFirstColumn="0" w:firstRowLastColumn="0" w:lastRowFirstColumn="0" w:lastRowLastColumn="0"/>
            <w:tcW w:w="4821" w:type="dxa"/>
          </w:tcPr>
          <w:p w14:paraId="3C84BF52" w14:textId="77777777" w:rsidR="00C55C7C" w:rsidRPr="00282B77" w:rsidRDefault="00C55C7C" w:rsidP="00C55C7C">
            <w:pPr>
              <w:autoSpaceDE w:val="0"/>
              <w:autoSpaceDN w:val="0"/>
              <w:adjustRightInd w:val="0"/>
              <w:spacing w:after="0"/>
              <w:jc w:val="both"/>
              <w:rPr>
                <w:rFonts w:eastAsiaTheme="minorHAnsi" w:cstheme="minorBidi"/>
                <w:color w:val="auto"/>
                <w:szCs w:val="22"/>
                <w:lang w:eastAsia="en-US"/>
              </w:rPr>
            </w:pPr>
            <w:r w:rsidRPr="00282B77">
              <w:rPr>
                <w:rFonts w:eastAsiaTheme="minorHAnsi" w:cstheme="minorBidi"/>
                <w:color w:val="auto"/>
                <w:szCs w:val="22"/>
                <w:lang w:eastAsia="en-US"/>
              </w:rPr>
              <w:t>Chemicals</w:t>
            </w:r>
          </w:p>
        </w:tc>
        <w:tc>
          <w:tcPr>
            <w:tcW w:w="4820" w:type="dxa"/>
          </w:tcPr>
          <w:p w14:paraId="4BAC79AA" w14:textId="77777777" w:rsidR="00C55C7C" w:rsidRPr="00282B77" w:rsidRDefault="00C55C7C" w:rsidP="00C55C7C">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2"/>
                <w:lang w:eastAsia="en-US"/>
              </w:rPr>
            </w:pPr>
            <w:r w:rsidRPr="00282B77">
              <w:rPr>
                <w:rFonts w:eastAsiaTheme="minorHAnsi" w:cstheme="minorBidi"/>
                <w:color w:val="auto"/>
                <w:szCs w:val="22"/>
                <w:lang w:eastAsia="en-US"/>
              </w:rPr>
              <w:t>Support our global and local partners to sustain and grow this established sector within North East Lincolnshire.</w:t>
            </w:r>
          </w:p>
        </w:tc>
      </w:tr>
      <w:tr w:rsidR="00C55C7C" w14:paraId="1447744E" w14:textId="77777777" w:rsidTr="00C55C7C">
        <w:tc>
          <w:tcPr>
            <w:cnfStyle w:val="001000000000" w:firstRow="0" w:lastRow="0" w:firstColumn="1" w:lastColumn="0" w:oddVBand="0" w:evenVBand="0" w:oddHBand="0" w:evenHBand="0" w:firstRowFirstColumn="0" w:firstRowLastColumn="0" w:lastRowFirstColumn="0" w:lastRowLastColumn="0"/>
            <w:tcW w:w="4821" w:type="dxa"/>
          </w:tcPr>
          <w:p w14:paraId="31388F33" w14:textId="77777777" w:rsidR="00C55C7C" w:rsidRPr="00282B77" w:rsidRDefault="00C55C7C" w:rsidP="00C55C7C">
            <w:pPr>
              <w:autoSpaceDE w:val="0"/>
              <w:autoSpaceDN w:val="0"/>
              <w:adjustRightInd w:val="0"/>
              <w:spacing w:after="0"/>
              <w:jc w:val="both"/>
              <w:rPr>
                <w:color w:val="auto"/>
              </w:rPr>
            </w:pPr>
            <w:r w:rsidRPr="00282B77">
              <w:rPr>
                <w:color w:val="auto"/>
              </w:rPr>
              <w:t xml:space="preserve">Visitor </w:t>
            </w:r>
            <w:r>
              <w:rPr>
                <w:color w:val="auto"/>
              </w:rPr>
              <w:t>E</w:t>
            </w:r>
            <w:r w:rsidRPr="00282B77">
              <w:rPr>
                <w:color w:val="auto"/>
              </w:rPr>
              <w:t xml:space="preserve">conomy, </w:t>
            </w:r>
            <w:r>
              <w:rPr>
                <w:color w:val="auto"/>
              </w:rPr>
              <w:t>S</w:t>
            </w:r>
            <w:r w:rsidRPr="00282B77">
              <w:rPr>
                <w:color w:val="auto"/>
              </w:rPr>
              <w:t xml:space="preserve">ervice &amp; </w:t>
            </w:r>
            <w:r>
              <w:rPr>
                <w:color w:val="auto"/>
              </w:rPr>
              <w:t>R</w:t>
            </w:r>
            <w:r w:rsidRPr="00282B77">
              <w:rPr>
                <w:color w:val="auto"/>
              </w:rPr>
              <w:t>etail</w:t>
            </w:r>
          </w:p>
        </w:tc>
        <w:tc>
          <w:tcPr>
            <w:tcW w:w="4820" w:type="dxa"/>
          </w:tcPr>
          <w:p w14:paraId="61DA71AA" w14:textId="77777777" w:rsidR="00C55C7C" w:rsidRPr="00282B77" w:rsidRDefault="00C55C7C" w:rsidP="00C55C7C">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Enhance the visitor economy and retail offer in North East Lincolnshire. This sector is essential for developing quality of life benefits for the community and businesses, making it a good place to live as well as offering excellent development opportunities.</w:t>
            </w:r>
          </w:p>
        </w:tc>
      </w:tr>
      <w:tr w:rsidR="00C55C7C" w14:paraId="2C8B0BEB" w14:textId="77777777" w:rsidTr="00C55C7C">
        <w:tc>
          <w:tcPr>
            <w:cnfStyle w:val="001000000000" w:firstRow="0" w:lastRow="0" w:firstColumn="1" w:lastColumn="0" w:oddVBand="0" w:evenVBand="0" w:oddHBand="0" w:evenHBand="0" w:firstRowFirstColumn="0" w:firstRowLastColumn="0" w:lastRowFirstColumn="0" w:lastRowLastColumn="0"/>
            <w:tcW w:w="4821" w:type="dxa"/>
            <w:shd w:val="clear" w:color="auto" w:fill="E6E4DE" w:themeFill="accent6"/>
          </w:tcPr>
          <w:p w14:paraId="14459D3F" w14:textId="77777777" w:rsidR="00C55C7C" w:rsidRPr="00282B77" w:rsidRDefault="00C55C7C" w:rsidP="00C55C7C">
            <w:pPr>
              <w:autoSpaceDE w:val="0"/>
              <w:autoSpaceDN w:val="0"/>
              <w:adjustRightInd w:val="0"/>
              <w:spacing w:after="0"/>
              <w:jc w:val="both"/>
              <w:rPr>
                <w:b/>
                <w:color w:val="auto"/>
              </w:rPr>
            </w:pPr>
            <w:r w:rsidRPr="00282B77">
              <w:rPr>
                <w:b/>
                <w:color w:val="auto"/>
              </w:rPr>
              <w:t>Cross Sectorial Themes</w:t>
            </w:r>
          </w:p>
        </w:tc>
        <w:tc>
          <w:tcPr>
            <w:tcW w:w="4820" w:type="dxa"/>
            <w:shd w:val="clear" w:color="auto" w:fill="E6E4DE" w:themeFill="accent6"/>
          </w:tcPr>
          <w:p w14:paraId="4DAE233F" w14:textId="77777777" w:rsidR="00C55C7C" w:rsidRPr="00282B77" w:rsidRDefault="00C55C7C" w:rsidP="00C55C7C">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b/>
                <w:color w:val="auto"/>
              </w:rPr>
            </w:pPr>
          </w:p>
        </w:tc>
      </w:tr>
      <w:tr w:rsidR="00C55C7C" w14:paraId="33162FE3" w14:textId="77777777" w:rsidTr="00C55C7C">
        <w:tc>
          <w:tcPr>
            <w:cnfStyle w:val="001000000000" w:firstRow="0" w:lastRow="0" w:firstColumn="1" w:lastColumn="0" w:oddVBand="0" w:evenVBand="0" w:oddHBand="0" w:evenHBand="0" w:firstRowFirstColumn="0" w:firstRowLastColumn="0" w:lastRowFirstColumn="0" w:lastRowLastColumn="0"/>
            <w:tcW w:w="4821" w:type="dxa"/>
          </w:tcPr>
          <w:p w14:paraId="6D54FCA7" w14:textId="77777777" w:rsidR="00C55C7C" w:rsidRPr="00282B77" w:rsidRDefault="00C55C7C" w:rsidP="00C55C7C">
            <w:pPr>
              <w:autoSpaceDE w:val="0"/>
              <w:autoSpaceDN w:val="0"/>
              <w:adjustRightInd w:val="0"/>
              <w:spacing w:after="0"/>
              <w:jc w:val="both"/>
              <w:rPr>
                <w:color w:val="auto"/>
              </w:rPr>
            </w:pPr>
            <w:r w:rsidRPr="00282B77">
              <w:rPr>
                <w:rFonts w:cstheme="minorBidi"/>
                <w:color w:val="auto"/>
                <w:szCs w:val="22"/>
              </w:rPr>
              <w:t>Environment &amp; Infrastructure</w:t>
            </w:r>
          </w:p>
        </w:tc>
        <w:tc>
          <w:tcPr>
            <w:tcW w:w="4820" w:type="dxa"/>
          </w:tcPr>
          <w:p w14:paraId="706D7B0A" w14:textId="77777777" w:rsidR="00C55C7C" w:rsidRPr="00282B77" w:rsidRDefault="00C55C7C" w:rsidP="00C55C7C">
            <w:pPr>
              <w:spacing w:after="0"/>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 xml:space="preserve">Create the environment &amp; infrastructure for growth including improvements or modifications to the energy security, transport, highways, flooding, coastal defence and quality of life. </w:t>
            </w:r>
          </w:p>
        </w:tc>
      </w:tr>
      <w:tr w:rsidR="00C55C7C" w14:paraId="69082282" w14:textId="77777777" w:rsidTr="00C55C7C">
        <w:tc>
          <w:tcPr>
            <w:cnfStyle w:val="001000000000" w:firstRow="0" w:lastRow="0" w:firstColumn="1" w:lastColumn="0" w:oddVBand="0" w:evenVBand="0" w:oddHBand="0" w:evenHBand="0" w:firstRowFirstColumn="0" w:firstRowLastColumn="0" w:lastRowFirstColumn="0" w:lastRowLastColumn="0"/>
            <w:tcW w:w="4821" w:type="dxa"/>
          </w:tcPr>
          <w:p w14:paraId="7537D7AD" w14:textId="77777777" w:rsidR="00C55C7C" w:rsidRPr="00282B77" w:rsidRDefault="00C55C7C" w:rsidP="00C55C7C">
            <w:pPr>
              <w:autoSpaceDE w:val="0"/>
              <w:autoSpaceDN w:val="0"/>
              <w:adjustRightInd w:val="0"/>
              <w:spacing w:after="0"/>
              <w:jc w:val="both"/>
              <w:rPr>
                <w:rFonts w:cstheme="minorBidi"/>
                <w:color w:val="auto"/>
                <w:szCs w:val="22"/>
              </w:rPr>
            </w:pPr>
            <w:r w:rsidRPr="00282B77">
              <w:rPr>
                <w:rFonts w:cstheme="minorBidi"/>
                <w:color w:val="auto"/>
                <w:szCs w:val="22"/>
              </w:rPr>
              <w:t>Employment &amp; Skills</w:t>
            </w:r>
          </w:p>
        </w:tc>
        <w:tc>
          <w:tcPr>
            <w:tcW w:w="4820" w:type="dxa"/>
          </w:tcPr>
          <w:p w14:paraId="7A59FB3C" w14:textId="77777777" w:rsidR="00C55C7C" w:rsidRPr="00282B77" w:rsidRDefault="00C55C7C" w:rsidP="00C55C7C">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color w:val="auto"/>
              </w:rPr>
            </w:pPr>
            <w:r w:rsidRPr="00282B77">
              <w:rPr>
                <w:rFonts w:cstheme="minorBidi"/>
                <w:color w:val="auto"/>
                <w:szCs w:val="22"/>
              </w:rPr>
              <w:t>Develop a workforce fit for industry with skills which complement the sectors above.</w:t>
            </w:r>
          </w:p>
        </w:tc>
      </w:tr>
      <w:tr w:rsidR="00C55C7C" w14:paraId="7E08AA40" w14:textId="77777777" w:rsidTr="00C55C7C">
        <w:tc>
          <w:tcPr>
            <w:cnfStyle w:val="001000000000" w:firstRow="0" w:lastRow="0" w:firstColumn="1" w:lastColumn="0" w:oddVBand="0" w:evenVBand="0" w:oddHBand="0" w:evenHBand="0" w:firstRowFirstColumn="0" w:firstRowLastColumn="0" w:lastRowFirstColumn="0" w:lastRowLastColumn="0"/>
            <w:tcW w:w="4821" w:type="dxa"/>
          </w:tcPr>
          <w:p w14:paraId="7820BCD9" w14:textId="77777777" w:rsidR="00C55C7C" w:rsidRPr="00282B77" w:rsidRDefault="00C55C7C" w:rsidP="00C55C7C">
            <w:pPr>
              <w:autoSpaceDE w:val="0"/>
              <w:autoSpaceDN w:val="0"/>
              <w:adjustRightInd w:val="0"/>
              <w:spacing w:after="0"/>
              <w:jc w:val="both"/>
              <w:rPr>
                <w:rFonts w:cstheme="minorBidi"/>
                <w:color w:val="auto"/>
                <w:szCs w:val="22"/>
              </w:rPr>
            </w:pPr>
            <w:r w:rsidRPr="00282B77">
              <w:rPr>
                <w:rFonts w:cstheme="minorBidi"/>
                <w:color w:val="auto"/>
                <w:szCs w:val="22"/>
              </w:rPr>
              <w:t>Investment &amp; Trade</w:t>
            </w:r>
          </w:p>
        </w:tc>
        <w:tc>
          <w:tcPr>
            <w:tcW w:w="4820" w:type="dxa"/>
          </w:tcPr>
          <w:p w14:paraId="1AF9D90E" w14:textId="77777777" w:rsidR="00C55C7C" w:rsidRPr="00282B77" w:rsidRDefault="00C55C7C" w:rsidP="00C55C7C">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color w:val="auto"/>
              </w:rPr>
            </w:pPr>
            <w:r w:rsidRPr="00282B77">
              <w:rPr>
                <w:rFonts w:cstheme="minorBidi"/>
                <w:color w:val="auto"/>
                <w:szCs w:val="22"/>
              </w:rPr>
              <w:t>Establish North East Lincolnshire as the location</w:t>
            </w:r>
            <w:r w:rsidRPr="00282B77">
              <w:rPr>
                <w:color w:val="auto"/>
              </w:rPr>
              <w:t xml:space="preserve"> </w:t>
            </w:r>
            <w:r w:rsidRPr="00282B77">
              <w:rPr>
                <w:rFonts w:cstheme="minorBidi"/>
                <w:color w:val="auto"/>
                <w:szCs w:val="22"/>
              </w:rPr>
              <w:t>for investment.</w:t>
            </w:r>
          </w:p>
        </w:tc>
      </w:tr>
      <w:tr w:rsidR="00C55C7C" w14:paraId="72DAFAAC" w14:textId="77777777" w:rsidTr="00C55C7C">
        <w:tc>
          <w:tcPr>
            <w:cnfStyle w:val="001000000000" w:firstRow="0" w:lastRow="0" w:firstColumn="1" w:lastColumn="0" w:oddVBand="0" w:evenVBand="0" w:oddHBand="0" w:evenHBand="0" w:firstRowFirstColumn="0" w:firstRowLastColumn="0" w:lastRowFirstColumn="0" w:lastRowLastColumn="0"/>
            <w:tcW w:w="4821" w:type="dxa"/>
          </w:tcPr>
          <w:p w14:paraId="2D7853FC" w14:textId="77777777" w:rsidR="00C55C7C" w:rsidRPr="00282B77" w:rsidRDefault="00C55C7C" w:rsidP="00C55C7C">
            <w:pPr>
              <w:autoSpaceDE w:val="0"/>
              <w:autoSpaceDN w:val="0"/>
              <w:adjustRightInd w:val="0"/>
              <w:spacing w:after="0"/>
              <w:jc w:val="both"/>
              <w:rPr>
                <w:rFonts w:cstheme="minorBidi"/>
                <w:color w:val="auto"/>
                <w:szCs w:val="22"/>
              </w:rPr>
            </w:pPr>
            <w:r w:rsidRPr="00282B77">
              <w:rPr>
                <w:rFonts w:cstheme="minorBidi"/>
                <w:color w:val="auto"/>
                <w:szCs w:val="22"/>
              </w:rPr>
              <w:t>SME Business Support</w:t>
            </w:r>
          </w:p>
        </w:tc>
        <w:tc>
          <w:tcPr>
            <w:tcW w:w="4820" w:type="dxa"/>
          </w:tcPr>
          <w:p w14:paraId="7C3AB266" w14:textId="77777777" w:rsidR="00C55C7C" w:rsidRPr="00282B77" w:rsidRDefault="00C55C7C" w:rsidP="00C55C7C">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color w:val="auto"/>
              </w:rPr>
            </w:pPr>
            <w:r w:rsidRPr="00282B77">
              <w:rPr>
                <w:rFonts w:cstheme="minorBidi"/>
                <w:color w:val="auto"/>
                <w:szCs w:val="22"/>
              </w:rPr>
              <w:t>Build a diverse and resilient SME population.</w:t>
            </w:r>
          </w:p>
        </w:tc>
      </w:tr>
    </w:tbl>
    <w:p w14:paraId="55CF8FFE" w14:textId="77777777" w:rsidR="00C55C7C" w:rsidRDefault="00C55C7C" w:rsidP="00C55C7C">
      <w:pPr>
        <w:autoSpaceDE w:val="0"/>
        <w:autoSpaceDN w:val="0"/>
        <w:adjustRightInd w:val="0"/>
        <w:spacing w:after="0"/>
        <w:jc w:val="both"/>
        <w:rPr>
          <w:b/>
        </w:rPr>
      </w:pPr>
    </w:p>
    <w:p w14:paraId="16D3F8B0" w14:textId="77777777" w:rsidR="00C55C7C" w:rsidRDefault="00D13200" w:rsidP="00C55C7C">
      <w:pPr>
        <w:autoSpaceDE w:val="0"/>
        <w:autoSpaceDN w:val="0"/>
        <w:adjustRightInd w:val="0"/>
        <w:jc w:val="both"/>
        <w:rPr>
          <w:b/>
        </w:rPr>
      </w:pPr>
      <w:r>
        <w:rPr>
          <w:b/>
        </w:rPr>
        <w:t>Retail and Hotel</w:t>
      </w:r>
      <w:r w:rsidR="00C55C7C" w:rsidRPr="005D1F0B">
        <w:rPr>
          <w:b/>
        </w:rPr>
        <w:t xml:space="preserve"> Studies</w:t>
      </w:r>
    </w:p>
    <w:p w14:paraId="5CF8439D" w14:textId="77777777" w:rsidR="00C55C7C" w:rsidRDefault="00C55C7C" w:rsidP="00C55C7C">
      <w:pPr>
        <w:autoSpaceDE w:val="0"/>
        <w:autoSpaceDN w:val="0"/>
        <w:adjustRightInd w:val="0"/>
        <w:spacing w:after="0"/>
        <w:jc w:val="both"/>
      </w:pPr>
      <w:r>
        <w:t>Retail studies</w:t>
      </w:r>
      <w:r w:rsidR="00D13200">
        <w:t xml:space="preserve"> conducted</w:t>
      </w:r>
      <w:r>
        <w:t xml:space="preserve"> in 2005 and 2013 provide a detailed evidence base on the vitality of the local area, current floorspace and a future framework</w:t>
      </w:r>
      <w:r w:rsidR="00D13200">
        <w:t xml:space="preserve"> in planning</w:t>
      </w:r>
      <w:r>
        <w:t xml:space="preserve"> for retail needs. The recommendations from the 2013 study identify the need for a borough hierarchy to identify Grimsby town centre as a sub-regional centre, followed by Cleethorpes and Immingham as town centres,and with Freeman Street </w:t>
      </w:r>
      <w:r w:rsidR="00CF6646">
        <w:t>downgraded</w:t>
      </w:r>
      <w:r>
        <w:t xml:space="preserve"> in order</w:t>
      </w:r>
      <w:r w:rsidR="00D13200">
        <w:t xml:space="preserve"> </w:t>
      </w:r>
      <w:r>
        <w:t xml:space="preserve">to better reflect the type of retail and service uses now found in the existing area. </w:t>
      </w:r>
    </w:p>
    <w:p w14:paraId="3B46C968" w14:textId="77777777" w:rsidR="00C55C7C" w:rsidRDefault="00C55C7C" w:rsidP="00C55C7C">
      <w:pPr>
        <w:autoSpaceDE w:val="0"/>
        <w:autoSpaceDN w:val="0"/>
        <w:adjustRightInd w:val="0"/>
        <w:spacing w:after="0"/>
        <w:jc w:val="both"/>
      </w:pPr>
      <w:r>
        <w:t xml:space="preserve"> </w:t>
      </w:r>
    </w:p>
    <w:p w14:paraId="25A97FC9" w14:textId="77777777" w:rsidR="00C55C7C" w:rsidRDefault="00C55C7C" w:rsidP="00C55C7C">
      <w:pPr>
        <w:jc w:val="both"/>
      </w:pPr>
      <w:r>
        <w:t>Hotel studies conducted for NEL include the updated 2014 hotel study which identifies the development of proposed new hotel schemes: Premier Inn; Holiday Inn Express; and a 40 room extension to the four-star Humber Royal Hotel to meet short-term demand.  The need for another hotel is also identified with the requirement for an additional hotel of approximately 100 rooms to accommodate largely business demand.</w:t>
      </w:r>
    </w:p>
    <w:p w14:paraId="72981629" w14:textId="77777777" w:rsidR="005E3EC6" w:rsidRPr="00C2655C" w:rsidRDefault="005E3EC6" w:rsidP="00C93734">
      <w:pPr>
        <w:pStyle w:val="Heading2"/>
        <w:jc w:val="both"/>
        <w:rPr>
          <w:szCs w:val="28"/>
        </w:rPr>
      </w:pPr>
      <w:bookmarkStart w:id="37" w:name="_Toc395012525"/>
      <w:bookmarkStart w:id="38" w:name="_Toc395012733"/>
      <w:bookmarkStart w:id="39" w:name="_Toc395014162"/>
      <w:bookmarkStart w:id="40" w:name="_Toc395014367"/>
      <w:bookmarkStart w:id="41" w:name="_Toc395012526"/>
      <w:bookmarkStart w:id="42" w:name="_Toc395012734"/>
      <w:bookmarkStart w:id="43" w:name="_Toc395014163"/>
      <w:bookmarkStart w:id="44" w:name="_Toc395014368"/>
      <w:bookmarkStart w:id="45" w:name="_Toc395012527"/>
      <w:bookmarkStart w:id="46" w:name="_Toc395012735"/>
      <w:bookmarkStart w:id="47" w:name="_Toc395014164"/>
      <w:bookmarkStart w:id="48" w:name="_Toc395014369"/>
      <w:bookmarkStart w:id="49" w:name="_Toc395012528"/>
      <w:bookmarkStart w:id="50" w:name="_Toc395012736"/>
      <w:bookmarkStart w:id="51" w:name="_Toc395014165"/>
      <w:bookmarkStart w:id="52" w:name="_Toc395014370"/>
      <w:bookmarkStart w:id="53" w:name="_Toc395012529"/>
      <w:bookmarkStart w:id="54" w:name="_Toc395012737"/>
      <w:bookmarkStart w:id="55" w:name="_Toc395014166"/>
      <w:bookmarkStart w:id="56" w:name="_Toc395014371"/>
      <w:bookmarkStart w:id="57" w:name="_Toc395012530"/>
      <w:bookmarkStart w:id="58" w:name="_Toc395012738"/>
      <w:bookmarkStart w:id="59" w:name="_Toc395014167"/>
      <w:bookmarkStart w:id="60" w:name="_Toc395014372"/>
      <w:bookmarkStart w:id="61" w:name="_Toc395012531"/>
      <w:bookmarkStart w:id="62" w:name="_Toc395012739"/>
      <w:bookmarkStart w:id="63" w:name="_Toc395014168"/>
      <w:bookmarkStart w:id="64" w:name="_Toc395014373"/>
      <w:bookmarkStart w:id="65" w:name="_Toc395012532"/>
      <w:bookmarkStart w:id="66" w:name="_Toc395012740"/>
      <w:bookmarkStart w:id="67" w:name="_Toc395014169"/>
      <w:bookmarkStart w:id="68" w:name="_Toc395014374"/>
      <w:bookmarkStart w:id="69" w:name="_Toc395012539"/>
      <w:bookmarkStart w:id="70" w:name="_Toc395012747"/>
      <w:bookmarkStart w:id="71" w:name="_Toc395014176"/>
      <w:bookmarkStart w:id="72" w:name="_Toc395014381"/>
      <w:bookmarkStart w:id="73" w:name="_Toc395012540"/>
      <w:bookmarkStart w:id="74" w:name="_Toc395012748"/>
      <w:bookmarkStart w:id="75" w:name="_Toc395014177"/>
      <w:bookmarkStart w:id="76" w:name="_Toc395014382"/>
      <w:bookmarkStart w:id="77" w:name="_Toc395012566"/>
      <w:bookmarkStart w:id="78" w:name="_Toc395012774"/>
      <w:bookmarkStart w:id="79" w:name="_Toc395014203"/>
      <w:bookmarkStart w:id="80" w:name="_Toc395014408"/>
      <w:bookmarkStart w:id="81" w:name="_Toc395012567"/>
      <w:bookmarkStart w:id="82" w:name="_Toc395012775"/>
      <w:bookmarkStart w:id="83" w:name="_Toc395014204"/>
      <w:bookmarkStart w:id="84" w:name="_Toc395014409"/>
      <w:bookmarkStart w:id="85" w:name="_Toc395012568"/>
      <w:bookmarkStart w:id="86" w:name="_Toc395012776"/>
      <w:bookmarkStart w:id="87" w:name="_Toc395014205"/>
      <w:bookmarkStart w:id="88" w:name="_Toc395014410"/>
      <w:bookmarkStart w:id="89" w:name="_Toc395012569"/>
      <w:bookmarkStart w:id="90" w:name="_Toc395012777"/>
      <w:bookmarkStart w:id="91" w:name="_Toc395014206"/>
      <w:bookmarkStart w:id="92" w:name="_Toc395014411"/>
      <w:bookmarkStart w:id="93" w:name="_Toc395012570"/>
      <w:bookmarkStart w:id="94" w:name="_Toc395012778"/>
      <w:bookmarkStart w:id="95" w:name="_Toc395014207"/>
      <w:bookmarkStart w:id="96" w:name="_Toc395014412"/>
      <w:bookmarkStart w:id="97" w:name="_Toc395012571"/>
      <w:bookmarkStart w:id="98" w:name="_Toc395012779"/>
      <w:bookmarkStart w:id="99" w:name="_Toc395014208"/>
      <w:bookmarkStart w:id="100" w:name="_Toc395014413"/>
      <w:bookmarkStart w:id="101" w:name="_Toc395012572"/>
      <w:bookmarkStart w:id="102" w:name="_Toc395012780"/>
      <w:bookmarkStart w:id="103" w:name="_Toc395014209"/>
      <w:bookmarkStart w:id="104" w:name="_Toc395014414"/>
      <w:bookmarkStart w:id="105" w:name="_Toc395012573"/>
      <w:bookmarkStart w:id="106" w:name="_Toc395012781"/>
      <w:bookmarkStart w:id="107" w:name="_Toc395014210"/>
      <w:bookmarkStart w:id="108" w:name="_Toc395014415"/>
      <w:bookmarkStart w:id="109" w:name="_Toc395012574"/>
      <w:bookmarkStart w:id="110" w:name="_Toc395012782"/>
      <w:bookmarkStart w:id="111" w:name="_Toc395014211"/>
      <w:bookmarkStart w:id="112" w:name="_Toc395014416"/>
      <w:bookmarkStart w:id="113" w:name="_Toc395012575"/>
      <w:bookmarkStart w:id="114" w:name="_Toc395012783"/>
      <w:bookmarkStart w:id="115" w:name="_Toc395014212"/>
      <w:bookmarkStart w:id="116" w:name="_Toc395014417"/>
      <w:bookmarkStart w:id="117" w:name="_Toc395012576"/>
      <w:bookmarkStart w:id="118" w:name="_Toc395012784"/>
      <w:bookmarkStart w:id="119" w:name="_Toc395014213"/>
      <w:bookmarkStart w:id="120" w:name="_Toc395014418"/>
      <w:bookmarkStart w:id="121" w:name="_Toc395012577"/>
      <w:bookmarkStart w:id="122" w:name="_Toc395012785"/>
      <w:bookmarkStart w:id="123" w:name="_Toc395014214"/>
      <w:bookmarkStart w:id="124" w:name="_Toc395014419"/>
      <w:bookmarkStart w:id="125" w:name="_Toc395012578"/>
      <w:bookmarkStart w:id="126" w:name="_Toc395012786"/>
      <w:bookmarkStart w:id="127" w:name="_Toc395014215"/>
      <w:bookmarkStart w:id="128" w:name="_Toc395014420"/>
      <w:bookmarkStart w:id="129" w:name="_Toc395012579"/>
      <w:bookmarkStart w:id="130" w:name="_Toc395012787"/>
      <w:bookmarkStart w:id="131" w:name="_Toc395014216"/>
      <w:bookmarkStart w:id="132" w:name="_Toc395014421"/>
      <w:bookmarkStart w:id="133" w:name="_Toc395012580"/>
      <w:bookmarkStart w:id="134" w:name="_Toc395012788"/>
      <w:bookmarkStart w:id="135" w:name="_Toc395014217"/>
      <w:bookmarkStart w:id="136" w:name="_Toc395014422"/>
      <w:bookmarkStart w:id="137" w:name="_Toc395012581"/>
      <w:bookmarkStart w:id="138" w:name="_Toc395012789"/>
      <w:bookmarkStart w:id="139" w:name="_Toc395014218"/>
      <w:bookmarkStart w:id="140" w:name="_Toc395014423"/>
      <w:bookmarkStart w:id="141" w:name="_Toc395012582"/>
      <w:bookmarkStart w:id="142" w:name="_Toc395012790"/>
      <w:bookmarkStart w:id="143" w:name="_Toc395014219"/>
      <w:bookmarkStart w:id="144" w:name="_Toc395014424"/>
      <w:bookmarkStart w:id="145" w:name="_Toc395012583"/>
      <w:bookmarkStart w:id="146" w:name="_Toc395012791"/>
      <w:bookmarkStart w:id="147" w:name="_Toc395014220"/>
      <w:bookmarkStart w:id="148" w:name="_Toc395014425"/>
      <w:bookmarkStart w:id="149" w:name="_Toc395012584"/>
      <w:bookmarkStart w:id="150" w:name="_Toc395012792"/>
      <w:bookmarkStart w:id="151" w:name="_Toc395014221"/>
      <w:bookmarkStart w:id="152" w:name="_Toc395014426"/>
      <w:bookmarkStart w:id="153" w:name="_Toc395012585"/>
      <w:bookmarkStart w:id="154" w:name="_Toc395012793"/>
      <w:bookmarkStart w:id="155" w:name="_Toc395014222"/>
      <w:bookmarkStart w:id="156" w:name="_Toc395014427"/>
      <w:bookmarkStart w:id="157" w:name="_Toc395012586"/>
      <w:bookmarkStart w:id="158" w:name="_Toc395012794"/>
      <w:bookmarkStart w:id="159" w:name="_Toc395014223"/>
      <w:bookmarkStart w:id="160" w:name="_Toc395014428"/>
      <w:bookmarkStart w:id="161" w:name="_Toc395012587"/>
      <w:bookmarkStart w:id="162" w:name="_Toc395012795"/>
      <w:bookmarkStart w:id="163" w:name="_Toc395014224"/>
      <w:bookmarkStart w:id="164" w:name="_Toc395014429"/>
      <w:bookmarkStart w:id="165" w:name="_Toc395012588"/>
      <w:bookmarkStart w:id="166" w:name="_Toc395012796"/>
      <w:bookmarkStart w:id="167" w:name="_Toc395014225"/>
      <w:bookmarkStart w:id="168" w:name="_Toc395014430"/>
      <w:bookmarkStart w:id="169" w:name="_Toc395012589"/>
      <w:bookmarkStart w:id="170" w:name="_Toc395012797"/>
      <w:bookmarkStart w:id="171" w:name="_Toc395014226"/>
      <w:bookmarkStart w:id="172" w:name="_Toc395014431"/>
      <w:bookmarkStart w:id="173" w:name="_Toc395012590"/>
      <w:bookmarkStart w:id="174" w:name="_Toc395012798"/>
      <w:bookmarkStart w:id="175" w:name="_Toc395014227"/>
      <w:bookmarkStart w:id="176" w:name="_Toc395014432"/>
      <w:bookmarkStart w:id="177" w:name="_Toc395012591"/>
      <w:bookmarkStart w:id="178" w:name="_Toc395012799"/>
      <w:bookmarkStart w:id="179" w:name="_Toc395014228"/>
      <w:bookmarkStart w:id="180" w:name="_Toc395014433"/>
      <w:bookmarkStart w:id="181" w:name="_Toc395012592"/>
      <w:bookmarkStart w:id="182" w:name="_Toc395012800"/>
      <w:bookmarkStart w:id="183" w:name="_Toc395014229"/>
      <w:bookmarkStart w:id="184" w:name="_Toc395014434"/>
      <w:bookmarkStart w:id="185" w:name="_Toc395012593"/>
      <w:bookmarkStart w:id="186" w:name="_Toc395012801"/>
      <w:bookmarkStart w:id="187" w:name="_Toc395014230"/>
      <w:bookmarkStart w:id="188" w:name="_Toc395014435"/>
      <w:bookmarkStart w:id="189" w:name="_Toc395012594"/>
      <w:bookmarkStart w:id="190" w:name="_Toc395012802"/>
      <w:bookmarkStart w:id="191" w:name="_Toc395014231"/>
      <w:bookmarkStart w:id="192" w:name="_Toc395014436"/>
      <w:bookmarkStart w:id="193" w:name="_Toc395012595"/>
      <w:bookmarkStart w:id="194" w:name="_Toc395012803"/>
      <w:bookmarkStart w:id="195" w:name="_Toc395014232"/>
      <w:bookmarkStart w:id="196" w:name="_Toc395014437"/>
      <w:bookmarkStart w:id="197" w:name="_Toc395012596"/>
      <w:bookmarkStart w:id="198" w:name="_Toc395012804"/>
      <w:bookmarkStart w:id="199" w:name="_Toc395014233"/>
      <w:bookmarkStart w:id="200" w:name="_Toc395014438"/>
      <w:bookmarkStart w:id="201" w:name="_Toc395012597"/>
      <w:bookmarkStart w:id="202" w:name="_Toc395012805"/>
      <w:bookmarkStart w:id="203" w:name="_Toc395014234"/>
      <w:bookmarkStart w:id="204" w:name="_Toc395014439"/>
      <w:bookmarkStart w:id="205" w:name="_Toc395012598"/>
      <w:bookmarkStart w:id="206" w:name="_Toc395012806"/>
      <w:bookmarkStart w:id="207" w:name="_Toc395014235"/>
      <w:bookmarkStart w:id="208" w:name="_Toc395014440"/>
      <w:bookmarkStart w:id="209" w:name="_Toc395012599"/>
      <w:bookmarkStart w:id="210" w:name="_Toc395012807"/>
      <w:bookmarkStart w:id="211" w:name="_Toc395014236"/>
      <w:bookmarkStart w:id="212" w:name="_Toc395014441"/>
      <w:bookmarkStart w:id="213" w:name="_Toc395012600"/>
      <w:bookmarkStart w:id="214" w:name="_Toc395012808"/>
      <w:bookmarkStart w:id="215" w:name="_Toc395014237"/>
      <w:bookmarkStart w:id="216" w:name="_Toc395014442"/>
      <w:bookmarkStart w:id="217" w:name="_Toc395012601"/>
      <w:bookmarkStart w:id="218" w:name="_Toc395012809"/>
      <w:bookmarkStart w:id="219" w:name="_Toc395014238"/>
      <w:bookmarkStart w:id="220" w:name="_Toc395014443"/>
      <w:bookmarkStart w:id="221" w:name="_Toc395012603"/>
      <w:bookmarkStart w:id="222" w:name="_Toc395012811"/>
      <w:bookmarkStart w:id="223" w:name="_Toc395014240"/>
      <w:bookmarkStart w:id="224" w:name="_Toc395014445"/>
      <w:bookmarkStart w:id="225" w:name="_Toc395012604"/>
      <w:bookmarkStart w:id="226" w:name="_Toc395012812"/>
      <w:bookmarkStart w:id="227" w:name="_Toc395014241"/>
      <w:bookmarkStart w:id="228" w:name="_Toc395014446"/>
      <w:bookmarkStart w:id="229" w:name="_Toc395012605"/>
      <w:bookmarkStart w:id="230" w:name="_Toc395012813"/>
      <w:bookmarkStart w:id="231" w:name="_Toc395014242"/>
      <w:bookmarkStart w:id="232" w:name="_Toc395014447"/>
      <w:bookmarkStart w:id="233" w:name="_Toc395012606"/>
      <w:bookmarkStart w:id="234" w:name="_Toc395012814"/>
      <w:bookmarkStart w:id="235" w:name="_Toc395014243"/>
      <w:bookmarkStart w:id="236" w:name="_Toc395014448"/>
      <w:bookmarkStart w:id="237" w:name="_Toc395012607"/>
      <w:bookmarkStart w:id="238" w:name="_Toc395012815"/>
      <w:bookmarkStart w:id="239" w:name="_Toc395014244"/>
      <w:bookmarkStart w:id="240" w:name="_Toc395014449"/>
      <w:bookmarkStart w:id="241" w:name="_Toc395012608"/>
      <w:bookmarkStart w:id="242" w:name="_Toc395012816"/>
      <w:bookmarkStart w:id="243" w:name="_Toc395014245"/>
      <w:bookmarkStart w:id="244" w:name="_Toc395014450"/>
      <w:bookmarkStart w:id="245" w:name="_Toc395012609"/>
      <w:bookmarkStart w:id="246" w:name="_Toc395012817"/>
      <w:bookmarkStart w:id="247" w:name="_Toc395014246"/>
      <w:bookmarkStart w:id="248" w:name="_Toc395014451"/>
      <w:bookmarkStart w:id="249" w:name="_Toc395012610"/>
      <w:bookmarkStart w:id="250" w:name="_Toc395012818"/>
      <w:bookmarkStart w:id="251" w:name="_Toc395014247"/>
      <w:bookmarkStart w:id="252" w:name="_Toc395014452"/>
      <w:bookmarkStart w:id="253" w:name="_Toc395012611"/>
      <w:bookmarkStart w:id="254" w:name="_Toc395012819"/>
      <w:bookmarkStart w:id="255" w:name="_Toc395014248"/>
      <w:bookmarkStart w:id="256" w:name="_Toc395014453"/>
      <w:bookmarkStart w:id="257" w:name="_Toc395012612"/>
      <w:bookmarkStart w:id="258" w:name="_Toc395012820"/>
      <w:bookmarkStart w:id="259" w:name="_Toc395014249"/>
      <w:bookmarkStart w:id="260" w:name="_Toc395014454"/>
      <w:bookmarkStart w:id="261" w:name="_Toc395012613"/>
      <w:bookmarkStart w:id="262" w:name="_Toc395012821"/>
      <w:bookmarkStart w:id="263" w:name="_Toc395014250"/>
      <w:bookmarkStart w:id="264" w:name="_Toc395014455"/>
      <w:bookmarkStart w:id="265" w:name="_Toc395012614"/>
      <w:bookmarkStart w:id="266" w:name="_Toc395012822"/>
      <w:bookmarkStart w:id="267" w:name="_Toc395014251"/>
      <w:bookmarkStart w:id="268" w:name="_Toc395014456"/>
      <w:bookmarkStart w:id="269" w:name="_Toc395012615"/>
      <w:bookmarkStart w:id="270" w:name="_Toc395012823"/>
      <w:bookmarkStart w:id="271" w:name="_Toc395014252"/>
      <w:bookmarkStart w:id="272" w:name="_Toc395014457"/>
      <w:bookmarkStart w:id="273" w:name="_Toc395012616"/>
      <w:bookmarkStart w:id="274" w:name="_Toc395012824"/>
      <w:bookmarkStart w:id="275" w:name="_Toc395014253"/>
      <w:bookmarkStart w:id="276" w:name="_Toc395014458"/>
      <w:bookmarkStart w:id="277" w:name="_Toc395012617"/>
      <w:bookmarkStart w:id="278" w:name="_Toc395012825"/>
      <w:bookmarkStart w:id="279" w:name="_Toc395014254"/>
      <w:bookmarkStart w:id="280" w:name="_Toc395014459"/>
      <w:bookmarkStart w:id="281" w:name="_Toc395012618"/>
      <w:bookmarkStart w:id="282" w:name="_Toc395012826"/>
      <w:bookmarkStart w:id="283" w:name="_Toc395014255"/>
      <w:bookmarkStart w:id="284" w:name="_Toc395014460"/>
      <w:bookmarkStart w:id="285" w:name="_Toc395012619"/>
      <w:bookmarkStart w:id="286" w:name="_Toc395012827"/>
      <w:bookmarkStart w:id="287" w:name="_Toc395014256"/>
      <w:bookmarkStart w:id="288" w:name="_Toc395014461"/>
      <w:bookmarkStart w:id="289" w:name="_Toc395012620"/>
      <w:bookmarkStart w:id="290" w:name="_Toc395012828"/>
      <w:bookmarkStart w:id="291" w:name="_Toc395014257"/>
      <w:bookmarkStart w:id="292" w:name="_Toc395014462"/>
      <w:bookmarkStart w:id="293" w:name="_Toc395012621"/>
      <w:bookmarkStart w:id="294" w:name="_Toc395012829"/>
      <w:bookmarkStart w:id="295" w:name="_Toc395014258"/>
      <w:bookmarkStart w:id="296" w:name="_Toc395014463"/>
      <w:bookmarkStart w:id="297" w:name="_Toc395012622"/>
      <w:bookmarkStart w:id="298" w:name="_Toc395012830"/>
      <w:bookmarkStart w:id="299" w:name="_Toc395014259"/>
      <w:bookmarkStart w:id="300" w:name="_Toc395014464"/>
      <w:bookmarkStart w:id="301" w:name="_Toc395012623"/>
      <w:bookmarkStart w:id="302" w:name="_Toc395012831"/>
      <w:bookmarkStart w:id="303" w:name="_Toc395014260"/>
      <w:bookmarkStart w:id="304" w:name="_Toc395014465"/>
      <w:bookmarkStart w:id="305" w:name="_Toc395012624"/>
      <w:bookmarkStart w:id="306" w:name="_Toc395012832"/>
      <w:bookmarkStart w:id="307" w:name="_Toc395014261"/>
      <w:bookmarkStart w:id="308" w:name="_Toc395014466"/>
      <w:bookmarkStart w:id="309" w:name="_Toc395012625"/>
      <w:bookmarkStart w:id="310" w:name="_Toc395012833"/>
      <w:bookmarkStart w:id="311" w:name="_Toc395014262"/>
      <w:bookmarkStart w:id="312" w:name="_Toc395014467"/>
      <w:bookmarkStart w:id="313" w:name="_Toc395012626"/>
      <w:bookmarkStart w:id="314" w:name="_Toc395012834"/>
      <w:bookmarkStart w:id="315" w:name="_Toc395014263"/>
      <w:bookmarkStart w:id="316" w:name="_Toc395014468"/>
      <w:bookmarkStart w:id="317" w:name="_Toc395012627"/>
      <w:bookmarkStart w:id="318" w:name="_Toc395012835"/>
      <w:bookmarkStart w:id="319" w:name="_Toc395014264"/>
      <w:bookmarkStart w:id="320" w:name="_Toc395014469"/>
      <w:bookmarkStart w:id="321" w:name="_Toc395012628"/>
      <w:bookmarkStart w:id="322" w:name="_Toc395012836"/>
      <w:bookmarkStart w:id="323" w:name="_Toc395014265"/>
      <w:bookmarkStart w:id="324" w:name="_Toc395014470"/>
      <w:bookmarkStart w:id="325" w:name="_Toc395012629"/>
      <w:bookmarkStart w:id="326" w:name="_Toc395012837"/>
      <w:bookmarkStart w:id="327" w:name="_Toc395014266"/>
      <w:bookmarkStart w:id="328" w:name="_Toc395014471"/>
      <w:bookmarkStart w:id="329" w:name="_Toc395012630"/>
      <w:bookmarkStart w:id="330" w:name="_Toc395012838"/>
      <w:bookmarkStart w:id="331" w:name="_Toc395014267"/>
      <w:bookmarkStart w:id="332" w:name="_Toc395014472"/>
      <w:bookmarkStart w:id="333" w:name="_Toc395012631"/>
      <w:bookmarkStart w:id="334" w:name="_Toc395012839"/>
      <w:bookmarkStart w:id="335" w:name="_Toc395014268"/>
      <w:bookmarkStart w:id="336" w:name="_Toc395014473"/>
      <w:bookmarkStart w:id="337" w:name="_Toc395012632"/>
      <w:bookmarkStart w:id="338" w:name="_Toc395012840"/>
      <w:bookmarkStart w:id="339" w:name="_Toc395014269"/>
      <w:bookmarkStart w:id="340" w:name="_Toc395014474"/>
      <w:bookmarkStart w:id="341" w:name="_Toc395012633"/>
      <w:bookmarkStart w:id="342" w:name="_Toc395012841"/>
      <w:bookmarkStart w:id="343" w:name="_Toc395014270"/>
      <w:bookmarkStart w:id="344" w:name="_Toc395014475"/>
      <w:bookmarkStart w:id="345" w:name="_Toc395012634"/>
      <w:bookmarkStart w:id="346" w:name="_Toc395012842"/>
      <w:bookmarkStart w:id="347" w:name="_Toc395014271"/>
      <w:bookmarkStart w:id="348" w:name="_Toc395014476"/>
      <w:bookmarkStart w:id="349" w:name="_Toc395012635"/>
      <w:bookmarkStart w:id="350" w:name="_Toc395012843"/>
      <w:bookmarkStart w:id="351" w:name="_Toc395014272"/>
      <w:bookmarkStart w:id="352" w:name="_Toc395014477"/>
      <w:bookmarkStart w:id="353" w:name="_Toc395012636"/>
      <w:bookmarkStart w:id="354" w:name="_Toc395012844"/>
      <w:bookmarkStart w:id="355" w:name="_Toc395014273"/>
      <w:bookmarkStart w:id="356" w:name="_Toc395014478"/>
      <w:bookmarkStart w:id="357" w:name="_Toc395012638"/>
      <w:bookmarkStart w:id="358" w:name="_Toc395012846"/>
      <w:bookmarkStart w:id="359" w:name="_Toc395014275"/>
      <w:bookmarkStart w:id="360" w:name="_Toc395014480"/>
      <w:bookmarkStart w:id="361" w:name="_Toc395012639"/>
      <w:bookmarkStart w:id="362" w:name="_Toc395012847"/>
      <w:bookmarkStart w:id="363" w:name="_Toc395014276"/>
      <w:bookmarkStart w:id="364" w:name="_Toc395014481"/>
      <w:bookmarkStart w:id="365" w:name="_Toc395012641"/>
      <w:bookmarkStart w:id="366" w:name="_Toc395012849"/>
      <w:bookmarkStart w:id="367" w:name="_Toc395014278"/>
      <w:bookmarkStart w:id="368" w:name="_Toc395014483"/>
      <w:bookmarkStart w:id="369" w:name="_Toc395012642"/>
      <w:bookmarkStart w:id="370" w:name="_Toc395012850"/>
      <w:bookmarkStart w:id="371" w:name="_Toc395014279"/>
      <w:bookmarkStart w:id="372" w:name="_Toc395014484"/>
      <w:bookmarkStart w:id="373" w:name="_Toc395012644"/>
      <w:bookmarkStart w:id="374" w:name="_Toc395012852"/>
      <w:bookmarkStart w:id="375" w:name="_Toc395014281"/>
      <w:bookmarkStart w:id="376" w:name="_Toc395014486"/>
      <w:bookmarkStart w:id="377" w:name="_Toc395012645"/>
      <w:bookmarkStart w:id="378" w:name="_Toc395012853"/>
      <w:bookmarkStart w:id="379" w:name="_Toc395014282"/>
      <w:bookmarkStart w:id="380" w:name="_Toc395014487"/>
      <w:bookmarkStart w:id="381" w:name="_Toc395012647"/>
      <w:bookmarkStart w:id="382" w:name="_Toc395012855"/>
      <w:bookmarkStart w:id="383" w:name="_Toc395014284"/>
      <w:bookmarkStart w:id="384" w:name="_Toc395014489"/>
      <w:bookmarkStart w:id="385" w:name="_Toc395012648"/>
      <w:bookmarkStart w:id="386" w:name="_Toc395012856"/>
      <w:bookmarkStart w:id="387" w:name="_Toc395014285"/>
      <w:bookmarkStart w:id="388" w:name="_Toc395014490"/>
      <w:bookmarkStart w:id="389" w:name="_Toc395012650"/>
      <w:bookmarkStart w:id="390" w:name="_Toc395012858"/>
      <w:bookmarkStart w:id="391" w:name="_Toc395014287"/>
      <w:bookmarkStart w:id="392" w:name="_Toc395014492"/>
      <w:bookmarkStart w:id="393" w:name="_Toc395012651"/>
      <w:bookmarkStart w:id="394" w:name="_Toc395012859"/>
      <w:bookmarkStart w:id="395" w:name="_Toc395014288"/>
      <w:bookmarkStart w:id="396" w:name="_Toc395014493"/>
      <w:bookmarkStart w:id="397" w:name="_Toc395012653"/>
      <w:bookmarkStart w:id="398" w:name="_Toc395012861"/>
      <w:bookmarkStart w:id="399" w:name="_Toc395014290"/>
      <w:bookmarkStart w:id="400" w:name="_Toc395014495"/>
      <w:bookmarkStart w:id="401" w:name="_Toc395012654"/>
      <w:bookmarkStart w:id="402" w:name="_Toc395012862"/>
      <w:bookmarkStart w:id="403" w:name="_Toc395014291"/>
      <w:bookmarkStart w:id="404" w:name="_Toc395014496"/>
      <w:bookmarkStart w:id="405" w:name="_Toc395012656"/>
      <w:bookmarkStart w:id="406" w:name="_Toc395012864"/>
      <w:bookmarkStart w:id="407" w:name="_Toc395014293"/>
      <w:bookmarkStart w:id="408" w:name="_Toc395014498"/>
      <w:bookmarkStart w:id="409" w:name="_Toc395012657"/>
      <w:bookmarkStart w:id="410" w:name="_Toc395012865"/>
      <w:bookmarkStart w:id="411" w:name="_Toc395014294"/>
      <w:bookmarkStart w:id="412" w:name="_Toc395014499"/>
      <w:bookmarkStart w:id="413" w:name="_Toc395012659"/>
      <w:bookmarkStart w:id="414" w:name="_Toc395012867"/>
      <w:bookmarkStart w:id="415" w:name="_Toc395014296"/>
      <w:bookmarkStart w:id="416" w:name="_Toc395014501"/>
      <w:bookmarkStart w:id="417" w:name="_Toc395012660"/>
      <w:bookmarkStart w:id="418" w:name="_Toc395012868"/>
      <w:bookmarkStart w:id="419" w:name="_Toc395014297"/>
      <w:bookmarkStart w:id="420" w:name="_Toc395014502"/>
      <w:bookmarkStart w:id="421" w:name="_Toc395012662"/>
      <w:bookmarkStart w:id="422" w:name="_Toc395012870"/>
      <w:bookmarkStart w:id="423" w:name="_Toc395014299"/>
      <w:bookmarkStart w:id="424" w:name="_Toc395014504"/>
      <w:bookmarkStart w:id="425" w:name="_Toc395012663"/>
      <w:bookmarkStart w:id="426" w:name="_Toc395012871"/>
      <w:bookmarkStart w:id="427" w:name="_Toc395014300"/>
      <w:bookmarkStart w:id="428" w:name="_Toc395014505"/>
      <w:bookmarkStart w:id="429" w:name="_Toc395012665"/>
      <w:bookmarkStart w:id="430" w:name="_Toc395012873"/>
      <w:bookmarkStart w:id="431" w:name="_Toc395014302"/>
      <w:bookmarkStart w:id="432" w:name="_Toc395014507"/>
      <w:bookmarkStart w:id="433" w:name="_Toc395012666"/>
      <w:bookmarkStart w:id="434" w:name="_Toc395012874"/>
      <w:bookmarkStart w:id="435" w:name="_Toc395014303"/>
      <w:bookmarkStart w:id="436" w:name="_Toc395014508"/>
      <w:bookmarkStart w:id="437" w:name="_Toc395012668"/>
      <w:bookmarkStart w:id="438" w:name="_Toc395012876"/>
      <w:bookmarkStart w:id="439" w:name="_Toc395014305"/>
      <w:bookmarkStart w:id="440" w:name="_Toc395014510"/>
      <w:bookmarkStart w:id="441" w:name="_Toc395012669"/>
      <w:bookmarkStart w:id="442" w:name="_Toc395012877"/>
      <w:bookmarkStart w:id="443" w:name="_Toc395014306"/>
      <w:bookmarkStart w:id="444" w:name="_Toc395014511"/>
      <w:bookmarkStart w:id="445" w:name="_Toc395012670"/>
      <w:bookmarkStart w:id="446" w:name="_Toc395012878"/>
      <w:bookmarkStart w:id="447" w:name="_Toc395014307"/>
      <w:bookmarkStart w:id="448" w:name="_Toc395014512"/>
      <w:bookmarkStart w:id="449" w:name="_Toc395012671"/>
      <w:bookmarkStart w:id="450" w:name="_Toc395012879"/>
      <w:bookmarkStart w:id="451" w:name="_Toc395014308"/>
      <w:bookmarkStart w:id="452" w:name="_Toc395014513"/>
      <w:bookmarkStart w:id="453" w:name="_Toc395012672"/>
      <w:bookmarkStart w:id="454" w:name="_Toc395012880"/>
      <w:bookmarkStart w:id="455" w:name="_Toc395014309"/>
      <w:bookmarkStart w:id="456" w:name="_Toc395014514"/>
      <w:bookmarkStart w:id="457" w:name="_Toc395012673"/>
      <w:bookmarkStart w:id="458" w:name="_Toc395012881"/>
      <w:bookmarkStart w:id="459" w:name="_Toc395014310"/>
      <w:bookmarkStart w:id="460" w:name="_Toc395014515"/>
      <w:bookmarkStart w:id="461" w:name="_Toc395012674"/>
      <w:bookmarkStart w:id="462" w:name="_Toc395012882"/>
      <w:bookmarkStart w:id="463" w:name="_Toc395014311"/>
      <w:bookmarkStart w:id="464" w:name="_Toc395014516"/>
      <w:bookmarkStart w:id="465" w:name="_Toc395012675"/>
      <w:bookmarkStart w:id="466" w:name="_Toc395012883"/>
      <w:bookmarkStart w:id="467" w:name="_Toc395014312"/>
      <w:bookmarkStart w:id="468" w:name="_Toc395014517"/>
      <w:bookmarkStart w:id="469" w:name="_Toc395012676"/>
      <w:bookmarkStart w:id="470" w:name="_Toc395012884"/>
      <w:bookmarkStart w:id="471" w:name="_Toc395014313"/>
      <w:bookmarkStart w:id="472" w:name="_Toc395014518"/>
      <w:bookmarkStart w:id="473" w:name="_Toc395012677"/>
      <w:bookmarkStart w:id="474" w:name="_Toc395012885"/>
      <w:bookmarkStart w:id="475" w:name="_Toc395014314"/>
      <w:bookmarkStart w:id="476" w:name="_Toc395014519"/>
      <w:bookmarkStart w:id="477" w:name="_Toc395012678"/>
      <w:bookmarkStart w:id="478" w:name="_Toc395012886"/>
      <w:bookmarkStart w:id="479" w:name="_Toc395014315"/>
      <w:bookmarkStart w:id="480" w:name="_Toc395014520"/>
      <w:bookmarkStart w:id="481" w:name="_Toc395012679"/>
      <w:bookmarkStart w:id="482" w:name="_Toc395012887"/>
      <w:bookmarkStart w:id="483" w:name="_Toc395014316"/>
      <w:bookmarkStart w:id="484" w:name="_Toc395014521"/>
      <w:bookmarkStart w:id="485" w:name="_Toc395103910"/>
      <w:bookmarkEnd w:id="32"/>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t xml:space="preserve">Local economic </w:t>
      </w:r>
      <w:r w:rsidR="00CE730D">
        <w:t>context</w:t>
      </w:r>
      <w:bookmarkEnd w:id="485"/>
      <w:r>
        <w:t xml:space="preserve"> </w:t>
      </w:r>
    </w:p>
    <w:p w14:paraId="4F97226C" w14:textId="77777777" w:rsidR="00121516" w:rsidRDefault="00121516" w:rsidP="00121516">
      <w:r>
        <w:t>The local economic and demographic context in North East Lincolnshire is explored in more detail in the baseline assessment</w:t>
      </w:r>
      <w:r w:rsidR="00D13200">
        <w:t xml:space="preserve"> report which has been issued as a separate document.  </w:t>
      </w:r>
      <w:r>
        <w:t xml:space="preserve">  An abridged overview of the economic context with particular relevance to the prospects for growth in the key sectors is presented below. </w:t>
      </w:r>
    </w:p>
    <w:p w14:paraId="74106911" w14:textId="77777777" w:rsidR="00121516" w:rsidRDefault="00121516" w:rsidP="00121516">
      <w:pPr>
        <w:pStyle w:val="Heading3"/>
      </w:pPr>
      <w:r w:rsidRPr="00121516">
        <w:t>Business</w:t>
      </w:r>
      <w:r>
        <w:t xml:space="preserve"> and Enterprise </w:t>
      </w:r>
    </w:p>
    <w:p w14:paraId="349B973B" w14:textId="77777777" w:rsidR="00121516" w:rsidRPr="00D219C1" w:rsidRDefault="00121516" w:rsidP="00121516">
      <w:pPr>
        <w:jc w:val="both"/>
      </w:pPr>
      <w:r w:rsidRPr="00D219C1">
        <w:t xml:space="preserve">Table </w:t>
      </w:r>
      <w:r w:rsidRPr="00D219C1">
        <w:rPr>
          <w:noProof/>
        </w:rPr>
        <w:t>2</w:t>
      </w:r>
      <w:r w:rsidRPr="00D219C1">
        <w:t>-</w:t>
      </w:r>
      <w:r w:rsidRPr="00D219C1">
        <w:rPr>
          <w:noProof/>
        </w:rPr>
        <w:t>4</w:t>
      </w:r>
      <w:r w:rsidRPr="00D219C1">
        <w:t xml:space="preserve"> demonstrates that North East Lincolnshire has an above average concentration of businesses in manufacturing, construction, motor trades, wholesale and retail, transport and storage, and accommodation and food sectors. The area</w:t>
      </w:r>
      <w:r w:rsidR="00D13200">
        <w:t>, however,</w:t>
      </w:r>
      <w:r w:rsidRPr="00D219C1">
        <w:t xml:space="preserve"> has a lower than average concentration of businesses in sectors including information and communication, financial and insurance, professional, scientific and technical and business administration and support services.</w:t>
      </w:r>
    </w:p>
    <w:p w14:paraId="50057532" w14:textId="77777777" w:rsidR="00121516" w:rsidRDefault="00121516" w:rsidP="00121516">
      <w:pPr>
        <w:pStyle w:val="Caption"/>
      </w:pPr>
      <w:bookmarkStart w:id="486" w:name="_Ref395021250"/>
      <w:r>
        <w:t xml:space="preserve">Table </w:t>
      </w:r>
      <w:fldSimple w:instr=" STYLEREF 1 \s  \* MERGEFORMAT ">
        <w:r w:rsidR="00E95E1A">
          <w:rPr>
            <w:noProof/>
          </w:rPr>
          <w:t>2</w:t>
        </w:r>
      </w:fldSimple>
      <w:r>
        <w:t>-</w:t>
      </w:r>
      <w:fldSimple w:instr=" SEQ Table \* ARABIC \s 1  \* MERGEFORMAT ">
        <w:r w:rsidR="00E95E1A">
          <w:rPr>
            <w:noProof/>
          </w:rPr>
          <w:t>4</w:t>
        </w:r>
      </w:fldSimple>
      <w:bookmarkEnd w:id="486"/>
      <w:r>
        <w:tab/>
        <w:t>Distribution of Businesses by Sector</w:t>
      </w:r>
    </w:p>
    <w:tbl>
      <w:tblPr>
        <w:tblStyle w:val="Atkins14pt"/>
        <w:tblW w:w="9781" w:type="dxa"/>
        <w:tblLayout w:type="fixed"/>
        <w:tblLook w:val="04A0" w:firstRow="1" w:lastRow="0" w:firstColumn="1" w:lastColumn="0" w:noHBand="0" w:noVBand="1"/>
      </w:tblPr>
      <w:tblGrid>
        <w:gridCol w:w="4678"/>
        <w:gridCol w:w="1418"/>
        <w:gridCol w:w="1417"/>
        <w:gridCol w:w="1134"/>
        <w:gridCol w:w="1134"/>
      </w:tblGrid>
      <w:tr w:rsidR="00121516" w:rsidRPr="00092659" w14:paraId="1509BBCA" w14:textId="77777777" w:rsidTr="002D14A9">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4678" w:type="dxa"/>
            <w:hideMark/>
          </w:tcPr>
          <w:p w14:paraId="7C6DD2EE" w14:textId="77777777" w:rsidR="00121516" w:rsidRPr="00D219C1" w:rsidRDefault="00121516" w:rsidP="002D14A9">
            <w:pPr>
              <w:spacing w:after="0"/>
              <w:rPr>
                <w:rFonts w:eastAsia="Times New Roman"/>
                <w:bCs/>
                <w:color w:val="auto"/>
              </w:rPr>
            </w:pPr>
            <w:r w:rsidRPr="00D219C1">
              <w:rPr>
                <w:rFonts w:eastAsia="Times New Roman"/>
                <w:bCs/>
                <w:color w:val="auto"/>
              </w:rPr>
              <w:t>Industry</w:t>
            </w:r>
          </w:p>
        </w:tc>
        <w:tc>
          <w:tcPr>
            <w:tcW w:w="1418" w:type="dxa"/>
            <w:hideMark/>
          </w:tcPr>
          <w:p w14:paraId="1C41F783" w14:textId="77777777" w:rsidR="00121516" w:rsidRPr="00D219C1" w:rsidRDefault="00121516" w:rsidP="002D14A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North East Lincolnshire</w:t>
            </w:r>
          </w:p>
        </w:tc>
        <w:tc>
          <w:tcPr>
            <w:tcW w:w="1417" w:type="dxa"/>
            <w:hideMark/>
          </w:tcPr>
          <w:p w14:paraId="29C12A98" w14:textId="77777777" w:rsidR="00121516" w:rsidRPr="00D219C1" w:rsidRDefault="00121516" w:rsidP="002D14A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North Lincolnshire</w:t>
            </w:r>
          </w:p>
        </w:tc>
        <w:tc>
          <w:tcPr>
            <w:tcW w:w="1134" w:type="dxa"/>
            <w:hideMark/>
          </w:tcPr>
          <w:p w14:paraId="728BC010" w14:textId="77777777" w:rsidR="00121516" w:rsidRPr="00D219C1" w:rsidRDefault="00121516" w:rsidP="002D14A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Kingston upon Hull, City of</w:t>
            </w:r>
          </w:p>
        </w:tc>
        <w:tc>
          <w:tcPr>
            <w:tcW w:w="1134" w:type="dxa"/>
            <w:hideMark/>
          </w:tcPr>
          <w:p w14:paraId="76542483" w14:textId="77777777" w:rsidR="00121516" w:rsidRPr="00D219C1" w:rsidRDefault="00121516" w:rsidP="002D14A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England</w:t>
            </w:r>
          </w:p>
        </w:tc>
      </w:tr>
      <w:tr w:rsidR="00121516" w:rsidRPr="00092659" w14:paraId="12D40869" w14:textId="77777777" w:rsidTr="002D14A9">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3175F426" w14:textId="77777777" w:rsidR="00121516" w:rsidRPr="00D219C1" w:rsidRDefault="00121516" w:rsidP="002D14A9">
            <w:pPr>
              <w:spacing w:after="0"/>
              <w:rPr>
                <w:rFonts w:eastAsia="Times New Roman"/>
                <w:bCs/>
                <w:color w:val="auto"/>
              </w:rPr>
            </w:pPr>
            <w:r w:rsidRPr="00D219C1">
              <w:rPr>
                <w:rFonts w:eastAsia="Times New Roman"/>
                <w:bCs/>
                <w:color w:val="auto"/>
              </w:rPr>
              <w:t>Agriculture, forestry &amp; fishing</w:t>
            </w:r>
          </w:p>
        </w:tc>
        <w:tc>
          <w:tcPr>
            <w:tcW w:w="1418" w:type="dxa"/>
            <w:hideMark/>
          </w:tcPr>
          <w:p w14:paraId="15241F63"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1.4%</w:t>
            </w:r>
          </w:p>
        </w:tc>
        <w:tc>
          <w:tcPr>
            <w:tcW w:w="1417" w:type="dxa"/>
            <w:hideMark/>
          </w:tcPr>
          <w:p w14:paraId="25D4DAAE"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8.7%</w:t>
            </w:r>
          </w:p>
        </w:tc>
        <w:tc>
          <w:tcPr>
            <w:tcW w:w="1134" w:type="dxa"/>
            <w:hideMark/>
          </w:tcPr>
          <w:p w14:paraId="71D60426"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0.3%</w:t>
            </w:r>
          </w:p>
        </w:tc>
        <w:tc>
          <w:tcPr>
            <w:tcW w:w="1134" w:type="dxa"/>
            <w:hideMark/>
          </w:tcPr>
          <w:p w14:paraId="3A6A15D3"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4.4%</w:t>
            </w:r>
          </w:p>
        </w:tc>
      </w:tr>
      <w:tr w:rsidR="00121516" w:rsidRPr="00092659" w14:paraId="50CD7C6D" w14:textId="77777777" w:rsidTr="002D14A9">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6B5365EE" w14:textId="77777777" w:rsidR="00121516" w:rsidRPr="00D219C1" w:rsidRDefault="00121516" w:rsidP="002D14A9">
            <w:pPr>
              <w:spacing w:after="0"/>
              <w:rPr>
                <w:rFonts w:eastAsia="Times New Roman"/>
                <w:bCs/>
                <w:color w:val="auto"/>
              </w:rPr>
            </w:pPr>
            <w:r w:rsidRPr="00D219C1">
              <w:rPr>
                <w:rFonts w:eastAsia="Times New Roman"/>
                <w:bCs/>
                <w:color w:val="auto"/>
              </w:rPr>
              <w:t>Mining, quarrying &amp; utilities</w:t>
            </w:r>
          </w:p>
        </w:tc>
        <w:tc>
          <w:tcPr>
            <w:tcW w:w="1418" w:type="dxa"/>
            <w:hideMark/>
          </w:tcPr>
          <w:p w14:paraId="797A47BB"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0.8%</w:t>
            </w:r>
          </w:p>
        </w:tc>
        <w:tc>
          <w:tcPr>
            <w:tcW w:w="1417" w:type="dxa"/>
            <w:hideMark/>
          </w:tcPr>
          <w:p w14:paraId="631EBCE7"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1.2%</w:t>
            </w:r>
          </w:p>
        </w:tc>
        <w:tc>
          <w:tcPr>
            <w:tcW w:w="1134" w:type="dxa"/>
            <w:hideMark/>
          </w:tcPr>
          <w:p w14:paraId="2D41E062"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0.5%</w:t>
            </w:r>
          </w:p>
        </w:tc>
        <w:tc>
          <w:tcPr>
            <w:tcW w:w="1134" w:type="dxa"/>
            <w:hideMark/>
          </w:tcPr>
          <w:p w14:paraId="5349C9BF"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0.6%</w:t>
            </w:r>
          </w:p>
        </w:tc>
      </w:tr>
      <w:tr w:rsidR="00121516" w:rsidRPr="00092659" w14:paraId="3A36324C" w14:textId="77777777" w:rsidTr="002D14A9">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762B4BD8" w14:textId="77777777" w:rsidR="00121516" w:rsidRPr="00D219C1" w:rsidRDefault="00121516" w:rsidP="002D14A9">
            <w:pPr>
              <w:spacing w:after="0"/>
              <w:rPr>
                <w:rFonts w:eastAsia="Times New Roman"/>
                <w:bCs/>
                <w:color w:val="auto"/>
              </w:rPr>
            </w:pPr>
            <w:r w:rsidRPr="00D219C1">
              <w:rPr>
                <w:rFonts w:eastAsia="Times New Roman"/>
                <w:bCs/>
                <w:color w:val="auto"/>
              </w:rPr>
              <w:t>Manufacturing</w:t>
            </w:r>
          </w:p>
        </w:tc>
        <w:tc>
          <w:tcPr>
            <w:tcW w:w="1418" w:type="dxa"/>
            <w:hideMark/>
          </w:tcPr>
          <w:p w14:paraId="76098D09"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7.3%</w:t>
            </w:r>
          </w:p>
        </w:tc>
        <w:tc>
          <w:tcPr>
            <w:tcW w:w="1417" w:type="dxa"/>
            <w:hideMark/>
          </w:tcPr>
          <w:p w14:paraId="67747DF0"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6.3%</w:t>
            </w:r>
          </w:p>
        </w:tc>
        <w:tc>
          <w:tcPr>
            <w:tcW w:w="1134" w:type="dxa"/>
            <w:hideMark/>
          </w:tcPr>
          <w:p w14:paraId="7B106123"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9.0%</w:t>
            </w:r>
          </w:p>
        </w:tc>
        <w:tc>
          <w:tcPr>
            <w:tcW w:w="1134" w:type="dxa"/>
            <w:hideMark/>
          </w:tcPr>
          <w:p w14:paraId="3E6B6CB5"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5.3%</w:t>
            </w:r>
          </w:p>
        </w:tc>
      </w:tr>
      <w:tr w:rsidR="00121516" w:rsidRPr="00092659" w14:paraId="3710BD4B" w14:textId="77777777" w:rsidTr="002D14A9">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4C345F95" w14:textId="77777777" w:rsidR="00121516" w:rsidRPr="00D219C1" w:rsidRDefault="00121516" w:rsidP="002D14A9">
            <w:pPr>
              <w:spacing w:after="0"/>
              <w:rPr>
                <w:rFonts w:eastAsia="Times New Roman"/>
                <w:bCs/>
                <w:color w:val="auto"/>
              </w:rPr>
            </w:pPr>
            <w:r w:rsidRPr="00D219C1">
              <w:rPr>
                <w:rFonts w:eastAsia="Times New Roman"/>
                <w:bCs/>
                <w:color w:val="auto"/>
              </w:rPr>
              <w:t>Construction</w:t>
            </w:r>
          </w:p>
        </w:tc>
        <w:tc>
          <w:tcPr>
            <w:tcW w:w="1418" w:type="dxa"/>
            <w:hideMark/>
          </w:tcPr>
          <w:p w14:paraId="1043A608"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12.5%</w:t>
            </w:r>
          </w:p>
        </w:tc>
        <w:tc>
          <w:tcPr>
            <w:tcW w:w="1417" w:type="dxa"/>
            <w:hideMark/>
          </w:tcPr>
          <w:p w14:paraId="0E453EA7"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11.2%</w:t>
            </w:r>
          </w:p>
        </w:tc>
        <w:tc>
          <w:tcPr>
            <w:tcW w:w="1134" w:type="dxa"/>
            <w:hideMark/>
          </w:tcPr>
          <w:p w14:paraId="1181338F"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9.2%</w:t>
            </w:r>
          </w:p>
        </w:tc>
        <w:tc>
          <w:tcPr>
            <w:tcW w:w="1134" w:type="dxa"/>
            <w:hideMark/>
          </w:tcPr>
          <w:p w14:paraId="24A3B2D8"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10.2%</w:t>
            </w:r>
          </w:p>
        </w:tc>
      </w:tr>
      <w:tr w:rsidR="00121516" w:rsidRPr="00092659" w14:paraId="495C659B" w14:textId="77777777" w:rsidTr="002D14A9">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183AC243" w14:textId="77777777" w:rsidR="00121516" w:rsidRPr="00D219C1" w:rsidRDefault="00121516" w:rsidP="002D14A9">
            <w:pPr>
              <w:spacing w:after="0"/>
              <w:rPr>
                <w:rFonts w:eastAsia="Times New Roman"/>
                <w:bCs/>
                <w:color w:val="auto"/>
              </w:rPr>
            </w:pPr>
            <w:r w:rsidRPr="00D219C1">
              <w:rPr>
                <w:rFonts w:eastAsia="Times New Roman"/>
                <w:bCs/>
                <w:color w:val="auto"/>
              </w:rPr>
              <w:t>Motor trades</w:t>
            </w:r>
          </w:p>
        </w:tc>
        <w:tc>
          <w:tcPr>
            <w:tcW w:w="1418" w:type="dxa"/>
            <w:hideMark/>
          </w:tcPr>
          <w:p w14:paraId="213B39EA"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4.5%</w:t>
            </w:r>
          </w:p>
        </w:tc>
        <w:tc>
          <w:tcPr>
            <w:tcW w:w="1417" w:type="dxa"/>
            <w:hideMark/>
          </w:tcPr>
          <w:p w14:paraId="78299AF9"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4.6%</w:t>
            </w:r>
          </w:p>
        </w:tc>
        <w:tc>
          <w:tcPr>
            <w:tcW w:w="1134" w:type="dxa"/>
            <w:hideMark/>
          </w:tcPr>
          <w:p w14:paraId="6F2B41E8"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3.6%</w:t>
            </w:r>
          </w:p>
        </w:tc>
        <w:tc>
          <w:tcPr>
            <w:tcW w:w="1134" w:type="dxa"/>
            <w:hideMark/>
          </w:tcPr>
          <w:p w14:paraId="698C606F"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3.0%</w:t>
            </w:r>
          </w:p>
        </w:tc>
      </w:tr>
      <w:tr w:rsidR="00121516" w:rsidRPr="00092659" w14:paraId="405855D9" w14:textId="77777777" w:rsidTr="002D14A9">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78B2B8A2" w14:textId="77777777" w:rsidR="00121516" w:rsidRPr="00D219C1" w:rsidRDefault="00121516" w:rsidP="002D14A9">
            <w:pPr>
              <w:spacing w:after="0"/>
              <w:rPr>
                <w:rFonts w:eastAsia="Times New Roman"/>
                <w:bCs/>
                <w:color w:val="auto"/>
              </w:rPr>
            </w:pPr>
            <w:r w:rsidRPr="00D219C1">
              <w:rPr>
                <w:rFonts w:eastAsia="Times New Roman"/>
                <w:bCs/>
                <w:color w:val="auto"/>
              </w:rPr>
              <w:t xml:space="preserve">Wholesale </w:t>
            </w:r>
          </w:p>
        </w:tc>
        <w:tc>
          <w:tcPr>
            <w:tcW w:w="1418" w:type="dxa"/>
            <w:hideMark/>
          </w:tcPr>
          <w:p w14:paraId="7B620A12"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5.5%</w:t>
            </w:r>
          </w:p>
        </w:tc>
        <w:tc>
          <w:tcPr>
            <w:tcW w:w="1417" w:type="dxa"/>
            <w:hideMark/>
          </w:tcPr>
          <w:p w14:paraId="7B29520A"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4.7%</w:t>
            </w:r>
          </w:p>
        </w:tc>
        <w:tc>
          <w:tcPr>
            <w:tcW w:w="1134" w:type="dxa"/>
            <w:hideMark/>
          </w:tcPr>
          <w:p w14:paraId="7B3D536C"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5.6%</w:t>
            </w:r>
          </w:p>
        </w:tc>
        <w:tc>
          <w:tcPr>
            <w:tcW w:w="1134" w:type="dxa"/>
            <w:hideMark/>
          </w:tcPr>
          <w:p w14:paraId="7AB657EF"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4.9%</w:t>
            </w:r>
          </w:p>
        </w:tc>
      </w:tr>
      <w:tr w:rsidR="00121516" w:rsidRPr="00092659" w14:paraId="78465A1D" w14:textId="77777777" w:rsidTr="002D14A9">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17E24093" w14:textId="77777777" w:rsidR="00121516" w:rsidRPr="00D219C1" w:rsidRDefault="00121516" w:rsidP="002D14A9">
            <w:pPr>
              <w:spacing w:after="0"/>
              <w:rPr>
                <w:rFonts w:eastAsia="Times New Roman"/>
                <w:bCs/>
                <w:color w:val="auto"/>
              </w:rPr>
            </w:pPr>
            <w:r w:rsidRPr="00D219C1">
              <w:rPr>
                <w:rFonts w:eastAsia="Times New Roman"/>
                <w:bCs/>
                <w:color w:val="auto"/>
              </w:rPr>
              <w:t xml:space="preserve">Retail </w:t>
            </w:r>
          </w:p>
        </w:tc>
        <w:tc>
          <w:tcPr>
            <w:tcW w:w="1418" w:type="dxa"/>
            <w:hideMark/>
          </w:tcPr>
          <w:p w14:paraId="5DD3F99A"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16.2%</w:t>
            </w:r>
          </w:p>
        </w:tc>
        <w:tc>
          <w:tcPr>
            <w:tcW w:w="1417" w:type="dxa"/>
            <w:hideMark/>
          </w:tcPr>
          <w:p w14:paraId="281B7D9C"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11.1%</w:t>
            </w:r>
          </w:p>
        </w:tc>
        <w:tc>
          <w:tcPr>
            <w:tcW w:w="1134" w:type="dxa"/>
            <w:hideMark/>
          </w:tcPr>
          <w:p w14:paraId="41AE9C65"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15.0%</w:t>
            </w:r>
          </w:p>
        </w:tc>
        <w:tc>
          <w:tcPr>
            <w:tcW w:w="1134" w:type="dxa"/>
            <w:hideMark/>
          </w:tcPr>
          <w:p w14:paraId="62B2968C"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10.7%</w:t>
            </w:r>
          </w:p>
        </w:tc>
      </w:tr>
      <w:tr w:rsidR="00121516" w:rsidRPr="00092659" w14:paraId="488B9242" w14:textId="77777777" w:rsidTr="002D14A9">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3DFC01E5" w14:textId="77777777" w:rsidR="00121516" w:rsidRPr="00D219C1" w:rsidRDefault="00121516" w:rsidP="002D14A9">
            <w:pPr>
              <w:spacing w:after="0"/>
              <w:rPr>
                <w:rFonts w:eastAsia="Times New Roman"/>
                <w:bCs/>
                <w:color w:val="auto"/>
              </w:rPr>
            </w:pPr>
            <w:r w:rsidRPr="00D219C1">
              <w:rPr>
                <w:rFonts w:eastAsia="Times New Roman"/>
                <w:bCs/>
                <w:color w:val="auto"/>
              </w:rPr>
              <w:t>Transport &amp; storage</w:t>
            </w:r>
          </w:p>
        </w:tc>
        <w:tc>
          <w:tcPr>
            <w:tcW w:w="1418" w:type="dxa"/>
            <w:hideMark/>
          </w:tcPr>
          <w:p w14:paraId="07E195AC"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6.3%</w:t>
            </w:r>
          </w:p>
        </w:tc>
        <w:tc>
          <w:tcPr>
            <w:tcW w:w="1417" w:type="dxa"/>
            <w:hideMark/>
          </w:tcPr>
          <w:p w14:paraId="7437950A"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7.5%</w:t>
            </w:r>
          </w:p>
        </w:tc>
        <w:tc>
          <w:tcPr>
            <w:tcW w:w="1134" w:type="dxa"/>
            <w:hideMark/>
          </w:tcPr>
          <w:p w14:paraId="135D8B42"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3.6%</w:t>
            </w:r>
          </w:p>
        </w:tc>
        <w:tc>
          <w:tcPr>
            <w:tcW w:w="1134" w:type="dxa"/>
            <w:hideMark/>
          </w:tcPr>
          <w:p w14:paraId="06B428BD"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3.2%</w:t>
            </w:r>
          </w:p>
        </w:tc>
      </w:tr>
      <w:tr w:rsidR="00121516" w:rsidRPr="00092659" w14:paraId="5294A228" w14:textId="77777777" w:rsidTr="002D14A9">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2D76BF46" w14:textId="77777777" w:rsidR="00121516" w:rsidRPr="00D219C1" w:rsidRDefault="00121516" w:rsidP="002D14A9">
            <w:pPr>
              <w:spacing w:after="0"/>
              <w:rPr>
                <w:rFonts w:eastAsia="Times New Roman"/>
                <w:bCs/>
                <w:color w:val="auto"/>
              </w:rPr>
            </w:pPr>
            <w:r w:rsidRPr="00D219C1">
              <w:rPr>
                <w:rFonts w:eastAsia="Times New Roman"/>
                <w:bCs/>
                <w:color w:val="auto"/>
              </w:rPr>
              <w:t>Accommodation &amp; food services</w:t>
            </w:r>
          </w:p>
        </w:tc>
        <w:tc>
          <w:tcPr>
            <w:tcW w:w="1418" w:type="dxa"/>
            <w:hideMark/>
          </w:tcPr>
          <w:p w14:paraId="3F94BD57"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7.1%</w:t>
            </w:r>
          </w:p>
        </w:tc>
        <w:tc>
          <w:tcPr>
            <w:tcW w:w="1417" w:type="dxa"/>
            <w:hideMark/>
          </w:tcPr>
          <w:p w14:paraId="48309570"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7.4%</w:t>
            </w:r>
          </w:p>
        </w:tc>
        <w:tc>
          <w:tcPr>
            <w:tcW w:w="1134" w:type="dxa"/>
            <w:hideMark/>
          </w:tcPr>
          <w:p w14:paraId="0AE1B392"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6.8%</w:t>
            </w:r>
          </w:p>
        </w:tc>
        <w:tc>
          <w:tcPr>
            <w:tcW w:w="1134" w:type="dxa"/>
            <w:hideMark/>
          </w:tcPr>
          <w:p w14:paraId="0FB29F44"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6.2%</w:t>
            </w:r>
          </w:p>
        </w:tc>
      </w:tr>
      <w:tr w:rsidR="00121516" w:rsidRPr="00092659" w14:paraId="50A47177" w14:textId="77777777" w:rsidTr="002D14A9">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2B1DCA0D" w14:textId="77777777" w:rsidR="00121516" w:rsidRPr="00D219C1" w:rsidRDefault="00121516" w:rsidP="002D14A9">
            <w:pPr>
              <w:spacing w:after="0"/>
              <w:rPr>
                <w:rFonts w:eastAsia="Times New Roman"/>
                <w:bCs/>
                <w:color w:val="auto"/>
              </w:rPr>
            </w:pPr>
            <w:r w:rsidRPr="00D219C1">
              <w:rPr>
                <w:rFonts w:eastAsia="Times New Roman"/>
                <w:bCs/>
                <w:color w:val="auto"/>
              </w:rPr>
              <w:t xml:space="preserve">Information &amp; communication </w:t>
            </w:r>
          </w:p>
        </w:tc>
        <w:tc>
          <w:tcPr>
            <w:tcW w:w="1418" w:type="dxa"/>
            <w:hideMark/>
          </w:tcPr>
          <w:p w14:paraId="30DD0F51"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2.1%</w:t>
            </w:r>
          </w:p>
        </w:tc>
        <w:tc>
          <w:tcPr>
            <w:tcW w:w="1417" w:type="dxa"/>
            <w:hideMark/>
          </w:tcPr>
          <w:p w14:paraId="2BA171EA"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2.1%</w:t>
            </w:r>
          </w:p>
        </w:tc>
        <w:tc>
          <w:tcPr>
            <w:tcW w:w="1134" w:type="dxa"/>
            <w:hideMark/>
          </w:tcPr>
          <w:p w14:paraId="6B9BEF87"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2.5%</w:t>
            </w:r>
          </w:p>
        </w:tc>
        <w:tc>
          <w:tcPr>
            <w:tcW w:w="1134" w:type="dxa"/>
            <w:hideMark/>
          </w:tcPr>
          <w:p w14:paraId="5840FFDC"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7.1%</w:t>
            </w:r>
          </w:p>
        </w:tc>
      </w:tr>
      <w:tr w:rsidR="00121516" w:rsidRPr="00092659" w14:paraId="107ED87F" w14:textId="77777777" w:rsidTr="002D14A9">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4FA1B434" w14:textId="77777777" w:rsidR="00121516" w:rsidRPr="00D219C1" w:rsidRDefault="00121516" w:rsidP="002D14A9">
            <w:pPr>
              <w:spacing w:after="0"/>
              <w:rPr>
                <w:rFonts w:eastAsia="Times New Roman"/>
                <w:bCs/>
                <w:color w:val="auto"/>
              </w:rPr>
            </w:pPr>
            <w:r w:rsidRPr="00D219C1">
              <w:rPr>
                <w:rFonts w:eastAsia="Times New Roman"/>
                <w:bCs/>
                <w:color w:val="auto"/>
              </w:rPr>
              <w:t xml:space="preserve">Financial &amp; insurance </w:t>
            </w:r>
          </w:p>
        </w:tc>
        <w:tc>
          <w:tcPr>
            <w:tcW w:w="1418" w:type="dxa"/>
            <w:hideMark/>
          </w:tcPr>
          <w:p w14:paraId="098AFDCB"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1.8%</w:t>
            </w:r>
          </w:p>
        </w:tc>
        <w:tc>
          <w:tcPr>
            <w:tcW w:w="1417" w:type="dxa"/>
            <w:hideMark/>
          </w:tcPr>
          <w:p w14:paraId="3437127D"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1.7%</w:t>
            </w:r>
          </w:p>
        </w:tc>
        <w:tc>
          <w:tcPr>
            <w:tcW w:w="1134" w:type="dxa"/>
            <w:hideMark/>
          </w:tcPr>
          <w:p w14:paraId="3FCD12A9"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2.3%</w:t>
            </w:r>
          </w:p>
        </w:tc>
        <w:tc>
          <w:tcPr>
            <w:tcW w:w="1134" w:type="dxa"/>
            <w:hideMark/>
          </w:tcPr>
          <w:p w14:paraId="3951C1A6"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2.6%</w:t>
            </w:r>
          </w:p>
        </w:tc>
      </w:tr>
      <w:tr w:rsidR="00121516" w:rsidRPr="00092659" w14:paraId="324557BC" w14:textId="77777777" w:rsidTr="002D14A9">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6D4435C8" w14:textId="77777777" w:rsidR="00121516" w:rsidRPr="00D219C1" w:rsidRDefault="00121516" w:rsidP="002D14A9">
            <w:pPr>
              <w:spacing w:after="0"/>
              <w:rPr>
                <w:rFonts w:eastAsia="Times New Roman"/>
                <w:bCs/>
                <w:color w:val="auto"/>
              </w:rPr>
            </w:pPr>
            <w:r w:rsidRPr="00D219C1">
              <w:rPr>
                <w:rFonts w:eastAsia="Times New Roman"/>
                <w:bCs/>
                <w:color w:val="auto"/>
              </w:rPr>
              <w:t>Property</w:t>
            </w:r>
          </w:p>
        </w:tc>
        <w:tc>
          <w:tcPr>
            <w:tcW w:w="1418" w:type="dxa"/>
            <w:hideMark/>
          </w:tcPr>
          <w:p w14:paraId="6CD03BF4"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2.7%</w:t>
            </w:r>
          </w:p>
        </w:tc>
        <w:tc>
          <w:tcPr>
            <w:tcW w:w="1417" w:type="dxa"/>
            <w:hideMark/>
          </w:tcPr>
          <w:p w14:paraId="0B98FB0D"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2.2%</w:t>
            </w:r>
          </w:p>
        </w:tc>
        <w:tc>
          <w:tcPr>
            <w:tcW w:w="1134" w:type="dxa"/>
            <w:hideMark/>
          </w:tcPr>
          <w:p w14:paraId="06E3DB7F"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3.0%</w:t>
            </w:r>
          </w:p>
        </w:tc>
        <w:tc>
          <w:tcPr>
            <w:tcW w:w="1134" w:type="dxa"/>
            <w:hideMark/>
          </w:tcPr>
          <w:p w14:paraId="6E684C55"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3.7%</w:t>
            </w:r>
          </w:p>
        </w:tc>
      </w:tr>
      <w:tr w:rsidR="00121516" w:rsidRPr="00092659" w14:paraId="11D38B6D" w14:textId="77777777" w:rsidTr="002D14A9">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29438EB5" w14:textId="77777777" w:rsidR="00121516" w:rsidRPr="00D219C1" w:rsidRDefault="00121516" w:rsidP="002D14A9">
            <w:pPr>
              <w:spacing w:after="0"/>
              <w:rPr>
                <w:rFonts w:eastAsia="Times New Roman"/>
                <w:bCs/>
                <w:color w:val="auto"/>
              </w:rPr>
            </w:pPr>
            <w:r w:rsidRPr="00D219C1">
              <w:rPr>
                <w:rFonts w:eastAsia="Times New Roman"/>
                <w:bCs/>
                <w:color w:val="auto"/>
              </w:rPr>
              <w:t>Professional, scientific &amp; technical</w:t>
            </w:r>
          </w:p>
        </w:tc>
        <w:tc>
          <w:tcPr>
            <w:tcW w:w="1418" w:type="dxa"/>
            <w:hideMark/>
          </w:tcPr>
          <w:p w14:paraId="1FC66D34"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9.6%</w:t>
            </w:r>
          </w:p>
        </w:tc>
        <w:tc>
          <w:tcPr>
            <w:tcW w:w="1417" w:type="dxa"/>
            <w:hideMark/>
          </w:tcPr>
          <w:p w14:paraId="1A582741"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10.1%</w:t>
            </w:r>
          </w:p>
        </w:tc>
        <w:tc>
          <w:tcPr>
            <w:tcW w:w="1134" w:type="dxa"/>
            <w:hideMark/>
          </w:tcPr>
          <w:p w14:paraId="42E6A767"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8.1%</w:t>
            </w:r>
          </w:p>
        </w:tc>
        <w:tc>
          <w:tcPr>
            <w:tcW w:w="1134" w:type="dxa"/>
            <w:hideMark/>
          </w:tcPr>
          <w:p w14:paraId="25B0FC80"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15.3%</w:t>
            </w:r>
          </w:p>
        </w:tc>
      </w:tr>
      <w:tr w:rsidR="00121516" w:rsidRPr="00092659" w14:paraId="072982C5" w14:textId="77777777" w:rsidTr="002D14A9">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7B988EAA" w14:textId="77777777" w:rsidR="00121516" w:rsidRPr="00D219C1" w:rsidRDefault="00121516" w:rsidP="002D14A9">
            <w:pPr>
              <w:spacing w:after="0"/>
              <w:rPr>
                <w:rFonts w:eastAsia="Times New Roman"/>
                <w:bCs/>
                <w:color w:val="auto"/>
              </w:rPr>
            </w:pPr>
            <w:r w:rsidRPr="00D219C1">
              <w:rPr>
                <w:rFonts w:eastAsia="Times New Roman"/>
                <w:bCs/>
                <w:color w:val="auto"/>
              </w:rPr>
              <w:t>Business administration &amp; support services</w:t>
            </w:r>
          </w:p>
        </w:tc>
        <w:tc>
          <w:tcPr>
            <w:tcW w:w="1418" w:type="dxa"/>
            <w:hideMark/>
          </w:tcPr>
          <w:p w14:paraId="26A60732"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5.3%</w:t>
            </w:r>
          </w:p>
        </w:tc>
        <w:tc>
          <w:tcPr>
            <w:tcW w:w="1417" w:type="dxa"/>
            <w:hideMark/>
          </w:tcPr>
          <w:p w14:paraId="4A6ED152"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5.8%</w:t>
            </w:r>
          </w:p>
        </w:tc>
        <w:tc>
          <w:tcPr>
            <w:tcW w:w="1134" w:type="dxa"/>
            <w:hideMark/>
          </w:tcPr>
          <w:p w14:paraId="18610D8F"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6.3%</w:t>
            </w:r>
          </w:p>
        </w:tc>
        <w:tc>
          <w:tcPr>
            <w:tcW w:w="1134" w:type="dxa"/>
            <w:hideMark/>
          </w:tcPr>
          <w:p w14:paraId="5E51E776"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7.0%</w:t>
            </w:r>
          </w:p>
        </w:tc>
      </w:tr>
      <w:tr w:rsidR="00121516" w:rsidRPr="00092659" w14:paraId="0CA8BC45" w14:textId="77777777" w:rsidTr="002D14A9">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5E8A7E6E" w14:textId="77777777" w:rsidR="00121516" w:rsidRPr="00D219C1" w:rsidRDefault="00121516" w:rsidP="002D14A9">
            <w:pPr>
              <w:spacing w:after="0"/>
              <w:rPr>
                <w:rFonts w:eastAsia="Times New Roman"/>
                <w:bCs/>
                <w:color w:val="auto"/>
              </w:rPr>
            </w:pPr>
            <w:r w:rsidRPr="00D219C1">
              <w:rPr>
                <w:rFonts w:eastAsia="Times New Roman"/>
                <w:bCs/>
                <w:color w:val="auto"/>
              </w:rPr>
              <w:t>Public administration &amp; defence</w:t>
            </w:r>
          </w:p>
        </w:tc>
        <w:tc>
          <w:tcPr>
            <w:tcW w:w="1418" w:type="dxa"/>
            <w:hideMark/>
          </w:tcPr>
          <w:p w14:paraId="02212B04"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0.9%</w:t>
            </w:r>
          </w:p>
        </w:tc>
        <w:tc>
          <w:tcPr>
            <w:tcW w:w="1417" w:type="dxa"/>
            <w:hideMark/>
          </w:tcPr>
          <w:p w14:paraId="4D7BDEE4"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1.2%</w:t>
            </w:r>
          </w:p>
        </w:tc>
        <w:tc>
          <w:tcPr>
            <w:tcW w:w="1134" w:type="dxa"/>
            <w:hideMark/>
          </w:tcPr>
          <w:p w14:paraId="2422B1A4"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4.9%</w:t>
            </w:r>
          </w:p>
        </w:tc>
        <w:tc>
          <w:tcPr>
            <w:tcW w:w="1134" w:type="dxa"/>
            <w:hideMark/>
          </w:tcPr>
          <w:p w14:paraId="62059EC4"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0.9%</w:t>
            </w:r>
          </w:p>
        </w:tc>
      </w:tr>
      <w:tr w:rsidR="00121516" w:rsidRPr="00092659" w14:paraId="4FDA1C6E" w14:textId="77777777" w:rsidTr="002D14A9">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404B483B" w14:textId="77777777" w:rsidR="00121516" w:rsidRPr="00D219C1" w:rsidRDefault="00121516" w:rsidP="002D14A9">
            <w:pPr>
              <w:spacing w:after="0"/>
              <w:rPr>
                <w:rFonts w:eastAsia="Times New Roman"/>
                <w:bCs/>
                <w:color w:val="auto"/>
              </w:rPr>
            </w:pPr>
            <w:r w:rsidRPr="00D219C1">
              <w:rPr>
                <w:rFonts w:eastAsia="Times New Roman"/>
                <w:bCs/>
                <w:color w:val="auto"/>
              </w:rPr>
              <w:t>Education</w:t>
            </w:r>
          </w:p>
        </w:tc>
        <w:tc>
          <w:tcPr>
            <w:tcW w:w="1418" w:type="dxa"/>
            <w:hideMark/>
          </w:tcPr>
          <w:p w14:paraId="231EDCDF"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2.5%</w:t>
            </w:r>
          </w:p>
        </w:tc>
        <w:tc>
          <w:tcPr>
            <w:tcW w:w="1417" w:type="dxa"/>
            <w:hideMark/>
          </w:tcPr>
          <w:p w14:paraId="720C1DE4"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2.7%</w:t>
            </w:r>
          </w:p>
        </w:tc>
        <w:tc>
          <w:tcPr>
            <w:tcW w:w="1134" w:type="dxa"/>
            <w:hideMark/>
          </w:tcPr>
          <w:p w14:paraId="55E3AD96"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3.0%</w:t>
            </w:r>
          </w:p>
        </w:tc>
        <w:tc>
          <w:tcPr>
            <w:tcW w:w="1134" w:type="dxa"/>
            <w:hideMark/>
          </w:tcPr>
          <w:p w14:paraId="1A8733C7"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2.5%</w:t>
            </w:r>
          </w:p>
        </w:tc>
      </w:tr>
      <w:tr w:rsidR="00121516" w:rsidRPr="00092659" w14:paraId="31A74210" w14:textId="77777777" w:rsidTr="002D14A9">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7D817835" w14:textId="77777777" w:rsidR="00121516" w:rsidRPr="00D219C1" w:rsidRDefault="00121516" w:rsidP="002D14A9">
            <w:pPr>
              <w:spacing w:after="0"/>
              <w:rPr>
                <w:rFonts w:eastAsia="Times New Roman"/>
                <w:bCs/>
                <w:color w:val="auto"/>
              </w:rPr>
            </w:pPr>
            <w:r w:rsidRPr="00D219C1">
              <w:rPr>
                <w:rFonts w:eastAsia="Times New Roman"/>
                <w:bCs/>
                <w:color w:val="auto"/>
              </w:rPr>
              <w:t>Health</w:t>
            </w:r>
          </w:p>
        </w:tc>
        <w:tc>
          <w:tcPr>
            <w:tcW w:w="1418" w:type="dxa"/>
            <w:hideMark/>
          </w:tcPr>
          <w:p w14:paraId="6AED77B2"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6.5%</w:t>
            </w:r>
          </w:p>
        </w:tc>
        <w:tc>
          <w:tcPr>
            <w:tcW w:w="1417" w:type="dxa"/>
            <w:hideMark/>
          </w:tcPr>
          <w:p w14:paraId="3315DDFA"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5.0%</w:t>
            </w:r>
          </w:p>
        </w:tc>
        <w:tc>
          <w:tcPr>
            <w:tcW w:w="1134" w:type="dxa"/>
            <w:hideMark/>
          </w:tcPr>
          <w:p w14:paraId="68F19277"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10.6%</w:t>
            </w:r>
          </w:p>
        </w:tc>
        <w:tc>
          <w:tcPr>
            <w:tcW w:w="1134" w:type="dxa"/>
            <w:hideMark/>
          </w:tcPr>
          <w:p w14:paraId="168CC67C"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5.7%</w:t>
            </w:r>
          </w:p>
        </w:tc>
      </w:tr>
      <w:tr w:rsidR="00121516" w:rsidRPr="00092659" w14:paraId="0ADA2353" w14:textId="77777777" w:rsidTr="002D14A9">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789E306F" w14:textId="77777777" w:rsidR="00121516" w:rsidRPr="00D219C1" w:rsidRDefault="00121516" w:rsidP="002D14A9">
            <w:pPr>
              <w:spacing w:after="0"/>
              <w:rPr>
                <w:rFonts w:eastAsia="Times New Roman"/>
                <w:bCs/>
                <w:color w:val="auto"/>
              </w:rPr>
            </w:pPr>
            <w:r w:rsidRPr="00D219C1">
              <w:rPr>
                <w:rFonts w:eastAsia="Times New Roman"/>
                <w:bCs/>
                <w:color w:val="auto"/>
              </w:rPr>
              <w:t>Arts, entertainment, recreation &amp; other services</w:t>
            </w:r>
          </w:p>
        </w:tc>
        <w:tc>
          <w:tcPr>
            <w:tcW w:w="1418" w:type="dxa"/>
            <w:hideMark/>
          </w:tcPr>
          <w:p w14:paraId="67B4FD3F"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6.7%</w:t>
            </w:r>
          </w:p>
        </w:tc>
        <w:tc>
          <w:tcPr>
            <w:tcW w:w="1417" w:type="dxa"/>
            <w:hideMark/>
          </w:tcPr>
          <w:p w14:paraId="25643B85"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6.5%</w:t>
            </w:r>
          </w:p>
        </w:tc>
        <w:tc>
          <w:tcPr>
            <w:tcW w:w="1134" w:type="dxa"/>
            <w:hideMark/>
          </w:tcPr>
          <w:p w14:paraId="114C2ACC"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5.8%</w:t>
            </w:r>
          </w:p>
        </w:tc>
        <w:tc>
          <w:tcPr>
            <w:tcW w:w="1134" w:type="dxa"/>
            <w:hideMark/>
          </w:tcPr>
          <w:p w14:paraId="3212808B" w14:textId="77777777" w:rsidR="00121516" w:rsidRPr="00092659"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D219C1">
              <w:rPr>
                <w:rFonts w:eastAsia="Times New Roman"/>
                <w:bCs/>
                <w:color w:val="auto"/>
              </w:rPr>
              <w:t>6.8%</w:t>
            </w:r>
          </w:p>
        </w:tc>
      </w:tr>
    </w:tbl>
    <w:p w14:paraId="6D89DDEC" w14:textId="77777777" w:rsidR="00121516" w:rsidRDefault="00121516" w:rsidP="00121516">
      <w:pPr>
        <w:pStyle w:val="TableSource"/>
      </w:pPr>
      <w:r w:rsidRPr="00092659">
        <w:t>Source: ONS Enterprise Counts</w:t>
      </w:r>
    </w:p>
    <w:p w14:paraId="5D139E78" w14:textId="77777777" w:rsidR="00121516" w:rsidRPr="00D219C1" w:rsidRDefault="00121516" w:rsidP="00121516">
      <w:pPr>
        <w:jc w:val="both"/>
      </w:pPr>
      <w:r w:rsidRPr="00D219C1">
        <w:t xml:space="preserve">Figure </w:t>
      </w:r>
      <w:r w:rsidRPr="00D219C1">
        <w:rPr>
          <w:noProof/>
        </w:rPr>
        <w:t>2-3</w:t>
      </w:r>
      <w:r w:rsidRPr="00D219C1">
        <w:t xml:space="preserve"> and Figure </w:t>
      </w:r>
      <w:r w:rsidRPr="00D219C1">
        <w:rPr>
          <w:noProof/>
        </w:rPr>
        <w:t>2-4</w:t>
      </w:r>
      <w:r w:rsidRPr="00D219C1">
        <w:t xml:space="preserve"> demonstrate spikes in business births and deaths between 2006 and 2011. Whilst a rise in business deaths during this period is also apparent elsewhere due to the economic recession, though less pronounced, the </w:t>
      </w:r>
      <w:r>
        <w:t>simultaneous</w:t>
      </w:r>
      <w:r w:rsidRPr="00D219C1">
        <w:t xml:space="preserve"> increase in business births is unusual. However, it</w:t>
      </w:r>
      <w:r w:rsidRPr="005E3F9F">
        <w:t xml:space="preserve"> appears this has not had a lasting effect</w:t>
      </w:r>
      <w:r w:rsidRPr="00D219C1">
        <w:t xml:space="preserve">, and the most recently available data indicates business survival rates in North East Lincolnshire are low: for example, only 29.5% of businesses started in 2009 survived for three years, compared to 58.4% in North Lincolnshire. </w:t>
      </w:r>
    </w:p>
    <w:p w14:paraId="54B3459F" w14:textId="77777777" w:rsidR="00121516" w:rsidRDefault="00121516" w:rsidP="00121516">
      <w:pPr>
        <w:pStyle w:val="Heading3"/>
        <w:numPr>
          <w:ilvl w:val="0"/>
          <w:numId w:val="0"/>
        </w:numPr>
        <w:ind w:left="1021" w:hanging="1021"/>
        <w:rPr>
          <w:highlight w:val="yellow"/>
        </w:rPr>
      </w:pPr>
    </w:p>
    <w:p w14:paraId="7C82D168" w14:textId="77777777" w:rsidR="00121516" w:rsidRPr="00D219C1" w:rsidRDefault="00121516" w:rsidP="00121516">
      <w:pPr>
        <w:pStyle w:val="Caption"/>
      </w:pPr>
      <w:bookmarkStart w:id="487" w:name="_Ref393464504"/>
      <w:r w:rsidRPr="00D219C1">
        <w:t xml:space="preserve">Figure </w:t>
      </w:r>
      <w:fldSimple w:instr=" STYLEREF 1 \s  \* MERGEFORMAT ">
        <w:r w:rsidR="00E95E1A">
          <w:rPr>
            <w:noProof/>
          </w:rPr>
          <w:t>2</w:t>
        </w:r>
      </w:fldSimple>
      <w:r w:rsidRPr="00D219C1">
        <w:t>-</w:t>
      </w:r>
      <w:fldSimple w:instr=" SEQ Figure \* ARABIC \s 1  \* MERGEFORMAT ">
        <w:r w:rsidR="00E95E1A">
          <w:rPr>
            <w:noProof/>
          </w:rPr>
          <w:t>3</w:t>
        </w:r>
      </w:fldSimple>
      <w:bookmarkEnd w:id="487"/>
      <w:r w:rsidRPr="00D219C1">
        <w:tab/>
        <w:t>Business births as a proportion of active businesses (2004-2012)</w:t>
      </w:r>
      <w:r w:rsidRPr="00D219C1">
        <w:rPr>
          <w:noProof/>
          <w:lang w:eastAsia="en-GB"/>
        </w:rPr>
        <w:drawing>
          <wp:inline distT="0" distB="0" distL="0" distR="0" wp14:anchorId="43CA4ED3" wp14:editId="433ECF9E">
            <wp:extent cx="5414477" cy="2752354"/>
            <wp:effectExtent l="0" t="0" r="0" b="0"/>
            <wp:docPr id="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A86B28" w14:textId="77777777" w:rsidR="00121516" w:rsidRPr="00D219C1" w:rsidRDefault="00121516" w:rsidP="00121516">
      <w:pPr>
        <w:pStyle w:val="TableSource"/>
      </w:pPr>
      <w:r w:rsidRPr="00D219C1">
        <w:t xml:space="preserve">Source: ONS Business Demography 2012. </w:t>
      </w:r>
    </w:p>
    <w:p w14:paraId="7523B86B" w14:textId="77777777" w:rsidR="00121516" w:rsidRPr="00D219C1" w:rsidRDefault="00121516" w:rsidP="00121516">
      <w:pPr>
        <w:pStyle w:val="Caption"/>
      </w:pPr>
      <w:bookmarkStart w:id="488" w:name="_Ref393464747"/>
      <w:r w:rsidRPr="00D219C1">
        <w:t xml:space="preserve">Figure </w:t>
      </w:r>
      <w:fldSimple w:instr=" STYLEREF 1 \s  \* MERGEFORMAT ">
        <w:r w:rsidR="00E95E1A">
          <w:rPr>
            <w:noProof/>
          </w:rPr>
          <w:t>2</w:t>
        </w:r>
      </w:fldSimple>
      <w:r w:rsidRPr="00D219C1">
        <w:t>-</w:t>
      </w:r>
      <w:fldSimple w:instr=" SEQ Figure \* ARABIC \s 1  \* MERGEFORMAT ">
        <w:r w:rsidR="00E95E1A">
          <w:rPr>
            <w:noProof/>
          </w:rPr>
          <w:t>4</w:t>
        </w:r>
      </w:fldSimple>
      <w:bookmarkEnd w:id="488"/>
      <w:r w:rsidRPr="00D219C1">
        <w:tab/>
        <w:t>Business deaths as a proportion of active businesses (2004-2012)</w:t>
      </w:r>
      <w:r w:rsidRPr="00D219C1">
        <w:rPr>
          <w:noProof/>
          <w:lang w:eastAsia="en-GB"/>
        </w:rPr>
        <w:drawing>
          <wp:inline distT="0" distB="0" distL="0" distR="0" wp14:anchorId="5BAFA781" wp14:editId="7CB9E829">
            <wp:extent cx="5414400" cy="2754000"/>
            <wp:effectExtent l="0" t="0" r="0" b="0"/>
            <wp:docPr id="4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666C75F" w14:textId="77777777" w:rsidR="00121516" w:rsidRDefault="00121516" w:rsidP="00121516">
      <w:pPr>
        <w:pStyle w:val="TableSource"/>
      </w:pPr>
      <w:r w:rsidRPr="00D219C1">
        <w:t>Source: ONS Business Demography 2012</w:t>
      </w:r>
      <w:r>
        <w:t xml:space="preserve"> </w:t>
      </w:r>
    </w:p>
    <w:p w14:paraId="5FFB73EE" w14:textId="77777777" w:rsidR="00121516" w:rsidRPr="005E3F9F" w:rsidRDefault="00121516" w:rsidP="00121516"/>
    <w:p w14:paraId="4C9B6B5E" w14:textId="77777777" w:rsidR="00121516" w:rsidRPr="00121516" w:rsidRDefault="00121516" w:rsidP="00121516">
      <w:pPr>
        <w:pStyle w:val="Heading3"/>
      </w:pPr>
      <w:r w:rsidRPr="00121516">
        <w:t>Labour Market</w:t>
      </w:r>
    </w:p>
    <w:p w14:paraId="0172E34C" w14:textId="77777777" w:rsidR="00D13200" w:rsidRDefault="00D13200" w:rsidP="00D13200">
      <w:pPr>
        <w:jc w:val="both"/>
      </w:pPr>
      <w:r w:rsidRPr="00812468">
        <w:t xml:space="preserve">As shown in Table </w:t>
      </w:r>
      <w:r w:rsidRPr="00812468">
        <w:rPr>
          <w:noProof/>
        </w:rPr>
        <w:t>2</w:t>
      </w:r>
      <w:r w:rsidRPr="00812468">
        <w:rPr>
          <w:noProof/>
        </w:rPr>
        <w:noBreakHyphen/>
        <w:t>5</w:t>
      </w:r>
      <w:r>
        <w:t>,</w:t>
      </w:r>
      <w:r w:rsidRPr="00812468">
        <w:t xml:space="preserve"> North East Lincolnshire has a high rate of unemployment at 10.4%, 4 percentage points higher than the </w:t>
      </w:r>
      <w:r w:rsidRPr="00092659">
        <w:t xml:space="preserve">national rate. </w:t>
      </w:r>
      <w:r w:rsidRPr="00D219C1">
        <w:t xml:space="preserve">Figure </w:t>
      </w:r>
      <w:r w:rsidRPr="00D219C1">
        <w:rPr>
          <w:noProof/>
        </w:rPr>
        <w:t>2</w:t>
      </w:r>
      <w:r w:rsidRPr="00D219C1">
        <w:t>-</w:t>
      </w:r>
      <w:r w:rsidRPr="00D219C1">
        <w:rPr>
          <w:noProof/>
        </w:rPr>
        <w:t>5</w:t>
      </w:r>
      <w:r w:rsidRPr="00092659">
        <w:t xml:space="preserve"> shows u</w:t>
      </w:r>
      <w:r w:rsidRPr="00D219C1">
        <w:t>nemployment has been severely affected by the economic recession over recent years. Though unemployment has in fact been rising since as early as 2005, this accelerated with the oncoming of the recession, increasing by 3 percentage point</w:t>
      </w:r>
      <w:r>
        <w:t>s</w:t>
      </w:r>
      <w:r w:rsidRPr="00D219C1">
        <w:t xml:space="preserve"> from 2008 to 2009, and has since been stable at between 11 and 12%.</w:t>
      </w:r>
      <w:r>
        <w:t xml:space="preserve"> </w:t>
      </w:r>
    </w:p>
    <w:p w14:paraId="2F868E89" w14:textId="77777777" w:rsidR="00121516" w:rsidRPr="00D219C1" w:rsidRDefault="00121516" w:rsidP="00121516">
      <w:pPr>
        <w:pStyle w:val="Caption"/>
        <w:jc w:val="both"/>
      </w:pPr>
      <w:bookmarkStart w:id="489" w:name="_Ref393461731"/>
      <w:r w:rsidRPr="00D219C1">
        <w:t xml:space="preserve">Table </w:t>
      </w:r>
      <w:r w:rsidR="00781CD3" w:rsidRPr="00D219C1">
        <w:fldChar w:fldCharType="begin"/>
      </w:r>
      <w:r w:rsidRPr="00D219C1">
        <w:instrText xml:space="preserve"> STYLEREF 1 \s </w:instrText>
      </w:r>
      <w:r w:rsidR="00781CD3" w:rsidRPr="00D219C1">
        <w:fldChar w:fldCharType="separate"/>
      </w:r>
      <w:r w:rsidR="00E95E1A">
        <w:rPr>
          <w:noProof/>
        </w:rPr>
        <w:t>2</w:t>
      </w:r>
      <w:r w:rsidR="00781CD3" w:rsidRPr="00D219C1">
        <w:rPr>
          <w:noProof/>
        </w:rPr>
        <w:fldChar w:fldCharType="end"/>
      </w:r>
      <w:r w:rsidRPr="00D219C1">
        <w:noBreakHyphen/>
      </w:r>
      <w:r w:rsidR="00781CD3" w:rsidRPr="00D219C1">
        <w:fldChar w:fldCharType="begin"/>
      </w:r>
      <w:r w:rsidRPr="00D219C1">
        <w:instrText xml:space="preserve"> SEQ Table \* ARABIC \s 1 </w:instrText>
      </w:r>
      <w:r w:rsidR="00781CD3" w:rsidRPr="00D219C1">
        <w:fldChar w:fldCharType="separate"/>
      </w:r>
      <w:r w:rsidR="00E95E1A">
        <w:rPr>
          <w:noProof/>
        </w:rPr>
        <w:t>5</w:t>
      </w:r>
      <w:r w:rsidR="00781CD3" w:rsidRPr="00D219C1">
        <w:rPr>
          <w:noProof/>
        </w:rPr>
        <w:fldChar w:fldCharType="end"/>
      </w:r>
      <w:bookmarkEnd w:id="489"/>
      <w:r w:rsidRPr="00D219C1">
        <w:tab/>
        <w:t xml:space="preserve">Economic activity in North East Lincolnshire, Apr 2013 – Mar 2014 </w:t>
      </w:r>
    </w:p>
    <w:tbl>
      <w:tblPr>
        <w:tblStyle w:val="Atkins14pt"/>
        <w:tblW w:w="9639" w:type="dxa"/>
        <w:tblLayout w:type="fixed"/>
        <w:tblLook w:val="04A0" w:firstRow="1" w:lastRow="0" w:firstColumn="1" w:lastColumn="0" w:noHBand="0" w:noVBand="1"/>
      </w:tblPr>
      <w:tblGrid>
        <w:gridCol w:w="2552"/>
        <w:gridCol w:w="1771"/>
        <w:gridCol w:w="1772"/>
        <w:gridCol w:w="1772"/>
        <w:gridCol w:w="1772"/>
      </w:tblGrid>
      <w:tr w:rsidR="00121516" w:rsidRPr="00D219C1" w14:paraId="1A6A9491" w14:textId="77777777" w:rsidTr="002D14A9">
        <w:trPr>
          <w:cnfStyle w:val="100000000000" w:firstRow="1" w:lastRow="0" w:firstColumn="0" w:lastColumn="0" w:oddVBand="0" w:evenVBand="0" w:oddHBand="0" w:evenHBand="0" w:firstRowFirstColumn="0" w:firstRowLastColumn="0" w:lastRowFirstColumn="0" w:lastRowLastColumn="0"/>
          <w:trHeight w:val="645"/>
        </w:trPr>
        <w:tc>
          <w:tcPr>
            <w:cnfStyle w:val="001000000100" w:firstRow="0" w:lastRow="0" w:firstColumn="1" w:lastColumn="0" w:oddVBand="0" w:evenVBand="0" w:oddHBand="0" w:evenHBand="0" w:firstRowFirstColumn="1" w:firstRowLastColumn="0" w:lastRowFirstColumn="0" w:lastRowLastColumn="0"/>
            <w:tcW w:w="2552" w:type="dxa"/>
            <w:hideMark/>
          </w:tcPr>
          <w:p w14:paraId="5816F2E3" w14:textId="77777777" w:rsidR="00121516" w:rsidRPr="00D219C1" w:rsidRDefault="00121516" w:rsidP="002D14A9">
            <w:pPr>
              <w:pStyle w:val="TableHeading"/>
              <w:spacing w:before="0" w:after="0"/>
              <w:rPr>
                <w:color w:val="auto"/>
              </w:rPr>
            </w:pPr>
            <w:r w:rsidRPr="00D219C1">
              <w:rPr>
                <w:color w:val="auto"/>
              </w:rPr>
              <w:t> </w:t>
            </w:r>
          </w:p>
        </w:tc>
        <w:tc>
          <w:tcPr>
            <w:tcW w:w="1771" w:type="dxa"/>
            <w:hideMark/>
          </w:tcPr>
          <w:p w14:paraId="0370E0FF" w14:textId="77777777" w:rsidR="00121516" w:rsidRPr="00D219C1" w:rsidRDefault="00121516" w:rsidP="002D14A9">
            <w:pPr>
              <w:pStyle w:val="TableHeading"/>
              <w:spacing w:before="0" w:after="0"/>
              <w:cnfStyle w:val="100000000000" w:firstRow="1" w:lastRow="0" w:firstColumn="0" w:lastColumn="0" w:oddVBand="0" w:evenVBand="0" w:oddHBand="0" w:evenHBand="0" w:firstRowFirstColumn="0" w:firstRowLastColumn="0" w:lastRowFirstColumn="0" w:lastRowLastColumn="0"/>
              <w:rPr>
                <w:color w:val="auto"/>
              </w:rPr>
            </w:pPr>
            <w:r w:rsidRPr="00D219C1">
              <w:rPr>
                <w:color w:val="auto"/>
              </w:rPr>
              <w:t>England (%)</w:t>
            </w:r>
          </w:p>
        </w:tc>
        <w:tc>
          <w:tcPr>
            <w:tcW w:w="1772" w:type="dxa"/>
            <w:noWrap/>
            <w:hideMark/>
          </w:tcPr>
          <w:p w14:paraId="1C744F6F" w14:textId="77777777" w:rsidR="00121516" w:rsidRPr="00D219C1" w:rsidRDefault="00121516" w:rsidP="002D14A9">
            <w:pPr>
              <w:pStyle w:val="TableHeading"/>
              <w:spacing w:before="0" w:after="0"/>
              <w:cnfStyle w:val="100000000000" w:firstRow="1" w:lastRow="0" w:firstColumn="0" w:lastColumn="0" w:oddVBand="0" w:evenVBand="0" w:oddHBand="0" w:evenHBand="0" w:firstRowFirstColumn="0" w:firstRowLastColumn="0" w:lastRowFirstColumn="0" w:lastRowLastColumn="0"/>
              <w:rPr>
                <w:color w:val="auto"/>
              </w:rPr>
            </w:pPr>
            <w:r w:rsidRPr="00D219C1">
              <w:rPr>
                <w:color w:val="auto"/>
              </w:rPr>
              <w:t>North East Lincolnshire (%)</w:t>
            </w:r>
          </w:p>
        </w:tc>
        <w:tc>
          <w:tcPr>
            <w:tcW w:w="1772" w:type="dxa"/>
            <w:hideMark/>
          </w:tcPr>
          <w:p w14:paraId="35182307" w14:textId="77777777" w:rsidR="00121516" w:rsidRPr="00D219C1" w:rsidRDefault="00121516" w:rsidP="002D14A9">
            <w:pPr>
              <w:pStyle w:val="TableHeading"/>
              <w:spacing w:before="0" w:after="0"/>
              <w:cnfStyle w:val="100000000000" w:firstRow="1" w:lastRow="0" w:firstColumn="0" w:lastColumn="0" w:oddVBand="0" w:evenVBand="0" w:oddHBand="0" w:evenHBand="0" w:firstRowFirstColumn="0" w:firstRowLastColumn="0" w:lastRowFirstColumn="0" w:lastRowLastColumn="0"/>
              <w:rPr>
                <w:color w:val="auto"/>
              </w:rPr>
            </w:pPr>
            <w:r w:rsidRPr="00D219C1">
              <w:rPr>
                <w:color w:val="auto"/>
              </w:rPr>
              <w:t>North Lincolnshire (%)</w:t>
            </w:r>
          </w:p>
        </w:tc>
        <w:tc>
          <w:tcPr>
            <w:tcW w:w="1772" w:type="dxa"/>
            <w:hideMark/>
          </w:tcPr>
          <w:p w14:paraId="7A0484E1" w14:textId="77777777" w:rsidR="00121516" w:rsidRPr="00D219C1" w:rsidRDefault="00121516" w:rsidP="002D14A9">
            <w:pPr>
              <w:pStyle w:val="TableHeading"/>
              <w:spacing w:before="0" w:after="0"/>
              <w:cnfStyle w:val="100000000000" w:firstRow="1" w:lastRow="0" w:firstColumn="0" w:lastColumn="0" w:oddVBand="0" w:evenVBand="0" w:oddHBand="0" w:evenHBand="0" w:firstRowFirstColumn="0" w:firstRowLastColumn="0" w:lastRowFirstColumn="0" w:lastRowLastColumn="0"/>
              <w:rPr>
                <w:color w:val="auto"/>
              </w:rPr>
            </w:pPr>
            <w:r w:rsidRPr="00D219C1">
              <w:rPr>
                <w:color w:val="auto"/>
              </w:rPr>
              <w:t>Kingston upon Hull, City of (%)</w:t>
            </w:r>
          </w:p>
        </w:tc>
      </w:tr>
      <w:tr w:rsidR="00121516" w:rsidRPr="00D219C1" w14:paraId="6C874C14" w14:textId="77777777" w:rsidTr="002D14A9">
        <w:trPr>
          <w:trHeight w:val="204"/>
        </w:trPr>
        <w:tc>
          <w:tcPr>
            <w:cnfStyle w:val="001000000000" w:firstRow="0" w:lastRow="0" w:firstColumn="1" w:lastColumn="0" w:oddVBand="0" w:evenVBand="0" w:oddHBand="0" w:evenHBand="0" w:firstRowFirstColumn="0" w:firstRowLastColumn="0" w:lastRowFirstColumn="0" w:lastRowLastColumn="0"/>
            <w:tcW w:w="9639" w:type="dxa"/>
            <w:gridSpan w:val="5"/>
            <w:hideMark/>
          </w:tcPr>
          <w:p w14:paraId="05D236A7" w14:textId="77777777" w:rsidR="00121516" w:rsidRPr="00D219C1" w:rsidRDefault="00121516" w:rsidP="002D14A9">
            <w:pPr>
              <w:pStyle w:val="TableHeading"/>
              <w:spacing w:before="0" w:after="0"/>
              <w:rPr>
                <w:color w:val="auto"/>
              </w:rPr>
            </w:pPr>
            <w:r w:rsidRPr="00D219C1">
              <w:rPr>
                <w:color w:val="auto"/>
              </w:rPr>
              <w:t>All  People</w:t>
            </w:r>
          </w:p>
        </w:tc>
      </w:tr>
      <w:tr w:rsidR="00121516" w:rsidRPr="00D219C1" w14:paraId="2275BDDD" w14:textId="77777777" w:rsidTr="002D14A9">
        <w:trPr>
          <w:trHeight w:val="187"/>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D7E89F0" w14:textId="77777777" w:rsidR="00121516" w:rsidRPr="00D219C1" w:rsidRDefault="00121516" w:rsidP="002D14A9">
            <w:pPr>
              <w:pStyle w:val="TableHeading"/>
              <w:spacing w:before="0" w:after="0"/>
              <w:rPr>
                <w:b w:val="0"/>
                <w:color w:val="auto"/>
              </w:rPr>
            </w:pPr>
            <w:r w:rsidRPr="00D219C1">
              <w:rPr>
                <w:b w:val="0"/>
                <w:color w:val="auto"/>
              </w:rPr>
              <w:t>Economically active</w:t>
            </w:r>
          </w:p>
        </w:tc>
        <w:tc>
          <w:tcPr>
            <w:tcW w:w="1771" w:type="dxa"/>
            <w:hideMark/>
          </w:tcPr>
          <w:p w14:paraId="1A7E7A9B" w14:textId="77777777" w:rsidR="00121516" w:rsidRPr="00D219C1" w:rsidRDefault="00121516" w:rsidP="002D14A9">
            <w:pPr>
              <w:pStyle w:val="TableHeading"/>
              <w:spacing w:before="0" w:after="0"/>
              <w:jc w:val="right"/>
              <w:cnfStyle w:val="000000000000" w:firstRow="0" w:lastRow="0" w:firstColumn="0" w:lastColumn="0" w:oddVBand="0" w:evenVBand="0" w:oddHBand="0" w:evenHBand="0" w:firstRowFirstColumn="0" w:firstRowLastColumn="0" w:lastRowFirstColumn="0" w:lastRowLastColumn="0"/>
              <w:rPr>
                <w:b w:val="0"/>
                <w:color w:val="auto"/>
              </w:rPr>
            </w:pPr>
            <w:r w:rsidRPr="00D219C1">
              <w:rPr>
                <w:b w:val="0"/>
                <w:color w:val="auto"/>
              </w:rPr>
              <w:t>78.6</w:t>
            </w:r>
          </w:p>
        </w:tc>
        <w:tc>
          <w:tcPr>
            <w:tcW w:w="1772" w:type="dxa"/>
            <w:noWrap/>
            <w:hideMark/>
          </w:tcPr>
          <w:p w14:paraId="01324B8D" w14:textId="77777777" w:rsidR="00121516" w:rsidRPr="00D219C1" w:rsidRDefault="00121516" w:rsidP="002D14A9">
            <w:pPr>
              <w:pStyle w:val="TableHeading"/>
              <w:spacing w:before="0" w:after="0"/>
              <w:jc w:val="right"/>
              <w:cnfStyle w:val="000000000000" w:firstRow="0" w:lastRow="0" w:firstColumn="0" w:lastColumn="0" w:oddVBand="0" w:evenVBand="0" w:oddHBand="0" w:evenHBand="0" w:firstRowFirstColumn="0" w:firstRowLastColumn="0" w:lastRowFirstColumn="0" w:lastRowLastColumn="0"/>
              <w:rPr>
                <w:b w:val="0"/>
                <w:color w:val="auto"/>
              </w:rPr>
            </w:pPr>
            <w:r w:rsidRPr="00D219C1">
              <w:rPr>
                <w:b w:val="0"/>
                <w:color w:val="auto"/>
              </w:rPr>
              <w:t>76.5</w:t>
            </w:r>
          </w:p>
        </w:tc>
        <w:tc>
          <w:tcPr>
            <w:tcW w:w="1772" w:type="dxa"/>
            <w:hideMark/>
          </w:tcPr>
          <w:p w14:paraId="01891F64" w14:textId="77777777" w:rsidR="00121516" w:rsidRPr="00D219C1" w:rsidRDefault="00121516" w:rsidP="002D14A9">
            <w:pPr>
              <w:pStyle w:val="TableHeading"/>
              <w:spacing w:before="0" w:after="0"/>
              <w:jc w:val="right"/>
              <w:cnfStyle w:val="000000000000" w:firstRow="0" w:lastRow="0" w:firstColumn="0" w:lastColumn="0" w:oddVBand="0" w:evenVBand="0" w:oddHBand="0" w:evenHBand="0" w:firstRowFirstColumn="0" w:firstRowLastColumn="0" w:lastRowFirstColumn="0" w:lastRowLastColumn="0"/>
              <w:rPr>
                <w:b w:val="0"/>
                <w:color w:val="auto"/>
              </w:rPr>
            </w:pPr>
            <w:r w:rsidRPr="00D219C1">
              <w:rPr>
                <w:b w:val="0"/>
                <w:color w:val="auto"/>
              </w:rPr>
              <w:t>79.3</w:t>
            </w:r>
          </w:p>
        </w:tc>
        <w:tc>
          <w:tcPr>
            <w:tcW w:w="1772" w:type="dxa"/>
            <w:hideMark/>
          </w:tcPr>
          <w:p w14:paraId="0485F788" w14:textId="77777777" w:rsidR="00121516" w:rsidRPr="00D219C1" w:rsidRDefault="00121516" w:rsidP="002D14A9">
            <w:pPr>
              <w:pStyle w:val="TableHeading"/>
              <w:spacing w:before="0" w:after="0"/>
              <w:jc w:val="right"/>
              <w:cnfStyle w:val="000000000000" w:firstRow="0" w:lastRow="0" w:firstColumn="0" w:lastColumn="0" w:oddVBand="0" w:evenVBand="0" w:oddHBand="0" w:evenHBand="0" w:firstRowFirstColumn="0" w:firstRowLastColumn="0" w:lastRowFirstColumn="0" w:lastRowLastColumn="0"/>
              <w:rPr>
                <w:b w:val="0"/>
                <w:color w:val="auto"/>
              </w:rPr>
            </w:pPr>
            <w:r w:rsidRPr="00D219C1">
              <w:rPr>
                <w:b w:val="0"/>
                <w:color w:val="auto"/>
              </w:rPr>
              <w:t>73.7</w:t>
            </w:r>
          </w:p>
        </w:tc>
      </w:tr>
      <w:tr w:rsidR="00121516" w:rsidRPr="00D219C1" w14:paraId="2F40C135" w14:textId="77777777" w:rsidTr="002D14A9">
        <w:trPr>
          <w:trHeight w:val="27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A017AE3" w14:textId="77777777" w:rsidR="00121516" w:rsidRPr="00D219C1" w:rsidRDefault="00121516" w:rsidP="002D14A9">
            <w:pPr>
              <w:pStyle w:val="TableHeading"/>
              <w:spacing w:before="0" w:after="0"/>
              <w:rPr>
                <w:b w:val="0"/>
                <w:color w:val="auto"/>
              </w:rPr>
            </w:pPr>
            <w:r w:rsidRPr="00D219C1">
              <w:rPr>
                <w:b w:val="0"/>
                <w:color w:val="auto"/>
              </w:rPr>
              <w:t>In employment</w:t>
            </w:r>
          </w:p>
        </w:tc>
        <w:tc>
          <w:tcPr>
            <w:tcW w:w="1771" w:type="dxa"/>
            <w:hideMark/>
          </w:tcPr>
          <w:p w14:paraId="45D4084B" w14:textId="77777777" w:rsidR="00121516" w:rsidRPr="00D219C1" w:rsidRDefault="00121516" w:rsidP="002D14A9">
            <w:pPr>
              <w:pStyle w:val="TableHeading"/>
              <w:spacing w:before="0" w:after="0"/>
              <w:jc w:val="right"/>
              <w:cnfStyle w:val="000000000000" w:firstRow="0" w:lastRow="0" w:firstColumn="0" w:lastColumn="0" w:oddVBand="0" w:evenVBand="0" w:oddHBand="0" w:evenHBand="0" w:firstRowFirstColumn="0" w:firstRowLastColumn="0" w:lastRowFirstColumn="0" w:lastRowLastColumn="0"/>
              <w:rPr>
                <w:b w:val="0"/>
                <w:color w:val="auto"/>
              </w:rPr>
            </w:pPr>
            <w:r w:rsidRPr="00D219C1">
              <w:rPr>
                <w:b w:val="0"/>
                <w:color w:val="auto"/>
              </w:rPr>
              <w:t>73.5</w:t>
            </w:r>
          </w:p>
        </w:tc>
        <w:tc>
          <w:tcPr>
            <w:tcW w:w="1772" w:type="dxa"/>
            <w:noWrap/>
            <w:hideMark/>
          </w:tcPr>
          <w:p w14:paraId="724EF711" w14:textId="77777777" w:rsidR="00121516" w:rsidRPr="00D219C1" w:rsidRDefault="00121516" w:rsidP="002D14A9">
            <w:pPr>
              <w:pStyle w:val="TableHeading"/>
              <w:spacing w:before="0" w:after="0"/>
              <w:jc w:val="right"/>
              <w:cnfStyle w:val="000000000000" w:firstRow="0" w:lastRow="0" w:firstColumn="0" w:lastColumn="0" w:oddVBand="0" w:evenVBand="0" w:oddHBand="0" w:evenHBand="0" w:firstRowFirstColumn="0" w:firstRowLastColumn="0" w:lastRowFirstColumn="0" w:lastRowLastColumn="0"/>
              <w:rPr>
                <w:b w:val="0"/>
                <w:color w:val="auto"/>
              </w:rPr>
            </w:pPr>
            <w:r w:rsidRPr="00D219C1">
              <w:rPr>
                <w:b w:val="0"/>
                <w:color w:val="auto"/>
              </w:rPr>
              <w:t>68.6</w:t>
            </w:r>
          </w:p>
        </w:tc>
        <w:tc>
          <w:tcPr>
            <w:tcW w:w="1772" w:type="dxa"/>
            <w:hideMark/>
          </w:tcPr>
          <w:p w14:paraId="5A692E80" w14:textId="77777777" w:rsidR="00121516" w:rsidRPr="00D219C1" w:rsidRDefault="00121516" w:rsidP="002D14A9">
            <w:pPr>
              <w:pStyle w:val="TableHeading"/>
              <w:spacing w:before="0" w:after="0"/>
              <w:jc w:val="right"/>
              <w:cnfStyle w:val="000000000000" w:firstRow="0" w:lastRow="0" w:firstColumn="0" w:lastColumn="0" w:oddVBand="0" w:evenVBand="0" w:oddHBand="0" w:evenHBand="0" w:firstRowFirstColumn="0" w:firstRowLastColumn="0" w:lastRowFirstColumn="0" w:lastRowLastColumn="0"/>
              <w:rPr>
                <w:b w:val="0"/>
                <w:color w:val="auto"/>
              </w:rPr>
            </w:pPr>
            <w:r w:rsidRPr="00D219C1">
              <w:rPr>
                <w:b w:val="0"/>
                <w:color w:val="auto"/>
              </w:rPr>
              <w:t>74.3</w:t>
            </w:r>
          </w:p>
        </w:tc>
        <w:tc>
          <w:tcPr>
            <w:tcW w:w="1772" w:type="dxa"/>
            <w:hideMark/>
          </w:tcPr>
          <w:p w14:paraId="1029D0ED" w14:textId="77777777" w:rsidR="00121516" w:rsidRPr="00D219C1" w:rsidRDefault="00121516" w:rsidP="002D14A9">
            <w:pPr>
              <w:pStyle w:val="TableHeading"/>
              <w:spacing w:before="0" w:after="0"/>
              <w:jc w:val="right"/>
              <w:cnfStyle w:val="000000000000" w:firstRow="0" w:lastRow="0" w:firstColumn="0" w:lastColumn="0" w:oddVBand="0" w:evenVBand="0" w:oddHBand="0" w:evenHBand="0" w:firstRowFirstColumn="0" w:firstRowLastColumn="0" w:lastRowFirstColumn="0" w:lastRowLastColumn="0"/>
              <w:rPr>
                <w:b w:val="0"/>
                <w:color w:val="auto"/>
              </w:rPr>
            </w:pPr>
            <w:r w:rsidRPr="00D219C1">
              <w:rPr>
                <w:b w:val="0"/>
                <w:color w:val="auto"/>
              </w:rPr>
              <w:t>63.3</w:t>
            </w:r>
          </w:p>
        </w:tc>
      </w:tr>
      <w:tr w:rsidR="00121516" w:rsidRPr="00D219C1" w14:paraId="4F0F925D" w14:textId="77777777" w:rsidTr="002D14A9">
        <w:trPr>
          <w:trHeight w:val="27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240CF11" w14:textId="77777777" w:rsidR="00121516" w:rsidRPr="00D219C1" w:rsidRDefault="00121516" w:rsidP="002D14A9">
            <w:pPr>
              <w:pStyle w:val="TableHeading"/>
              <w:spacing w:before="0" w:after="0"/>
              <w:rPr>
                <w:b w:val="0"/>
                <w:color w:val="auto"/>
              </w:rPr>
            </w:pPr>
            <w:r w:rsidRPr="00D219C1">
              <w:rPr>
                <w:b w:val="0"/>
                <w:color w:val="auto"/>
              </w:rPr>
              <w:t>Unemployed</w:t>
            </w:r>
          </w:p>
        </w:tc>
        <w:tc>
          <w:tcPr>
            <w:tcW w:w="1771" w:type="dxa"/>
            <w:hideMark/>
          </w:tcPr>
          <w:p w14:paraId="6B549D95" w14:textId="77777777" w:rsidR="00121516" w:rsidRPr="00D219C1" w:rsidRDefault="00121516" w:rsidP="002D14A9">
            <w:pPr>
              <w:pStyle w:val="TableHeading"/>
              <w:spacing w:before="0" w:after="0"/>
              <w:jc w:val="right"/>
              <w:cnfStyle w:val="000000000000" w:firstRow="0" w:lastRow="0" w:firstColumn="0" w:lastColumn="0" w:oddVBand="0" w:evenVBand="0" w:oddHBand="0" w:evenHBand="0" w:firstRowFirstColumn="0" w:firstRowLastColumn="0" w:lastRowFirstColumn="0" w:lastRowLastColumn="0"/>
              <w:rPr>
                <w:b w:val="0"/>
                <w:color w:val="auto"/>
              </w:rPr>
            </w:pPr>
            <w:r w:rsidRPr="00D219C1">
              <w:rPr>
                <w:b w:val="0"/>
                <w:color w:val="auto"/>
              </w:rPr>
              <w:t>6.4</w:t>
            </w:r>
          </w:p>
        </w:tc>
        <w:tc>
          <w:tcPr>
            <w:tcW w:w="1772" w:type="dxa"/>
            <w:noWrap/>
            <w:hideMark/>
          </w:tcPr>
          <w:p w14:paraId="282E583D" w14:textId="77777777" w:rsidR="00121516" w:rsidRPr="00D219C1" w:rsidRDefault="00121516" w:rsidP="002D14A9">
            <w:pPr>
              <w:pStyle w:val="TableHeading"/>
              <w:spacing w:before="0" w:after="0"/>
              <w:jc w:val="right"/>
              <w:cnfStyle w:val="000000000000" w:firstRow="0" w:lastRow="0" w:firstColumn="0" w:lastColumn="0" w:oddVBand="0" w:evenVBand="0" w:oddHBand="0" w:evenHBand="0" w:firstRowFirstColumn="0" w:firstRowLastColumn="0" w:lastRowFirstColumn="0" w:lastRowLastColumn="0"/>
              <w:rPr>
                <w:b w:val="0"/>
                <w:color w:val="auto"/>
              </w:rPr>
            </w:pPr>
            <w:r w:rsidRPr="00D219C1">
              <w:rPr>
                <w:b w:val="0"/>
                <w:color w:val="auto"/>
              </w:rPr>
              <w:t>10.4</w:t>
            </w:r>
          </w:p>
        </w:tc>
        <w:tc>
          <w:tcPr>
            <w:tcW w:w="1772" w:type="dxa"/>
            <w:hideMark/>
          </w:tcPr>
          <w:p w14:paraId="14FBE06C" w14:textId="77777777" w:rsidR="00121516" w:rsidRPr="00D219C1" w:rsidRDefault="00121516" w:rsidP="002D14A9">
            <w:pPr>
              <w:pStyle w:val="TableHeading"/>
              <w:spacing w:before="0" w:after="0"/>
              <w:jc w:val="right"/>
              <w:cnfStyle w:val="000000000000" w:firstRow="0" w:lastRow="0" w:firstColumn="0" w:lastColumn="0" w:oddVBand="0" w:evenVBand="0" w:oddHBand="0" w:evenHBand="0" w:firstRowFirstColumn="0" w:firstRowLastColumn="0" w:lastRowFirstColumn="0" w:lastRowLastColumn="0"/>
              <w:rPr>
                <w:b w:val="0"/>
                <w:color w:val="auto"/>
              </w:rPr>
            </w:pPr>
            <w:r w:rsidRPr="00D219C1">
              <w:rPr>
                <w:b w:val="0"/>
                <w:color w:val="auto"/>
              </w:rPr>
              <w:t>7.3</w:t>
            </w:r>
          </w:p>
        </w:tc>
        <w:tc>
          <w:tcPr>
            <w:tcW w:w="1772" w:type="dxa"/>
            <w:hideMark/>
          </w:tcPr>
          <w:p w14:paraId="1DDD54EC" w14:textId="77777777" w:rsidR="00121516" w:rsidRPr="00D219C1" w:rsidRDefault="00121516" w:rsidP="002D14A9">
            <w:pPr>
              <w:pStyle w:val="TableHeading"/>
              <w:spacing w:before="0" w:after="0"/>
              <w:jc w:val="right"/>
              <w:cnfStyle w:val="000000000000" w:firstRow="0" w:lastRow="0" w:firstColumn="0" w:lastColumn="0" w:oddVBand="0" w:evenVBand="0" w:oddHBand="0" w:evenHBand="0" w:firstRowFirstColumn="0" w:firstRowLastColumn="0" w:lastRowFirstColumn="0" w:lastRowLastColumn="0"/>
              <w:rPr>
                <w:b w:val="0"/>
                <w:color w:val="auto"/>
              </w:rPr>
            </w:pPr>
            <w:r w:rsidRPr="00D219C1">
              <w:rPr>
                <w:b w:val="0"/>
                <w:color w:val="auto"/>
              </w:rPr>
              <w:t>13.5</w:t>
            </w:r>
          </w:p>
        </w:tc>
      </w:tr>
      <w:tr w:rsidR="00121516" w:rsidRPr="00D219C1" w14:paraId="321AC86F" w14:textId="77777777" w:rsidTr="002D14A9">
        <w:trPr>
          <w:trHeight w:val="365"/>
        </w:trPr>
        <w:tc>
          <w:tcPr>
            <w:cnfStyle w:val="001000000000" w:firstRow="0" w:lastRow="0" w:firstColumn="1" w:lastColumn="0" w:oddVBand="0" w:evenVBand="0" w:oddHBand="0" w:evenHBand="0" w:firstRowFirstColumn="0" w:firstRowLastColumn="0" w:lastRowFirstColumn="0" w:lastRowLastColumn="0"/>
            <w:tcW w:w="2552" w:type="dxa"/>
            <w:shd w:val="clear" w:color="auto" w:fill="E6E4DE" w:themeFill="accent6"/>
            <w:noWrap/>
            <w:hideMark/>
          </w:tcPr>
          <w:p w14:paraId="236ECF35" w14:textId="77777777" w:rsidR="00121516" w:rsidRPr="00D219C1" w:rsidRDefault="00121516" w:rsidP="002D14A9">
            <w:pPr>
              <w:pStyle w:val="TableHeading"/>
              <w:spacing w:before="0" w:after="0"/>
              <w:rPr>
                <w:color w:val="auto"/>
              </w:rPr>
            </w:pPr>
            <w:r w:rsidRPr="00D219C1">
              <w:rPr>
                <w:color w:val="auto"/>
              </w:rPr>
              <w:t>Job Density</w:t>
            </w:r>
          </w:p>
        </w:tc>
        <w:tc>
          <w:tcPr>
            <w:tcW w:w="1771" w:type="dxa"/>
            <w:shd w:val="clear" w:color="auto" w:fill="E6E4DE" w:themeFill="accent6"/>
            <w:hideMark/>
          </w:tcPr>
          <w:p w14:paraId="6D0FDA6D"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lang w:eastAsia="ko-KR"/>
              </w:rPr>
            </w:pPr>
            <w:r w:rsidRPr="00D219C1">
              <w:rPr>
                <w:color w:val="auto"/>
                <w:lang w:eastAsia="ko-KR"/>
              </w:rPr>
              <w:t>0.79</w:t>
            </w:r>
          </w:p>
        </w:tc>
        <w:tc>
          <w:tcPr>
            <w:tcW w:w="1772" w:type="dxa"/>
            <w:shd w:val="clear" w:color="auto" w:fill="E6E4DE" w:themeFill="accent6"/>
            <w:noWrap/>
            <w:hideMark/>
          </w:tcPr>
          <w:p w14:paraId="143B6DF4"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lang w:eastAsia="ko-KR"/>
              </w:rPr>
            </w:pPr>
            <w:r w:rsidRPr="00D219C1">
              <w:rPr>
                <w:color w:val="auto"/>
                <w:lang w:eastAsia="ko-KR"/>
              </w:rPr>
              <w:t>0.7</w:t>
            </w:r>
          </w:p>
        </w:tc>
        <w:tc>
          <w:tcPr>
            <w:tcW w:w="1772" w:type="dxa"/>
            <w:shd w:val="clear" w:color="auto" w:fill="E6E4DE" w:themeFill="accent6"/>
            <w:hideMark/>
          </w:tcPr>
          <w:p w14:paraId="46F5E1E9"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lang w:eastAsia="ko-KR"/>
              </w:rPr>
            </w:pPr>
            <w:r w:rsidRPr="00D219C1">
              <w:rPr>
                <w:color w:val="auto"/>
                <w:lang w:eastAsia="ko-KR"/>
              </w:rPr>
              <w:t>0.7</w:t>
            </w:r>
          </w:p>
        </w:tc>
        <w:tc>
          <w:tcPr>
            <w:tcW w:w="1772" w:type="dxa"/>
            <w:shd w:val="clear" w:color="auto" w:fill="E6E4DE" w:themeFill="accent6"/>
            <w:hideMark/>
          </w:tcPr>
          <w:p w14:paraId="61E8914B"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lang w:eastAsia="ko-KR"/>
              </w:rPr>
            </w:pPr>
            <w:r w:rsidRPr="00D219C1">
              <w:rPr>
                <w:color w:val="auto"/>
                <w:lang w:eastAsia="ko-KR"/>
              </w:rPr>
              <w:t>0.73</w:t>
            </w:r>
          </w:p>
        </w:tc>
      </w:tr>
    </w:tbl>
    <w:p w14:paraId="48880A2A" w14:textId="77777777" w:rsidR="00121516" w:rsidRDefault="00121516" w:rsidP="00121516">
      <w:pPr>
        <w:pStyle w:val="TableSource"/>
        <w:jc w:val="both"/>
      </w:pPr>
      <w:r w:rsidRPr="00D219C1">
        <w:t>Source: ONS Annual Population Survey. % of those aged 16-64. Percentages are the proportion of economically active population.</w:t>
      </w:r>
      <w:r>
        <w:t xml:space="preserve"> </w:t>
      </w:r>
    </w:p>
    <w:p w14:paraId="25FABDCF" w14:textId="77777777" w:rsidR="00D13200" w:rsidRDefault="00D13200">
      <w:pPr>
        <w:spacing w:after="200" w:line="276" w:lineRule="auto"/>
        <w:rPr>
          <w:b/>
        </w:rPr>
      </w:pPr>
      <w:bookmarkStart w:id="490" w:name="_Ref393705149"/>
      <w:r>
        <w:br w:type="page"/>
      </w:r>
    </w:p>
    <w:p w14:paraId="1F506BCB" w14:textId="77777777" w:rsidR="00121516" w:rsidRPr="00D219C1" w:rsidRDefault="00121516" w:rsidP="00121516">
      <w:pPr>
        <w:pStyle w:val="FigureTitle"/>
        <w:numPr>
          <w:ilvl w:val="0"/>
          <w:numId w:val="0"/>
        </w:numPr>
        <w:ind w:left="360" w:hanging="360"/>
        <w:jc w:val="both"/>
      </w:pPr>
      <w:r w:rsidRPr="00D219C1">
        <w:t xml:space="preserve">Figure </w:t>
      </w:r>
      <w:fldSimple w:instr=" STYLEREF 1 \s  \* MERGEFORMAT ">
        <w:r w:rsidR="00E95E1A">
          <w:rPr>
            <w:noProof/>
          </w:rPr>
          <w:t>2</w:t>
        </w:r>
      </w:fldSimple>
      <w:r w:rsidRPr="00D219C1">
        <w:t>-</w:t>
      </w:r>
      <w:fldSimple w:instr=" SEQ Figure \* ARABIC \s 1  \* MERGEFORMAT ">
        <w:r w:rsidR="00E95E1A">
          <w:rPr>
            <w:noProof/>
          </w:rPr>
          <w:t>5</w:t>
        </w:r>
      </w:fldSimple>
      <w:bookmarkEnd w:id="490"/>
      <w:r w:rsidR="00D13200">
        <w:tab/>
        <w:t>Unemployment R</w:t>
      </w:r>
      <w:r w:rsidRPr="00D219C1">
        <w:t xml:space="preserve">ate, 2005-2013 </w:t>
      </w:r>
    </w:p>
    <w:p w14:paraId="6B440A0F" w14:textId="77777777" w:rsidR="00121516" w:rsidRPr="00D87BBE" w:rsidRDefault="00121516" w:rsidP="00121516">
      <w:pPr>
        <w:rPr>
          <w:highlight w:val="yellow"/>
        </w:rPr>
      </w:pPr>
      <w:r w:rsidRPr="00D219C1">
        <w:rPr>
          <w:noProof/>
          <w:highlight w:val="yellow"/>
          <w:lang w:eastAsia="en-GB"/>
        </w:rPr>
        <w:drawing>
          <wp:inline distT="0" distB="0" distL="0" distR="0" wp14:anchorId="030C671B" wp14:editId="0DDC342E">
            <wp:extent cx="5581291" cy="2475230"/>
            <wp:effectExtent l="0" t="0" r="0" b="0"/>
            <wp:docPr id="50"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42CDF2" w14:textId="77777777" w:rsidR="00121516" w:rsidRDefault="00121516" w:rsidP="00121516">
      <w:pPr>
        <w:pStyle w:val="TableSource"/>
      </w:pPr>
      <w:r w:rsidRPr="00D219C1">
        <w:t>Source: Annual Population Survey</w:t>
      </w:r>
    </w:p>
    <w:p w14:paraId="19E3975B" w14:textId="77777777" w:rsidR="00121516" w:rsidRPr="00D219C1" w:rsidRDefault="00121516" w:rsidP="00121516">
      <w:pPr>
        <w:jc w:val="both"/>
      </w:pPr>
      <w:r w:rsidRPr="00D219C1">
        <w:t>In 2013 just over 25% of North East Lincolnshire’s residents were employed in</w:t>
      </w:r>
      <w:r w:rsidR="00EB37E6">
        <w:t xml:space="preserve"> the</w:t>
      </w:r>
      <w:r w:rsidRPr="00D219C1">
        <w:t xml:space="preserve"> three upper tier occupational groups </w:t>
      </w:r>
      <w:r w:rsidR="00EB37E6">
        <w:t>including</w:t>
      </w:r>
      <w:r w:rsidRPr="00D219C1">
        <w:t xml:space="preserve"> managers, professionals and associate professional</w:t>
      </w:r>
      <w:r w:rsidR="00EB37E6">
        <w:t>s</w:t>
      </w:r>
      <w:r w:rsidRPr="00D219C1">
        <w:t xml:space="preserve"> (Table </w:t>
      </w:r>
      <w:r w:rsidRPr="00D219C1">
        <w:rPr>
          <w:noProof/>
        </w:rPr>
        <w:t>2</w:t>
      </w:r>
      <w:r w:rsidRPr="00D219C1">
        <w:rPr>
          <w:noProof/>
        </w:rPr>
        <w:noBreakHyphen/>
        <w:t>6</w:t>
      </w:r>
      <w:r w:rsidRPr="00D219C1">
        <w:t>).</w:t>
      </w:r>
      <w:r>
        <w:t xml:space="preserve"> The disparity is particularly pronounced in professional and associate professional and technical occupations.</w:t>
      </w:r>
      <w:r w:rsidRPr="00D219C1">
        <w:t xml:space="preserve"> This is lower than North Lincolnshire (33.4%) and Hull (30.9%) and much lower than the </w:t>
      </w:r>
      <w:r w:rsidR="00EB37E6">
        <w:t>England average</w:t>
      </w:r>
      <w:r w:rsidRPr="00D219C1">
        <w:t xml:space="preserve"> (44.7%). </w:t>
      </w:r>
    </w:p>
    <w:p w14:paraId="4B323AC0" w14:textId="77777777" w:rsidR="00121516" w:rsidRPr="00D219C1" w:rsidRDefault="00121516" w:rsidP="00121516">
      <w:pPr>
        <w:pStyle w:val="Caption"/>
      </w:pPr>
      <w:bookmarkStart w:id="491" w:name="_Ref393793754"/>
      <w:r w:rsidRPr="00D219C1">
        <w:t xml:space="preserve">Table </w:t>
      </w:r>
      <w:r w:rsidR="00781CD3" w:rsidRPr="00D219C1">
        <w:fldChar w:fldCharType="begin"/>
      </w:r>
      <w:r w:rsidRPr="00D219C1">
        <w:instrText xml:space="preserve"> STYLEREF 1 \s </w:instrText>
      </w:r>
      <w:r w:rsidR="00781CD3" w:rsidRPr="00D219C1">
        <w:fldChar w:fldCharType="separate"/>
      </w:r>
      <w:r w:rsidR="00E95E1A">
        <w:rPr>
          <w:noProof/>
        </w:rPr>
        <w:t>2</w:t>
      </w:r>
      <w:r w:rsidR="00781CD3" w:rsidRPr="00D219C1">
        <w:rPr>
          <w:noProof/>
        </w:rPr>
        <w:fldChar w:fldCharType="end"/>
      </w:r>
      <w:r w:rsidRPr="00D219C1">
        <w:noBreakHyphen/>
      </w:r>
      <w:r w:rsidR="00781CD3" w:rsidRPr="00D219C1">
        <w:fldChar w:fldCharType="begin"/>
      </w:r>
      <w:r w:rsidRPr="00D219C1">
        <w:instrText xml:space="preserve"> SEQ Table \* ARABIC \s 1 </w:instrText>
      </w:r>
      <w:r w:rsidR="00781CD3" w:rsidRPr="00D219C1">
        <w:fldChar w:fldCharType="separate"/>
      </w:r>
      <w:r w:rsidR="00E95E1A">
        <w:rPr>
          <w:noProof/>
        </w:rPr>
        <w:t>6</w:t>
      </w:r>
      <w:r w:rsidR="00781CD3" w:rsidRPr="00D219C1">
        <w:rPr>
          <w:noProof/>
        </w:rPr>
        <w:fldChar w:fldCharType="end"/>
      </w:r>
      <w:bookmarkEnd w:id="491"/>
      <w:r w:rsidRPr="00D219C1">
        <w:tab/>
        <w:t>Employment by Occupation (2013)</w:t>
      </w:r>
    </w:p>
    <w:tbl>
      <w:tblPr>
        <w:tblStyle w:val="Atkins14pt"/>
        <w:tblW w:w="9235" w:type="dxa"/>
        <w:tblLayout w:type="fixed"/>
        <w:tblLook w:val="04A0" w:firstRow="1" w:lastRow="0" w:firstColumn="1" w:lastColumn="0" w:noHBand="0" w:noVBand="1"/>
      </w:tblPr>
      <w:tblGrid>
        <w:gridCol w:w="4678"/>
        <w:gridCol w:w="1139"/>
        <w:gridCol w:w="1139"/>
        <w:gridCol w:w="1139"/>
        <w:gridCol w:w="1140"/>
      </w:tblGrid>
      <w:tr w:rsidR="00121516" w:rsidRPr="00D219C1" w14:paraId="571E819F" w14:textId="77777777" w:rsidTr="002D14A9">
        <w:trPr>
          <w:cnfStyle w:val="100000000000" w:firstRow="1" w:lastRow="0" w:firstColumn="0" w:lastColumn="0" w:oddVBand="0" w:evenVBand="0" w:oddHBand="0" w:evenHBand="0" w:firstRowFirstColumn="0" w:firstRowLastColumn="0" w:lastRowFirstColumn="0" w:lastRowLastColumn="0"/>
          <w:trHeight w:val="545"/>
        </w:trPr>
        <w:tc>
          <w:tcPr>
            <w:cnfStyle w:val="001000000100" w:firstRow="0" w:lastRow="0" w:firstColumn="1" w:lastColumn="0" w:oddVBand="0" w:evenVBand="0" w:oddHBand="0" w:evenHBand="0" w:firstRowFirstColumn="1" w:firstRowLastColumn="0" w:lastRowFirstColumn="0" w:lastRowLastColumn="0"/>
            <w:tcW w:w="4678" w:type="dxa"/>
            <w:noWrap/>
            <w:hideMark/>
          </w:tcPr>
          <w:p w14:paraId="6104B688" w14:textId="77777777" w:rsidR="00121516" w:rsidRPr="00D219C1" w:rsidRDefault="00121516" w:rsidP="002D14A9">
            <w:pPr>
              <w:spacing w:after="0"/>
              <w:rPr>
                <w:rFonts w:eastAsia="Times New Roman"/>
                <w:color w:val="auto"/>
              </w:rPr>
            </w:pPr>
            <w:r w:rsidRPr="00D219C1">
              <w:rPr>
                <w:rFonts w:eastAsia="Times New Roman"/>
                <w:color w:val="auto"/>
              </w:rPr>
              <w:t>Occupations</w:t>
            </w:r>
          </w:p>
        </w:tc>
        <w:tc>
          <w:tcPr>
            <w:tcW w:w="1139" w:type="dxa"/>
            <w:hideMark/>
          </w:tcPr>
          <w:p w14:paraId="0CDB76FF" w14:textId="77777777" w:rsidR="00121516" w:rsidRPr="00D219C1" w:rsidRDefault="00121516" w:rsidP="002D14A9">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bCs/>
                <w:color w:val="auto"/>
                <w:sz w:val="18"/>
              </w:rPr>
            </w:pPr>
            <w:r w:rsidRPr="00D219C1">
              <w:rPr>
                <w:rFonts w:eastAsia="Times New Roman"/>
                <w:bCs/>
                <w:color w:val="auto"/>
                <w:sz w:val="18"/>
              </w:rPr>
              <w:t>North East Lincolnshire</w:t>
            </w:r>
          </w:p>
        </w:tc>
        <w:tc>
          <w:tcPr>
            <w:tcW w:w="1139" w:type="dxa"/>
          </w:tcPr>
          <w:p w14:paraId="5A70C437" w14:textId="77777777" w:rsidR="00121516" w:rsidRPr="00D219C1" w:rsidRDefault="00121516" w:rsidP="002D14A9">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bCs/>
                <w:color w:val="auto"/>
                <w:sz w:val="18"/>
              </w:rPr>
            </w:pPr>
            <w:r w:rsidRPr="00D219C1">
              <w:rPr>
                <w:rFonts w:eastAsia="Times New Roman"/>
                <w:bCs/>
                <w:color w:val="auto"/>
                <w:sz w:val="18"/>
              </w:rPr>
              <w:t>North Lincolnshire</w:t>
            </w:r>
          </w:p>
        </w:tc>
        <w:tc>
          <w:tcPr>
            <w:tcW w:w="1139" w:type="dxa"/>
          </w:tcPr>
          <w:p w14:paraId="332458EF" w14:textId="77777777" w:rsidR="00121516" w:rsidRPr="00D219C1" w:rsidRDefault="00121516" w:rsidP="002D14A9">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bCs/>
                <w:color w:val="auto"/>
                <w:sz w:val="18"/>
              </w:rPr>
            </w:pPr>
            <w:r w:rsidRPr="00D219C1">
              <w:rPr>
                <w:rFonts w:eastAsia="Times New Roman"/>
                <w:bCs/>
                <w:color w:val="auto"/>
                <w:sz w:val="18"/>
              </w:rPr>
              <w:t>Kingston upon Hull</w:t>
            </w:r>
          </w:p>
        </w:tc>
        <w:tc>
          <w:tcPr>
            <w:tcW w:w="1140" w:type="dxa"/>
          </w:tcPr>
          <w:p w14:paraId="14749255" w14:textId="77777777" w:rsidR="00121516" w:rsidRPr="00D219C1" w:rsidRDefault="00121516" w:rsidP="002D14A9">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bCs/>
                <w:color w:val="auto"/>
                <w:sz w:val="18"/>
              </w:rPr>
            </w:pPr>
            <w:r w:rsidRPr="00D219C1">
              <w:rPr>
                <w:rFonts w:eastAsia="Times New Roman"/>
                <w:bCs/>
                <w:color w:val="auto"/>
                <w:sz w:val="18"/>
              </w:rPr>
              <w:t>England</w:t>
            </w:r>
          </w:p>
        </w:tc>
      </w:tr>
      <w:tr w:rsidR="00121516" w:rsidRPr="00D219C1" w14:paraId="295ABA1E" w14:textId="77777777" w:rsidTr="002D14A9">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485F9A30" w14:textId="77777777" w:rsidR="00121516" w:rsidRPr="00D219C1" w:rsidRDefault="00121516" w:rsidP="002D14A9">
            <w:pPr>
              <w:spacing w:after="0"/>
              <w:rPr>
                <w:rFonts w:eastAsia="Times New Roman"/>
                <w:color w:val="auto"/>
              </w:rPr>
            </w:pPr>
            <w:r w:rsidRPr="00D219C1">
              <w:rPr>
                <w:rFonts w:eastAsia="Times New Roman"/>
                <w:color w:val="auto"/>
              </w:rPr>
              <w:t xml:space="preserve">1: Managers, directors and senior officials </w:t>
            </w:r>
          </w:p>
        </w:tc>
        <w:tc>
          <w:tcPr>
            <w:tcW w:w="1139" w:type="dxa"/>
            <w:noWrap/>
            <w:hideMark/>
          </w:tcPr>
          <w:p w14:paraId="16AAECB8"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D219C1">
              <w:rPr>
                <w:rFonts w:eastAsia="Times New Roman"/>
                <w:color w:val="auto"/>
              </w:rPr>
              <w:t>7.7</w:t>
            </w:r>
          </w:p>
        </w:tc>
        <w:tc>
          <w:tcPr>
            <w:tcW w:w="1139" w:type="dxa"/>
          </w:tcPr>
          <w:p w14:paraId="36481B0C"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10.4</w:t>
            </w:r>
          </w:p>
        </w:tc>
        <w:tc>
          <w:tcPr>
            <w:tcW w:w="1139" w:type="dxa"/>
          </w:tcPr>
          <w:p w14:paraId="07426ACA"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6.7</w:t>
            </w:r>
          </w:p>
        </w:tc>
        <w:tc>
          <w:tcPr>
            <w:tcW w:w="1140" w:type="dxa"/>
          </w:tcPr>
          <w:p w14:paraId="1A07692E"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10.5</w:t>
            </w:r>
          </w:p>
        </w:tc>
      </w:tr>
      <w:tr w:rsidR="00121516" w:rsidRPr="00D219C1" w14:paraId="4303BB9A" w14:textId="77777777" w:rsidTr="002D14A9">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18A2D16A" w14:textId="77777777" w:rsidR="00121516" w:rsidRPr="00D219C1" w:rsidRDefault="00121516" w:rsidP="002D14A9">
            <w:pPr>
              <w:spacing w:after="0"/>
              <w:rPr>
                <w:rFonts w:eastAsia="Times New Roman"/>
                <w:color w:val="auto"/>
              </w:rPr>
            </w:pPr>
            <w:r w:rsidRPr="00D219C1">
              <w:rPr>
                <w:rFonts w:eastAsia="Times New Roman"/>
                <w:color w:val="auto"/>
              </w:rPr>
              <w:t xml:space="preserve">2: Professional occupations </w:t>
            </w:r>
          </w:p>
        </w:tc>
        <w:tc>
          <w:tcPr>
            <w:tcW w:w="1139" w:type="dxa"/>
            <w:noWrap/>
            <w:hideMark/>
          </w:tcPr>
          <w:p w14:paraId="3948920B"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D219C1">
              <w:rPr>
                <w:rFonts w:eastAsia="Times New Roman"/>
                <w:color w:val="auto"/>
              </w:rPr>
              <w:t>10.5</w:t>
            </w:r>
          </w:p>
        </w:tc>
        <w:tc>
          <w:tcPr>
            <w:tcW w:w="1139" w:type="dxa"/>
          </w:tcPr>
          <w:p w14:paraId="3017953A"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13.2</w:t>
            </w:r>
          </w:p>
        </w:tc>
        <w:tc>
          <w:tcPr>
            <w:tcW w:w="1139" w:type="dxa"/>
          </w:tcPr>
          <w:p w14:paraId="13C494C2"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14.0</w:t>
            </w:r>
          </w:p>
        </w:tc>
        <w:tc>
          <w:tcPr>
            <w:tcW w:w="1140" w:type="dxa"/>
          </w:tcPr>
          <w:p w14:paraId="778BA346"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19.9</w:t>
            </w:r>
          </w:p>
        </w:tc>
      </w:tr>
      <w:tr w:rsidR="00121516" w:rsidRPr="00D219C1" w14:paraId="7FDE28B5" w14:textId="77777777" w:rsidTr="002D14A9">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0140D080" w14:textId="77777777" w:rsidR="00121516" w:rsidRPr="00D219C1" w:rsidRDefault="00121516" w:rsidP="002D14A9">
            <w:pPr>
              <w:spacing w:after="0"/>
              <w:rPr>
                <w:rFonts w:eastAsia="Times New Roman"/>
                <w:color w:val="auto"/>
              </w:rPr>
            </w:pPr>
            <w:r w:rsidRPr="00D219C1">
              <w:rPr>
                <w:rFonts w:eastAsia="Times New Roman"/>
                <w:color w:val="auto"/>
              </w:rPr>
              <w:t xml:space="preserve">3: Associate prof &amp; tech occupations </w:t>
            </w:r>
          </w:p>
        </w:tc>
        <w:tc>
          <w:tcPr>
            <w:tcW w:w="1139" w:type="dxa"/>
            <w:noWrap/>
            <w:hideMark/>
          </w:tcPr>
          <w:p w14:paraId="2E8B71E7"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D219C1">
              <w:rPr>
                <w:rFonts w:eastAsia="Times New Roman"/>
                <w:color w:val="auto"/>
              </w:rPr>
              <w:t>8.0</w:t>
            </w:r>
          </w:p>
        </w:tc>
        <w:tc>
          <w:tcPr>
            <w:tcW w:w="1139" w:type="dxa"/>
          </w:tcPr>
          <w:p w14:paraId="369D75A0"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9.8</w:t>
            </w:r>
          </w:p>
        </w:tc>
        <w:tc>
          <w:tcPr>
            <w:tcW w:w="1139" w:type="dxa"/>
          </w:tcPr>
          <w:p w14:paraId="51B63DC6"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10.2</w:t>
            </w:r>
          </w:p>
        </w:tc>
        <w:tc>
          <w:tcPr>
            <w:tcW w:w="1140" w:type="dxa"/>
          </w:tcPr>
          <w:p w14:paraId="576CB164"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14.3</w:t>
            </w:r>
          </w:p>
        </w:tc>
      </w:tr>
      <w:tr w:rsidR="00121516" w:rsidRPr="00D219C1" w14:paraId="426DF2E0" w14:textId="77777777" w:rsidTr="002D14A9">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08CCB0BA" w14:textId="77777777" w:rsidR="00121516" w:rsidRPr="00D219C1" w:rsidRDefault="00121516" w:rsidP="002D14A9">
            <w:pPr>
              <w:spacing w:after="0"/>
              <w:rPr>
                <w:rFonts w:eastAsia="Times New Roman"/>
                <w:color w:val="auto"/>
              </w:rPr>
            </w:pPr>
            <w:r w:rsidRPr="00D219C1">
              <w:rPr>
                <w:rFonts w:eastAsia="Times New Roman"/>
                <w:color w:val="auto"/>
              </w:rPr>
              <w:t xml:space="preserve">4: Administrative and secretarial occupations </w:t>
            </w:r>
          </w:p>
        </w:tc>
        <w:tc>
          <w:tcPr>
            <w:tcW w:w="1139" w:type="dxa"/>
            <w:noWrap/>
            <w:hideMark/>
          </w:tcPr>
          <w:p w14:paraId="2FA4848C"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D219C1">
              <w:rPr>
                <w:rFonts w:eastAsia="Times New Roman"/>
                <w:color w:val="auto"/>
              </w:rPr>
              <w:t>10.8</w:t>
            </w:r>
          </w:p>
        </w:tc>
        <w:tc>
          <w:tcPr>
            <w:tcW w:w="1139" w:type="dxa"/>
          </w:tcPr>
          <w:p w14:paraId="557DB272"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10.4</w:t>
            </w:r>
          </w:p>
        </w:tc>
        <w:tc>
          <w:tcPr>
            <w:tcW w:w="1139" w:type="dxa"/>
          </w:tcPr>
          <w:p w14:paraId="5233931C"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8.9</w:t>
            </w:r>
          </w:p>
        </w:tc>
        <w:tc>
          <w:tcPr>
            <w:tcW w:w="1140" w:type="dxa"/>
          </w:tcPr>
          <w:p w14:paraId="1F9F6EE4"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10.7</w:t>
            </w:r>
          </w:p>
        </w:tc>
      </w:tr>
      <w:tr w:rsidR="00121516" w:rsidRPr="00D219C1" w14:paraId="02A462E3" w14:textId="77777777" w:rsidTr="002D14A9">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0F0B513F" w14:textId="77777777" w:rsidR="00121516" w:rsidRPr="00D219C1" w:rsidRDefault="00121516" w:rsidP="002D14A9">
            <w:pPr>
              <w:spacing w:after="0"/>
              <w:rPr>
                <w:rFonts w:eastAsia="Times New Roman"/>
                <w:color w:val="auto"/>
              </w:rPr>
            </w:pPr>
            <w:r w:rsidRPr="00D219C1">
              <w:rPr>
                <w:rFonts w:eastAsia="Times New Roman"/>
                <w:color w:val="auto"/>
              </w:rPr>
              <w:t xml:space="preserve">5: Skilled trades occupations </w:t>
            </w:r>
          </w:p>
        </w:tc>
        <w:tc>
          <w:tcPr>
            <w:tcW w:w="1139" w:type="dxa"/>
            <w:noWrap/>
            <w:hideMark/>
          </w:tcPr>
          <w:p w14:paraId="40389782"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D219C1">
              <w:rPr>
                <w:rFonts w:eastAsia="Times New Roman"/>
                <w:color w:val="auto"/>
              </w:rPr>
              <w:t>13.5</w:t>
            </w:r>
          </w:p>
        </w:tc>
        <w:tc>
          <w:tcPr>
            <w:tcW w:w="1139" w:type="dxa"/>
          </w:tcPr>
          <w:p w14:paraId="561923DA"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12.9</w:t>
            </w:r>
          </w:p>
        </w:tc>
        <w:tc>
          <w:tcPr>
            <w:tcW w:w="1139" w:type="dxa"/>
          </w:tcPr>
          <w:p w14:paraId="1D8142EE"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13.1</w:t>
            </w:r>
          </w:p>
        </w:tc>
        <w:tc>
          <w:tcPr>
            <w:tcW w:w="1140" w:type="dxa"/>
          </w:tcPr>
          <w:p w14:paraId="02F16B0C"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10.4</w:t>
            </w:r>
          </w:p>
        </w:tc>
      </w:tr>
      <w:tr w:rsidR="00121516" w:rsidRPr="00D219C1" w14:paraId="3D35A791" w14:textId="77777777" w:rsidTr="002D14A9">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7772426E" w14:textId="77777777" w:rsidR="00121516" w:rsidRPr="00D219C1" w:rsidRDefault="00121516" w:rsidP="002D14A9">
            <w:pPr>
              <w:spacing w:after="0"/>
              <w:rPr>
                <w:rFonts w:eastAsia="Times New Roman"/>
                <w:color w:val="auto"/>
              </w:rPr>
            </w:pPr>
            <w:r w:rsidRPr="00D219C1">
              <w:rPr>
                <w:rFonts w:eastAsia="Times New Roman"/>
                <w:color w:val="auto"/>
              </w:rPr>
              <w:t xml:space="preserve">6: Caring, leisure and other service occupations </w:t>
            </w:r>
          </w:p>
        </w:tc>
        <w:tc>
          <w:tcPr>
            <w:tcW w:w="1139" w:type="dxa"/>
            <w:noWrap/>
            <w:hideMark/>
          </w:tcPr>
          <w:p w14:paraId="756B6DFD"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D219C1">
              <w:rPr>
                <w:rFonts w:eastAsia="Times New Roman"/>
                <w:color w:val="auto"/>
              </w:rPr>
              <w:t>10.9</w:t>
            </w:r>
          </w:p>
        </w:tc>
        <w:tc>
          <w:tcPr>
            <w:tcW w:w="1139" w:type="dxa"/>
          </w:tcPr>
          <w:p w14:paraId="35677B2C"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10.0</w:t>
            </w:r>
          </w:p>
        </w:tc>
        <w:tc>
          <w:tcPr>
            <w:tcW w:w="1139" w:type="dxa"/>
          </w:tcPr>
          <w:p w14:paraId="5DED0EFD"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9.8</w:t>
            </w:r>
          </w:p>
        </w:tc>
        <w:tc>
          <w:tcPr>
            <w:tcW w:w="1140" w:type="dxa"/>
          </w:tcPr>
          <w:p w14:paraId="6A64EF1A"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9.0</w:t>
            </w:r>
          </w:p>
        </w:tc>
      </w:tr>
      <w:tr w:rsidR="00121516" w:rsidRPr="00D219C1" w14:paraId="63DBCD3D" w14:textId="77777777" w:rsidTr="002D14A9">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4E6A2776" w14:textId="77777777" w:rsidR="00121516" w:rsidRPr="00D219C1" w:rsidRDefault="00121516" w:rsidP="002D14A9">
            <w:pPr>
              <w:spacing w:after="0"/>
              <w:rPr>
                <w:rFonts w:eastAsia="Times New Roman"/>
                <w:color w:val="auto"/>
              </w:rPr>
            </w:pPr>
            <w:r w:rsidRPr="00D219C1">
              <w:rPr>
                <w:rFonts w:eastAsia="Times New Roman"/>
                <w:color w:val="auto"/>
              </w:rPr>
              <w:t xml:space="preserve">7: Sales and customer service occupations </w:t>
            </w:r>
          </w:p>
        </w:tc>
        <w:tc>
          <w:tcPr>
            <w:tcW w:w="1139" w:type="dxa"/>
            <w:noWrap/>
            <w:hideMark/>
          </w:tcPr>
          <w:p w14:paraId="5978C623"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D219C1">
              <w:rPr>
                <w:rFonts w:eastAsia="Times New Roman"/>
                <w:color w:val="auto"/>
              </w:rPr>
              <w:t>8.9</w:t>
            </w:r>
          </w:p>
        </w:tc>
        <w:tc>
          <w:tcPr>
            <w:tcW w:w="1139" w:type="dxa"/>
          </w:tcPr>
          <w:p w14:paraId="0956189E"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6.3</w:t>
            </w:r>
          </w:p>
        </w:tc>
        <w:tc>
          <w:tcPr>
            <w:tcW w:w="1139" w:type="dxa"/>
          </w:tcPr>
          <w:p w14:paraId="46FB0817"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11.2</w:t>
            </w:r>
          </w:p>
        </w:tc>
        <w:tc>
          <w:tcPr>
            <w:tcW w:w="1140" w:type="dxa"/>
          </w:tcPr>
          <w:p w14:paraId="27723805"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7.8</w:t>
            </w:r>
          </w:p>
        </w:tc>
      </w:tr>
      <w:tr w:rsidR="00121516" w:rsidRPr="00D219C1" w14:paraId="21FA5305" w14:textId="77777777" w:rsidTr="002D14A9">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025D8A8F" w14:textId="77777777" w:rsidR="00121516" w:rsidRPr="00D219C1" w:rsidRDefault="00121516" w:rsidP="002D14A9">
            <w:pPr>
              <w:spacing w:after="0"/>
              <w:rPr>
                <w:rFonts w:eastAsia="Times New Roman"/>
                <w:color w:val="auto"/>
              </w:rPr>
            </w:pPr>
            <w:r w:rsidRPr="00D219C1">
              <w:rPr>
                <w:rFonts w:eastAsia="Times New Roman"/>
                <w:color w:val="auto"/>
              </w:rPr>
              <w:t xml:space="preserve">8: Process, plant and machine operatives </w:t>
            </w:r>
          </w:p>
        </w:tc>
        <w:tc>
          <w:tcPr>
            <w:tcW w:w="1139" w:type="dxa"/>
            <w:noWrap/>
            <w:hideMark/>
          </w:tcPr>
          <w:p w14:paraId="59994AEB"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D219C1">
              <w:rPr>
                <w:rFonts w:eastAsia="Times New Roman"/>
                <w:color w:val="auto"/>
              </w:rPr>
              <w:t>13.9</w:t>
            </w:r>
          </w:p>
        </w:tc>
        <w:tc>
          <w:tcPr>
            <w:tcW w:w="1139" w:type="dxa"/>
          </w:tcPr>
          <w:p w14:paraId="68DBF156"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12.9</w:t>
            </w:r>
          </w:p>
        </w:tc>
        <w:tc>
          <w:tcPr>
            <w:tcW w:w="1139" w:type="dxa"/>
          </w:tcPr>
          <w:p w14:paraId="58C66A86"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10.9</w:t>
            </w:r>
          </w:p>
        </w:tc>
        <w:tc>
          <w:tcPr>
            <w:tcW w:w="1140" w:type="dxa"/>
          </w:tcPr>
          <w:p w14:paraId="4EF1814D"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6.2</w:t>
            </w:r>
          </w:p>
        </w:tc>
      </w:tr>
      <w:tr w:rsidR="00121516" w:rsidRPr="00D219C1" w14:paraId="12AEC218" w14:textId="77777777" w:rsidTr="002D14A9">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1B4FBDD0" w14:textId="77777777" w:rsidR="00121516" w:rsidRPr="00D219C1" w:rsidRDefault="00121516" w:rsidP="002D14A9">
            <w:pPr>
              <w:spacing w:after="0"/>
              <w:rPr>
                <w:rFonts w:eastAsia="Times New Roman"/>
                <w:color w:val="auto"/>
              </w:rPr>
            </w:pPr>
            <w:r w:rsidRPr="00D219C1">
              <w:rPr>
                <w:rFonts w:eastAsia="Times New Roman"/>
                <w:color w:val="auto"/>
              </w:rPr>
              <w:t xml:space="preserve">9: Elementary occupations </w:t>
            </w:r>
          </w:p>
        </w:tc>
        <w:tc>
          <w:tcPr>
            <w:tcW w:w="1139" w:type="dxa"/>
            <w:noWrap/>
            <w:hideMark/>
          </w:tcPr>
          <w:p w14:paraId="5D31839E"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D219C1">
              <w:rPr>
                <w:rFonts w:eastAsia="Times New Roman"/>
                <w:color w:val="auto"/>
              </w:rPr>
              <w:t>14.5</w:t>
            </w:r>
          </w:p>
        </w:tc>
        <w:tc>
          <w:tcPr>
            <w:tcW w:w="1139" w:type="dxa"/>
          </w:tcPr>
          <w:p w14:paraId="4F9320EF"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13.7</w:t>
            </w:r>
          </w:p>
        </w:tc>
        <w:tc>
          <w:tcPr>
            <w:tcW w:w="1139" w:type="dxa"/>
          </w:tcPr>
          <w:p w14:paraId="5A63572D"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14.5</w:t>
            </w:r>
          </w:p>
        </w:tc>
        <w:tc>
          <w:tcPr>
            <w:tcW w:w="1140" w:type="dxa"/>
          </w:tcPr>
          <w:p w14:paraId="301437D5"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10.6</w:t>
            </w:r>
          </w:p>
        </w:tc>
      </w:tr>
    </w:tbl>
    <w:p w14:paraId="5558D2C8" w14:textId="77777777" w:rsidR="00121516" w:rsidRDefault="00121516" w:rsidP="00121516">
      <w:pPr>
        <w:pStyle w:val="TableSource"/>
      </w:pPr>
      <w:r w:rsidRPr="00D219C1">
        <w:t>Source: ONS Annual Population Survey (2014)</w:t>
      </w:r>
    </w:p>
    <w:p w14:paraId="4B9B281C" w14:textId="77777777" w:rsidR="00121516" w:rsidRDefault="00121516" w:rsidP="00121516">
      <w:pPr>
        <w:pStyle w:val="Heading3"/>
      </w:pPr>
      <w:r w:rsidRPr="00121516">
        <w:t>Gross Value Added (GVA)</w:t>
      </w:r>
    </w:p>
    <w:p w14:paraId="1A5E91C4" w14:textId="77777777" w:rsidR="00D13200" w:rsidRDefault="00D13200" w:rsidP="00D13200">
      <w:pPr>
        <w:jc w:val="both"/>
      </w:pPr>
      <w:r w:rsidRPr="00D219C1">
        <w:t xml:space="preserve">Figure </w:t>
      </w:r>
      <w:r w:rsidRPr="00D219C1">
        <w:rPr>
          <w:noProof/>
        </w:rPr>
        <w:t>2</w:t>
      </w:r>
      <w:r w:rsidRPr="00D219C1">
        <w:t>-</w:t>
      </w:r>
      <w:r w:rsidRPr="00D219C1">
        <w:rPr>
          <w:noProof/>
        </w:rPr>
        <w:t>6</w:t>
      </w:r>
      <w:r w:rsidRPr="00D219C1">
        <w:t xml:space="preserve"> shows that North &amp; North East Lincolnshire (the smallest relevant area for which data is available) is a leader in the Humber </w:t>
      </w:r>
      <w:r w:rsidR="00EB37E6">
        <w:t>area</w:t>
      </w:r>
      <w:r w:rsidRPr="00D219C1">
        <w:t xml:space="preserve"> in terms of GVA, consistently outperforming East Riding, and generally more productive </w:t>
      </w:r>
      <w:r>
        <w:t>compared to</w:t>
      </w:r>
      <w:r w:rsidRPr="00D219C1">
        <w:t xml:space="preserve"> Hull. Gross value added represents the value of output from economic activity less the value of inputs, and therefore GVA per head indicates the economic productivity of the area. However, North &amp; North East Lincolnshire and the wider region fall short when compared to the national average.</w:t>
      </w:r>
      <w:r>
        <w:t xml:space="preserve">  </w:t>
      </w:r>
    </w:p>
    <w:p w14:paraId="390ACCA4" w14:textId="77777777" w:rsidR="00121516" w:rsidRPr="00D219C1" w:rsidRDefault="00121516" w:rsidP="00121516">
      <w:pPr>
        <w:pStyle w:val="Caption"/>
      </w:pPr>
      <w:bookmarkStart w:id="492" w:name="_Ref393700237"/>
      <w:r w:rsidRPr="00D219C1">
        <w:t xml:space="preserve">Figure </w:t>
      </w:r>
      <w:fldSimple w:instr=" STYLEREF 1 \s  \* MERGEFORMAT ">
        <w:r w:rsidR="00E95E1A">
          <w:rPr>
            <w:noProof/>
          </w:rPr>
          <w:t>2</w:t>
        </w:r>
      </w:fldSimple>
      <w:r w:rsidRPr="00D219C1">
        <w:t>-</w:t>
      </w:r>
      <w:fldSimple w:instr=" SEQ Figure \* ARABIC \s 1  \* MERGEFORMAT ">
        <w:r w:rsidR="00E95E1A">
          <w:rPr>
            <w:noProof/>
          </w:rPr>
          <w:t>6</w:t>
        </w:r>
      </w:fldSimple>
      <w:bookmarkEnd w:id="492"/>
      <w:r w:rsidRPr="00D219C1">
        <w:tab/>
        <w:t>Workplace GVA per head at current basic prices (1997-2012)</w:t>
      </w:r>
      <w:r w:rsidRPr="005E3F9F">
        <w:rPr>
          <w:noProof/>
          <w:lang w:eastAsia="en-GB"/>
        </w:rPr>
        <w:drawing>
          <wp:inline distT="0" distB="0" distL="0" distR="0" wp14:anchorId="53CA731F" wp14:editId="18AF55C3">
            <wp:extent cx="6132368" cy="3443844"/>
            <wp:effectExtent l="0" t="0" r="0" b="0"/>
            <wp:docPr id="5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599182" w14:textId="77777777" w:rsidR="00121516" w:rsidRPr="00D219C1" w:rsidRDefault="00121516" w:rsidP="00121516">
      <w:pPr>
        <w:pStyle w:val="TableSource"/>
        <w:jc w:val="both"/>
      </w:pPr>
      <w:r w:rsidRPr="00D219C1">
        <w:t xml:space="preserve">Source: ONS Regional GVA 2013. 2012 figures provisional. </w:t>
      </w:r>
    </w:p>
    <w:p w14:paraId="7D301193" w14:textId="77777777" w:rsidR="00121516" w:rsidRPr="00121516" w:rsidRDefault="00121516" w:rsidP="00121516">
      <w:pPr>
        <w:pStyle w:val="Heading3"/>
      </w:pPr>
      <w:r w:rsidRPr="00121516">
        <w:t>Export Intensive Sectors</w:t>
      </w:r>
    </w:p>
    <w:p w14:paraId="381F1D3A" w14:textId="77777777" w:rsidR="00121516" w:rsidRPr="00D219C1" w:rsidRDefault="00121516" w:rsidP="00121516">
      <w:pPr>
        <w:jc w:val="both"/>
      </w:pPr>
      <w:r w:rsidRPr="00D219C1">
        <w:t xml:space="preserve">Table </w:t>
      </w:r>
      <w:r w:rsidRPr="00D219C1">
        <w:rPr>
          <w:noProof/>
        </w:rPr>
        <w:t>2-7</w:t>
      </w:r>
      <w:r w:rsidRPr="00D219C1">
        <w:t xml:space="preserve"> shows that North East Lincolnshire has a</w:t>
      </w:r>
      <w:r w:rsidR="00EB37E6">
        <w:t xml:space="preserve"> marginally</w:t>
      </w:r>
      <w:r w:rsidRPr="00D219C1">
        <w:t xml:space="preserve"> higher proportion of its employment base employed in these sectors (4.2%) compared to the average for England (4%). It is also comparable to Hull’s (4.2%) and over double North Lincolnshire’s (2%) share. </w:t>
      </w:r>
      <w:r w:rsidR="00EB37E6">
        <w:t>However, as can be seen from Table 2-7, the chemicals industry in North East Lincolnshire is the main contributor to the Borough’s export role</w:t>
      </w:r>
      <w:r w:rsidRPr="00D219C1">
        <w:t>.</w:t>
      </w:r>
    </w:p>
    <w:p w14:paraId="1CB11868" w14:textId="77777777" w:rsidR="00121516" w:rsidRPr="00D219C1" w:rsidRDefault="00121516" w:rsidP="00121516">
      <w:pPr>
        <w:pStyle w:val="Caption"/>
      </w:pPr>
      <w:bookmarkStart w:id="493" w:name="_Ref393872211"/>
      <w:r w:rsidRPr="00D219C1">
        <w:t xml:space="preserve">Table </w:t>
      </w:r>
      <w:fldSimple w:instr=" STYLEREF 1 \s  \* MERGEFORMAT ">
        <w:r w:rsidR="00E95E1A">
          <w:rPr>
            <w:noProof/>
          </w:rPr>
          <w:t>2</w:t>
        </w:r>
      </w:fldSimple>
      <w:r w:rsidRPr="00D219C1">
        <w:t>-</w:t>
      </w:r>
      <w:fldSimple w:instr=" SEQ Table \* ARABIC \s 1  \* MERGEFORMAT ">
        <w:r w:rsidR="00E95E1A">
          <w:rPr>
            <w:noProof/>
          </w:rPr>
          <w:t>7</w:t>
        </w:r>
      </w:fldSimple>
      <w:bookmarkEnd w:id="493"/>
      <w:r w:rsidRPr="00D219C1">
        <w:tab/>
        <w:t>% Employment in Top 5 Exporting Sectors</w:t>
      </w:r>
    </w:p>
    <w:tbl>
      <w:tblPr>
        <w:tblStyle w:val="Atkins14pt"/>
        <w:tblW w:w="9542" w:type="dxa"/>
        <w:tblLook w:val="04A0" w:firstRow="1" w:lastRow="0" w:firstColumn="1" w:lastColumn="0" w:noHBand="0" w:noVBand="1"/>
      </w:tblPr>
      <w:tblGrid>
        <w:gridCol w:w="4644"/>
        <w:gridCol w:w="1128"/>
        <w:gridCol w:w="877"/>
        <w:gridCol w:w="1128"/>
        <w:gridCol w:w="888"/>
        <w:gridCol w:w="877"/>
      </w:tblGrid>
      <w:tr w:rsidR="00121516" w:rsidRPr="00D219C1" w14:paraId="36C83DE8" w14:textId="77777777" w:rsidTr="002D14A9">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4644" w:type="dxa"/>
            <w:noWrap/>
            <w:hideMark/>
          </w:tcPr>
          <w:p w14:paraId="51021B8E" w14:textId="77777777" w:rsidR="00121516" w:rsidRPr="00D219C1" w:rsidRDefault="00121516" w:rsidP="002D14A9">
            <w:pPr>
              <w:spacing w:after="0"/>
              <w:rPr>
                <w:rFonts w:eastAsia="Times New Roman"/>
                <w:color w:val="000000"/>
              </w:rPr>
            </w:pPr>
            <w:r w:rsidRPr="00D219C1">
              <w:rPr>
                <w:rFonts w:eastAsia="Times New Roman"/>
                <w:color w:val="000000"/>
              </w:rPr>
              <w:t>Top 5 UK Exporting sectors</w:t>
            </w:r>
          </w:p>
        </w:tc>
        <w:tc>
          <w:tcPr>
            <w:tcW w:w="1128" w:type="dxa"/>
            <w:noWrap/>
            <w:hideMark/>
          </w:tcPr>
          <w:p w14:paraId="58E80541" w14:textId="77777777" w:rsidR="00121516" w:rsidRPr="00D219C1" w:rsidRDefault="00121516" w:rsidP="002D14A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rPr>
            </w:pPr>
            <w:r w:rsidRPr="00D219C1">
              <w:rPr>
                <w:rFonts w:eastAsia="Times New Roman"/>
                <w:color w:val="000000"/>
                <w:sz w:val="18"/>
              </w:rPr>
              <w:t xml:space="preserve">North East Lincolnshire </w:t>
            </w:r>
          </w:p>
        </w:tc>
        <w:tc>
          <w:tcPr>
            <w:tcW w:w="877" w:type="dxa"/>
            <w:noWrap/>
            <w:hideMark/>
          </w:tcPr>
          <w:p w14:paraId="581E7351" w14:textId="77777777" w:rsidR="00121516" w:rsidRPr="00D219C1" w:rsidRDefault="00121516" w:rsidP="002D14A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sz w:val="18"/>
              </w:rPr>
            </w:pPr>
            <w:r w:rsidRPr="00D219C1">
              <w:rPr>
                <w:rFonts w:eastAsia="Times New Roman"/>
                <w:bCs/>
                <w:color w:val="auto"/>
                <w:sz w:val="18"/>
              </w:rPr>
              <w:t>Hull</w:t>
            </w:r>
          </w:p>
        </w:tc>
        <w:tc>
          <w:tcPr>
            <w:tcW w:w="1128" w:type="dxa"/>
            <w:noWrap/>
            <w:hideMark/>
          </w:tcPr>
          <w:p w14:paraId="233AC910" w14:textId="77777777" w:rsidR="00121516" w:rsidRPr="00D219C1" w:rsidRDefault="00121516" w:rsidP="002D14A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sz w:val="18"/>
              </w:rPr>
            </w:pPr>
            <w:r w:rsidRPr="00D219C1">
              <w:rPr>
                <w:rFonts w:eastAsia="Times New Roman"/>
                <w:bCs/>
                <w:color w:val="auto"/>
                <w:sz w:val="18"/>
              </w:rPr>
              <w:t>North Lincolnshire</w:t>
            </w:r>
          </w:p>
        </w:tc>
        <w:tc>
          <w:tcPr>
            <w:tcW w:w="888" w:type="dxa"/>
            <w:noWrap/>
            <w:hideMark/>
          </w:tcPr>
          <w:p w14:paraId="21402E1A" w14:textId="77777777" w:rsidR="00121516" w:rsidRPr="00D219C1" w:rsidRDefault="00121516" w:rsidP="002D14A9">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auto"/>
                <w:sz w:val="18"/>
              </w:rPr>
            </w:pPr>
            <w:r w:rsidRPr="00D219C1">
              <w:rPr>
                <w:rFonts w:eastAsia="Times New Roman"/>
                <w:bCs/>
                <w:color w:val="auto"/>
                <w:sz w:val="18"/>
              </w:rPr>
              <w:t>Yorkshire and The Humber</w:t>
            </w:r>
          </w:p>
        </w:tc>
        <w:tc>
          <w:tcPr>
            <w:tcW w:w="877" w:type="dxa"/>
            <w:noWrap/>
            <w:hideMark/>
          </w:tcPr>
          <w:p w14:paraId="36355345" w14:textId="77777777" w:rsidR="00121516" w:rsidRPr="00D219C1" w:rsidRDefault="00121516" w:rsidP="002D14A9">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auto"/>
                <w:sz w:val="18"/>
              </w:rPr>
            </w:pPr>
            <w:r w:rsidRPr="00D219C1">
              <w:rPr>
                <w:rFonts w:eastAsia="Times New Roman"/>
                <w:bCs/>
                <w:color w:val="auto"/>
                <w:sz w:val="18"/>
              </w:rPr>
              <w:t>England</w:t>
            </w:r>
          </w:p>
        </w:tc>
      </w:tr>
      <w:tr w:rsidR="00121516" w:rsidRPr="00D219C1" w14:paraId="09409720" w14:textId="77777777" w:rsidTr="002D14A9">
        <w:trPr>
          <w:trHeight w:val="255"/>
        </w:trPr>
        <w:tc>
          <w:tcPr>
            <w:cnfStyle w:val="001000000000" w:firstRow="0" w:lastRow="0" w:firstColumn="1" w:lastColumn="0" w:oddVBand="0" w:evenVBand="0" w:oddHBand="0" w:evenHBand="0" w:firstRowFirstColumn="0" w:firstRowLastColumn="0" w:lastRowFirstColumn="0" w:lastRowLastColumn="0"/>
            <w:tcW w:w="4644" w:type="dxa"/>
            <w:noWrap/>
            <w:hideMark/>
          </w:tcPr>
          <w:p w14:paraId="3AFBBDD4" w14:textId="77777777" w:rsidR="00121516" w:rsidRPr="00D219C1" w:rsidRDefault="00121516" w:rsidP="002D14A9">
            <w:pPr>
              <w:spacing w:after="0"/>
              <w:rPr>
                <w:rFonts w:eastAsia="Times New Roman"/>
                <w:color w:val="000000"/>
              </w:rPr>
            </w:pPr>
            <w:r w:rsidRPr="00D219C1">
              <w:rPr>
                <w:rFonts w:eastAsia="Times New Roman"/>
                <w:color w:val="000000"/>
              </w:rPr>
              <w:t>Chemical manufacturing</w:t>
            </w:r>
          </w:p>
        </w:tc>
        <w:tc>
          <w:tcPr>
            <w:tcW w:w="1128" w:type="dxa"/>
            <w:noWrap/>
            <w:hideMark/>
          </w:tcPr>
          <w:p w14:paraId="66AE51F8"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2.7%</w:t>
            </w:r>
          </w:p>
        </w:tc>
        <w:tc>
          <w:tcPr>
            <w:tcW w:w="877" w:type="dxa"/>
            <w:noWrap/>
            <w:hideMark/>
          </w:tcPr>
          <w:p w14:paraId="488B7CC5"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1.0%</w:t>
            </w:r>
          </w:p>
        </w:tc>
        <w:tc>
          <w:tcPr>
            <w:tcW w:w="1128" w:type="dxa"/>
            <w:noWrap/>
            <w:hideMark/>
          </w:tcPr>
          <w:p w14:paraId="2A3E7E10"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0.5%</w:t>
            </w:r>
          </w:p>
        </w:tc>
        <w:tc>
          <w:tcPr>
            <w:tcW w:w="888" w:type="dxa"/>
            <w:noWrap/>
            <w:hideMark/>
          </w:tcPr>
          <w:p w14:paraId="3A770640"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0.6%</w:t>
            </w:r>
          </w:p>
        </w:tc>
        <w:tc>
          <w:tcPr>
            <w:tcW w:w="877" w:type="dxa"/>
            <w:noWrap/>
            <w:hideMark/>
          </w:tcPr>
          <w:p w14:paraId="0337A84F"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0.4%</w:t>
            </w:r>
          </w:p>
        </w:tc>
      </w:tr>
      <w:tr w:rsidR="00121516" w:rsidRPr="00D219C1" w14:paraId="5EB5D0B1" w14:textId="77777777" w:rsidTr="002D14A9">
        <w:trPr>
          <w:trHeight w:val="255"/>
        </w:trPr>
        <w:tc>
          <w:tcPr>
            <w:cnfStyle w:val="001000000000" w:firstRow="0" w:lastRow="0" w:firstColumn="1" w:lastColumn="0" w:oddVBand="0" w:evenVBand="0" w:oddHBand="0" w:evenHBand="0" w:firstRowFirstColumn="0" w:firstRowLastColumn="0" w:lastRowFirstColumn="0" w:lastRowLastColumn="0"/>
            <w:tcW w:w="4644" w:type="dxa"/>
            <w:noWrap/>
            <w:hideMark/>
          </w:tcPr>
          <w:p w14:paraId="0DF2517D" w14:textId="77777777" w:rsidR="00121516" w:rsidRPr="00D219C1" w:rsidRDefault="00121516" w:rsidP="002D14A9">
            <w:pPr>
              <w:spacing w:after="0"/>
              <w:rPr>
                <w:rFonts w:eastAsia="Times New Roman"/>
                <w:color w:val="000000"/>
              </w:rPr>
            </w:pPr>
            <w:r w:rsidRPr="00D219C1">
              <w:rPr>
                <w:rFonts w:eastAsia="Times New Roman"/>
                <w:color w:val="000000"/>
              </w:rPr>
              <w:t xml:space="preserve">Financial services, except insurance and pension funding         </w:t>
            </w:r>
          </w:p>
        </w:tc>
        <w:tc>
          <w:tcPr>
            <w:tcW w:w="1128" w:type="dxa"/>
            <w:noWrap/>
            <w:hideMark/>
          </w:tcPr>
          <w:p w14:paraId="242CEEFC"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0.8%</w:t>
            </w:r>
          </w:p>
        </w:tc>
        <w:tc>
          <w:tcPr>
            <w:tcW w:w="877" w:type="dxa"/>
            <w:noWrap/>
            <w:hideMark/>
          </w:tcPr>
          <w:p w14:paraId="6AD9082F"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0.7%</w:t>
            </w:r>
          </w:p>
        </w:tc>
        <w:tc>
          <w:tcPr>
            <w:tcW w:w="1128" w:type="dxa"/>
            <w:noWrap/>
            <w:hideMark/>
          </w:tcPr>
          <w:p w14:paraId="231BD1F9"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0.8%</w:t>
            </w:r>
          </w:p>
        </w:tc>
        <w:tc>
          <w:tcPr>
            <w:tcW w:w="888" w:type="dxa"/>
            <w:noWrap/>
            <w:hideMark/>
          </w:tcPr>
          <w:p w14:paraId="7D53060F"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2.1%</w:t>
            </w:r>
          </w:p>
        </w:tc>
        <w:tc>
          <w:tcPr>
            <w:tcW w:w="877" w:type="dxa"/>
            <w:noWrap/>
            <w:hideMark/>
          </w:tcPr>
          <w:p w14:paraId="751C6E06"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1.9%</w:t>
            </w:r>
          </w:p>
        </w:tc>
      </w:tr>
      <w:tr w:rsidR="00121516" w:rsidRPr="00D219C1" w14:paraId="2A2DC7F8" w14:textId="77777777" w:rsidTr="002D14A9">
        <w:trPr>
          <w:trHeight w:val="255"/>
        </w:trPr>
        <w:tc>
          <w:tcPr>
            <w:cnfStyle w:val="001000000000" w:firstRow="0" w:lastRow="0" w:firstColumn="1" w:lastColumn="0" w:oddVBand="0" w:evenVBand="0" w:oddHBand="0" w:evenHBand="0" w:firstRowFirstColumn="0" w:firstRowLastColumn="0" w:lastRowFirstColumn="0" w:lastRowLastColumn="0"/>
            <w:tcW w:w="4644" w:type="dxa"/>
            <w:noWrap/>
            <w:hideMark/>
          </w:tcPr>
          <w:p w14:paraId="00140187" w14:textId="77777777" w:rsidR="00121516" w:rsidRPr="00D219C1" w:rsidRDefault="00121516" w:rsidP="002D14A9">
            <w:pPr>
              <w:spacing w:after="0"/>
              <w:rPr>
                <w:rFonts w:eastAsia="Times New Roman"/>
                <w:color w:val="000000"/>
              </w:rPr>
            </w:pPr>
            <w:r w:rsidRPr="00D219C1">
              <w:rPr>
                <w:rFonts w:eastAsia="Times New Roman"/>
                <w:color w:val="000000"/>
              </w:rPr>
              <w:t xml:space="preserve">Motor vehicles, trailers and semi-trailers           </w:t>
            </w:r>
          </w:p>
        </w:tc>
        <w:tc>
          <w:tcPr>
            <w:tcW w:w="1128" w:type="dxa"/>
            <w:noWrap/>
            <w:hideMark/>
          </w:tcPr>
          <w:p w14:paraId="1A8B48C0"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0.2%</w:t>
            </w:r>
          </w:p>
        </w:tc>
        <w:tc>
          <w:tcPr>
            <w:tcW w:w="877" w:type="dxa"/>
            <w:noWrap/>
            <w:hideMark/>
          </w:tcPr>
          <w:p w14:paraId="6C72A3C6"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1.2%</w:t>
            </w:r>
          </w:p>
        </w:tc>
        <w:tc>
          <w:tcPr>
            <w:tcW w:w="1128" w:type="dxa"/>
            <w:noWrap/>
            <w:hideMark/>
          </w:tcPr>
          <w:p w14:paraId="0501C901"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0.2%</w:t>
            </w:r>
          </w:p>
        </w:tc>
        <w:tc>
          <w:tcPr>
            <w:tcW w:w="888" w:type="dxa"/>
            <w:noWrap/>
            <w:hideMark/>
          </w:tcPr>
          <w:p w14:paraId="3088E62F"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0.5%</w:t>
            </w:r>
          </w:p>
        </w:tc>
        <w:tc>
          <w:tcPr>
            <w:tcW w:w="877" w:type="dxa"/>
            <w:noWrap/>
            <w:hideMark/>
          </w:tcPr>
          <w:p w14:paraId="0EF3631B"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0.5%</w:t>
            </w:r>
          </w:p>
        </w:tc>
      </w:tr>
      <w:tr w:rsidR="00121516" w:rsidRPr="00D219C1" w14:paraId="72E4123E" w14:textId="77777777" w:rsidTr="002D14A9">
        <w:trPr>
          <w:trHeight w:val="255"/>
        </w:trPr>
        <w:tc>
          <w:tcPr>
            <w:cnfStyle w:val="001000000000" w:firstRow="0" w:lastRow="0" w:firstColumn="1" w:lastColumn="0" w:oddVBand="0" w:evenVBand="0" w:oddHBand="0" w:evenHBand="0" w:firstRowFirstColumn="0" w:firstRowLastColumn="0" w:lastRowFirstColumn="0" w:lastRowLastColumn="0"/>
            <w:tcW w:w="4644" w:type="dxa"/>
            <w:noWrap/>
            <w:hideMark/>
          </w:tcPr>
          <w:p w14:paraId="395D41AC" w14:textId="77777777" w:rsidR="00121516" w:rsidRPr="00D219C1" w:rsidRDefault="00121516" w:rsidP="002D14A9">
            <w:pPr>
              <w:spacing w:after="0"/>
              <w:rPr>
                <w:rFonts w:eastAsia="Times New Roman"/>
                <w:color w:val="000000"/>
              </w:rPr>
            </w:pPr>
            <w:r w:rsidRPr="00D219C1">
              <w:rPr>
                <w:rFonts w:eastAsia="Times New Roman"/>
                <w:color w:val="000000"/>
              </w:rPr>
              <w:t xml:space="preserve">Computer, electronic and optical products           </w:t>
            </w:r>
          </w:p>
        </w:tc>
        <w:tc>
          <w:tcPr>
            <w:tcW w:w="1128" w:type="dxa"/>
            <w:noWrap/>
            <w:hideMark/>
          </w:tcPr>
          <w:p w14:paraId="49AD2F63"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0.1%</w:t>
            </w:r>
          </w:p>
        </w:tc>
        <w:tc>
          <w:tcPr>
            <w:tcW w:w="877" w:type="dxa"/>
            <w:noWrap/>
            <w:hideMark/>
          </w:tcPr>
          <w:p w14:paraId="13FFC2E2"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0.0%</w:t>
            </w:r>
          </w:p>
        </w:tc>
        <w:tc>
          <w:tcPr>
            <w:tcW w:w="1128" w:type="dxa"/>
            <w:noWrap/>
            <w:hideMark/>
          </w:tcPr>
          <w:p w14:paraId="55E40A61"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0.1%</w:t>
            </w:r>
          </w:p>
        </w:tc>
        <w:tc>
          <w:tcPr>
            <w:tcW w:w="888" w:type="dxa"/>
            <w:noWrap/>
            <w:hideMark/>
          </w:tcPr>
          <w:p w14:paraId="286F0082"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0.3%</w:t>
            </w:r>
          </w:p>
        </w:tc>
        <w:tc>
          <w:tcPr>
            <w:tcW w:w="877" w:type="dxa"/>
            <w:noWrap/>
            <w:hideMark/>
          </w:tcPr>
          <w:p w14:paraId="457349D4"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0.4%</w:t>
            </w:r>
          </w:p>
        </w:tc>
      </w:tr>
      <w:tr w:rsidR="00121516" w:rsidRPr="00D219C1" w14:paraId="0F3A44D1" w14:textId="77777777" w:rsidTr="002D14A9">
        <w:trPr>
          <w:trHeight w:val="255"/>
        </w:trPr>
        <w:tc>
          <w:tcPr>
            <w:cnfStyle w:val="001000000000" w:firstRow="0" w:lastRow="0" w:firstColumn="1" w:lastColumn="0" w:oddVBand="0" w:evenVBand="0" w:oddHBand="0" w:evenHBand="0" w:firstRowFirstColumn="0" w:firstRowLastColumn="0" w:lastRowFirstColumn="0" w:lastRowLastColumn="0"/>
            <w:tcW w:w="4644" w:type="dxa"/>
            <w:noWrap/>
            <w:hideMark/>
          </w:tcPr>
          <w:p w14:paraId="329CD8A0" w14:textId="77777777" w:rsidR="00121516" w:rsidRPr="00D219C1" w:rsidRDefault="00121516" w:rsidP="002D14A9">
            <w:pPr>
              <w:spacing w:after="0"/>
              <w:rPr>
                <w:rFonts w:eastAsia="Times New Roman"/>
                <w:color w:val="000000"/>
              </w:rPr>
            </w:pPr>
            <w:r w:rsidRPr="00D219C1">
              <w:rPr>
                <w:rFonts w:eastAsia="Times New Roman"/>
                <w:color w:val="000000"/>
              </w:rPr>
              <w:t xml:space="preserve">Machinery and equipment.            </w:t>
            </w:r>
          </w:p>
        </w:tc>
        <w:tc>
          <w:tcPr>
            <w:tcW w:w="1128" w:type="dxa"/>
            <w:noWrap/>
            <w:hideMark/>
          </w:tcPr>
          <w:p w14:paraId="462F2E98"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0.4%</w:t>
            </w:r>
          </w:p>
        </w:tc>
        <w:tc>
          <w:tcPr>
            <w:tcW w:w="877" w:type="dxa"/>
            <w:noWrap/>
            <w:hideMark/>
          </w:tcPr>
          <w:p w14:paraId="1B1B471A"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1.3%</w:t>
            </w:r>
          </w:p>
        </w:tc>
        <w:tc>
          <w:tcPr>
            <w:tcW w:w="1128" w:type="dxa"/>
            <w:noWrap/>
            <w:hideMark/>
          </w:tcPr>
          <w:p w14:paraId="008367AC"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0.4%</w:t>
            </w:r>
          </w:p>
        </w:tc>
        <w:tc>
          <w:tcPr>
            <w:tcW w:w="888" w:type="dxa"/>
            <w:noWrap/>
            <w:hideMark/>
          </w:tcPr>
          <w:p w14:paraId="4C2CDFF1"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1.0%</w:t>
            </w:r>
          </w:p>
        </w:tc>
        <w:tc>
          <w:tcPr>
            <w:tcW w:w="877" w:type="dxa"/>
            <w:noWrap/>
            <w:hideMark/>
          </w:tcPr>
          <w:p w14:paraId="7097EBB4" w14:textId="77777777" w:rsidR="00121516" w:rsidRPr="00D219C1" w:rsidRDefault="00121516" w:rsidP="002D14A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219C1">
              <w:rPr>
                <w:rFonts w:eastAsia="Times New Roman"/>
                <w:color w:val="000000"/>
              </w:rPr>
              <w:t>0.7%</w:t>
            </w:r>
          </w:p>
        </w:tc>
      </w:tr>
    </w:tbl>
    <w:p w14:paraId="496EB31B" w14:textId="77777777" w:rsidR="00121516" w:rsidRPr="00D219C1" w:rsidRDefault="00121516" w:rsidP="00121516">
      <w:pPr>
        <w:pStyle w:val="TableSource"/>
      </w:pPr>
      <w:r w:rsidRPr="00D219C1">
        <w:t>Source: BRES/ONS 2013</w:t>
      </w:r>
    </w:p>
    <w:p w14:paraId="36DA00F4" w14:textId="77777777" w:rsidR="00121516" w:rsidRPr="00121516" w:rsidRDefault="00121516" w:rsidP="00121516">
      <w:pPr>
        <w:pStyle w:val="Heading3"/>
      </w:pPr>
      <w:r w:rsidRPr="00121516">
        <w:t xml:space="preserve">Innovation and skills </w:t>
      </w:r>
    </w:p>
    <w:p w14:paraId="64636AED" w14:textId="77777777" w:rsidR="00121516" w:rsidRPr="00D219C1" w:rsidRDefault="00121516" w:rsidP="00121516">
      <w:pPr>
        <w:jc w:val="both"/>
      </w:pPr>
      <w:r w:rsidRPr="00D219C1">
        <w:t>A number of key sectors within North East Lincolnshire require</w:t>
      </w:r>
      <w:r w:rsidR="00EB37E6">
        <w:t xml:space="preserve"> high value</w:t>
      </w:r>
      <w:r w:rsidRPr="00D219C1">
        <w:t xml:space="preserve"> knowledge, </w:t>
      </w:r>
      <w:r w:rsidR="00EB37E6">
        <w:t xml:space="preserve">specialist </w:t>
      </w:r>
      <w:r w:rsidRPr="00D219C1">
        <w:t>skills and innovative activity. For example, the development of new products</w:t>
      </w:r>
      <w:r w:rsidR="00EB37E6">
        <w:t xml:space="preserve"> and processes</w:t>
      </w:r>
      <w:r w:rsidRPr="00D219C1">
        <w:t xml:space="preserve"> in the Food Manufacturing sector and chemical engineering activities in the Chemicals and Process Industries. Analysis of OECD patent data from 2011 (Table </w:t>
      </w:r>
      <w:r w:rsidRPr="00D219C1">
        <w:rPr>
          <w:noProof/>
        </w:rPr>
        <w:t>2-8</w:t>
      </w:r>
      <w:r w:rsidRPr="00D219C1">
        <w:t xml:space="preserve">) shows that North &amp; North East Lincolnshire have a lower patents per 100,000 rate (1.4) </w:t>
      </w:r>
      <w:r w:rsidR="00EB37E6">
        <w:t>compared to</w:t>
      </w:r>
      <w:r w:rsidRPr="00D219C1">
        <w:t xml:space="preserve"> all neighbouring areas and </w:t>
      </w:r>
      <w:r w:rsidR="00EB37E6">
        <w:t>significantly</w:t>
      </w:r>
      <w:r w:rsidRPr="00D219C1">
        <w:t xml:space="preserve"> lower than </w:t>
      </w:r>
      <w:r w:rsidR="00EB37E6">
        <w:t>the national average</w:t>
      </w:r>
      <w:r w:rsidRPr="00D219C1">
        <w:t xml:space="preserve"> (7.5).</w:t>
      </w:r>
    </w:p>
    <w:p w14:paraId="550A0194" w14:textId="77777777" w:rsidR="00925D1C" w:rsidRDefault="00925D1C">
      <w:pPr>
        <w:spacing w:after="200" w:line="276" w:lineRule="auto"/>
        <w:rPr>
          <w:b/>
          <w:bCs/>
          <w:szCs w:val="18"/>
        </w:rPr>
      </w:pPr>
      <w:bookmarkStart w:id="494" w:name="_Ref393458384"/>
      <w:r>
        <w:br w:type="page"/>
      </w:r>
    </w:p>
    <w:p w14:paraId="7BEB71CA" w14:textId="77777777" w:rsidR="00121516" w:rsidRPr="00D219C1" w:rsidRDefault="00121516" w:rsidP="00121516">
      <w:pPr>
        <w:pStyle w:val="Caption"/>
      </w:pPr>
      <w:r w:rsidRPr="00D219C1">
        <w:t xml:space="preserve">Table </w:t>
      </w:r>
      <w:fldSimple w:instr=" STYLEREF 1 \s  \* MERGEFORMAT ">
        <w:r w:rsidR="00E95E1A">
          <w:rPr>
            <w:noProof/>
          </w:rPr>
          <w:t>2</w:t>
        </w:r>
      </w:fldSimple>
      <w:r w:rsidRPr="00D219C1">
        <w:t>-</w:t>
      </w:r>
      <w:fldSimple w:instr=" SEQ Table \* ARABIC \s 1  \* MERGEFORMAT ">
        <w:r w:rsidR="00E95E1A">
          <w:rPr>
            <w:noProof/>
          </w:rPr>
          <w:t>8</w:t>
        </w:r>
      </w:fldSimple>
      <w:bookmarkEnd w:id="494"/>
      <w:r w:rsidRPr="00D219C1">
        <w:tab/>
        <w:t>OECD Patent Co-operation Treaty Patent applications 2011</w:t>
      </w:r>
    </w:p>
    <w:tbl>
      <w:tblPr>
        <w:tblStyle w:val="Atkins14pt"/>
        <w:tblW w:w="5481" w:type="dxa"/>
        <w:tblLook w:val="04A0" w:firstRow="1" w:lastRow="0" w:firstColumn="1" w:lastColumn="0" w:noHBand="0" w:noVBand="1"/>
      </w:tblPr>
      <w:tblGrid>
        <w:gridCol w:w="3261"/>
        <w:gridCol w:w="2220"/>
      </w:tblGrid>
      <w:tr w:rsidR="00121516" w:rsidRPr="00D219C1" w14:paraId="1C9D2E0F" w14:textId="77777777" w:rsidTr="002D14A9">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100" w:firstRow="0" w:lastRow="0" w:firstColumn="1" w:lastColumn="0" w:oddVBand="0" w:evenVBand="0" w:oddHBand="0" w:evenHBand="0" w:firstRowFirstColumn="1" w:firstRowLastColumn="0" w:lastRowFirstColumn="0" w:lastRowLastColumn="0"/>
            <w:tcW w:w="3261" w:type="dxa"/>
            <w:noWrap/>
            <w:hideMark/>
          </w:tcPr>
          <w:p w14:paraId="12794939" w14:textId="77777777" w:rsidR="00121516" w:rsidRPr="00D219C1" w:rsidRDefault="00121516" w:rsidP="002D14A9">
            <w:pPr>
              <w:pStyle w:val="TableHeading"/>
              <w:rPr>
                <w:color w:val="auto"/>
              </w:rPr>
            </w:pPr>
            <w:r w:rsidRPr="00D219C1">
              <w:rPr>
                <w:color w:val="auto"/>
              </w:rPr>
              <w:t>Area</w:t>
            </w:r>
          </w:p>
        </w:tc>
        <w:tc>
          <w:tcPr>
            <w:tcW w:w="2220" w:type="dxa"/>
            <w:noWrap/>
            <w:hideMark/>
          </w:tcPr>
          <w:p w14:paraId="51FAC67B" w14:textId="77777777" w:rsidR="00121516" w:rsidRPr="00D219C1" w:rsidRDefault="00121516" w:rsidP="002D14A9">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D219C1">
              <w:rPr>
                <w:color w:val="auto"/>
              </w:rPr>
              <w:t>Patents Per 100,000 people</w:t>
            </w:r>
          </w:p>
        </w:tc>
      </w:tr>
      <w:tr w:rsidR="00121516" w:rsidRPr="00D219C1" w14:paraId="7B9A954D" w14:textId="77777777" w:rsidTr="002D14A9">
        <w:trPr>
          <w:trHeight w:val="260"/>
        </w:trPr>
        <w:tc>
          <w:tcPr>
            <w:cnfStyle w:val="001000000000" w:firstRow="0" w:lastRow="0" w:firstColumn="1" w:lastColumn="0" w:oddVBand="0" w:evenVBand="0" w:oddHBand="0" w:evenHBand="0" w:firstRowFirstColumn="0" w:firstRowLastColumn="0" w:lastRowFirstColumn="0" w:lastRowLastColumn="0"/>
            <w:tcW w:w="3261" w:type="dxa"/>
            <w:noWrap/>
          </w:tcPr>
          <w:p w14:paraId="54FCB2F7" w14:textId="77777777" w:rsidR="00121516" w:rsidRPr="00D219C1" w:rsidRDefault="00121516" w:rsidP="002D14A9">
            <w:pPr>
              <w:pStyle w:val="TableText"/>
              <w:rPr>
                <w:b/>
                <w:bCs/>
                <w:color w:val="auto"/>
              </w:rPr>
            </w:pPr>
            <w:r w:rsidRPr="00D219C1">
              <w:rPr>
                <w:color w:val="auto"/>
              </w:rPr>
              <w:t>North &amp; North East Lincolnshire.</w:t>
            </w:r>
          </w:p>
        </w:tc>
        <w:tc>
          <w:tcPr>
            <w:tcW w:w="2220" w:type="dxa"/>
            <w:noWrap/>
          </w:tcPr>
          <w:p w14:paraId="7D6A8C70" w14:textId="77777777" w:rsidR="00121516" w:rsidRPr="00D219C1" w:rsidRDefault="00121516" w:rsidP="002D14A9">
            <w:pPr>
              <w:pStyle w:val="TableText"/>
              <w:jc w:val="right"/>
              <w:cnfStyle w:val="000000000000" w:firstRow="0" w:lastRow="0" w:firstColumn="0" w:lastColumn="0" w:oddVBand="0" w:evenVBand="0" w:oddHBand="0" w:evenHBand="0" w:firstRowFirstColumn="0" w:firstRowLastColumn="0" w:lastRowFirstColumn="0" w:lastRowLastColumn="0"/>
              <w:rPr>
                <w:b/>
                <w:bCs/>
                <w:color w:val="auto"/>
              </w:rPr>
            </w:pPr>
            <w:r w:rsidRPr="00D219C1">
              <w:rPr>
                <w:color w:val="auto"/>
              </w:rPr>
              <w:t>1.4</w:t>
            </w:r>
          </w:p>
        </w:tc>
      </w:tr>
      <w:tr w:rsidR="00121516" w:rsidRPr="00D219C1" w14:paraId="6938B3B6" w14:textId="77777777" w:rsidTr="002D14A9">
        <w:trPr>
          <w:trHeight w:val="24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45EAB79" w14:textId="77777777" w:rsidR="00121516" w:rsidRPr="00D219C1" w:rsidRDefault="00121516" w:rsidP="002D14A9">
            <w:pPr>
              <w:pStyle w:val="TableText"/>
              <w:rPr>
                <w:color w:val="auto"/>
              </w:rPr>
            </w:pPr>
            <w:r w:rsidRPr="00D219C1">
              <w:rPr>
                <w:color w:val="auto"/>
              </w:rPr>
              <w:t>Kingston upon Hull</w:t>
            </w:r>
          </w:p>
        </w:tc>
        <w:tc>
          <w:tcPr>
            <w:tcW w:w="2220" w:type="dxa"/>
            <w:noWrap/>
            <w:hideMark/>
          </w:tcPr>
          <w:p w14:paraId="6EE52E93" w14:textId="77777777" w:rsidR="00121516" w:rsidRPr="00D219C1" w:rsidRDefault="00121516" w:rsidP="002D14A9">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7.1</w:t>
            </w:r>
          </w:p>
        </w:tc>
      </w:tr>
      <w:tr w:rsidR="00121516" w:rsidRPr="00D219C1" w14:paraId="7E1816C0" w14:textId="77777777" w:rsidTr="002D14A9">
        <w:trPr>
          <w:trHeight w:val="24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3F534620" w14:textId="77777777" w:rsidR="00121516" w:rsidRPr="00D219C1" w:rsidRDefault="00121516" w:rsidP="002D14A9">
            <w:pPr>
              <w:pStyle w:val="TableText"/>
              <w:rPr>
                <w:color w:val="auto"/>
              </w:rPr>
            </w:pPr>
            <w:r w:rsidRPr="00D219C1">
              <w:rPr>
                <w:color w:val="auto"/>
              </w:rPr>
              <w:t xml:space="preserve">East Riding of Yorks. </w:t>
            </w:r>
          </w:p>
        </w:tc>
        <w:tc>
          <w:tcPr>
            <w:tcW w:w="2220" w:type="dxa"/>
            <w:noWrap/>
            <w:hideMark/>
          </w:tcPr>
          <w:p w14:paraId="78B620E0" w14:textId="77777777" w:rsidR="00121516" w:rsidRPr="00D219C1" w:rsidRDefault="00121516" w:rsidP="002D14A9">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2.4</w:t>
            </w:r>
          </w:p>
        </w:tc>
      </w:tr>
      <w:tr w:rsidR="00121516" w:rsidRPr="00D219C1" w14:paraId="51EEF4BC" w14:textId="77777777" w:rsidTr="002D14A9">
        <w:trPr>
          <w:trHeight w:val="26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D2DBACF" w14:textId="77777777" w:rsidR="00121516" w:rsidRPr="00D219C1" w:rsidRDefault="00121516" w:rsidP="002D14A9">
            <w:pPr>
              <w:pStyle w:val="TableText"/>
              <w:rPr>
                <w:color w:val="auto"/>
              </w:rPr>
            </w:pPr>
            <w:r w:rsidRPr="00D219C1">
              <w:rPr>
                <w:color w:val="auto"/>
              </w:rPr>
              <w:t>Lincolnshire</w:t>
            </w:r>
          </w:p>
        </w:tc>
        <w:tc>
          <w:tcPr>
            <w:tcW w:w="2220" w:type="dxa"/>
            <w:noWrap/>
            <w:hideMark/>
          </w:tcPr>
          <w:p w14:paraId="5E64892A" w14:textId="77777777" w:rsidR="00121516" w:rsidRPr="00D219C1" w:rsidRDefault="00121516" w:rsidP="002D14A9">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4.6</w:t>
            </w:r>
          </w:p>
        </w:tc>
      </w:tr>
      <w:tr w:rsidR="00121516" w:rsidRPr="00D219C1" w14:paraId="09AAD2E3" w14:textId="77777777" w:rsidTr="002D14A9">
        <w:trPr>
          <w:trHeight w:val="260"/>
        </w:trPr>
        <w:tc>
          <w:tcPr>
            <w:cnfStyle w:val="001000000000" w:firstRow="0" w:lastRow="0" w:firstColumn="1" w:lastColumn="0" w:oddVBand="0" w:evenVBand="0" w:oddHBand="0" w:evenHBand="0" w:firstRowFirstColumn="0" w:firstRowLastColumn="0" w:lastRowFirstColumn="0" w:lastRowLastColumn="0"/>
            <w:tcW w:w="3261" w:type="dxa"/>
            <w:noWrap/>
          </w:tcPr>
          <w:p w14:paraId="572FC063" w14:textId="77777777" w:rsidR="00121516" w:rsidRPr="00D219C1" w:rsidRDefault="00121516" w:rsidP="002D14A9">
            <w:pPr>
              <w:pStyle w:val="TableText"/>
              <w:rPr>
                <w:color w:val="auto"/>
              </w:rPr>
            </w:pPr>
            <w:r w:rsidRPr="00D219C1">
              <w:rPr>
                <w:color w:val="auto"/>
              </w:rPr>
              <w:t>Great Britain</w:t>
            </w:r>
          </w:p>
        </w:tc>
        <w:tc>
          <w:tcPr>
            <w:tcW w:w="2220" w:type="dxa"/>
            <w:noWrap/>
          </w:tcPr>
          <w:p w14:paraId="5DF48BFA" w14:textId="77777777" w:rsidR="00121516" w:rsidRPr="00D219C1" w:rsidRDefault="00121516" w:rsidP="002D14A9">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rsidRPr="00D219C1">
              <w:rPr>
                <w:color w:val="auto"/>
              </w:rPr>
              <w:t>7.5</w:t>
            </w:r>
          </w:p>
        </w:tc>
      </w:tr>
    </w:tbl>
    <w:p w14:paraId="7968F281" w14:textId="77777777" w:rsidR="00121516" w:rsidRPr="00D219C1" w:rsidRDefault="00121516" w:rsidP="00121516">
      <w:r w:rsidRPr="00D219C1">
        <w:t>Source: OECD 2012</w:t>
      </w:r>
    </w:p>
    <w:p w14:paraId="4A2C26DD" w14:textId="77777777" w:rsidR="00121516" w:rsidRPr="00D219C1" w:rsidRDefault="00121516" w:rsidP="00121516">
      <w:pPr>
        <w:jc w:val="both"/>
      </w:pPr>
      <w:r w:rsidRPr="00D219C1">
        <w:t xml:space="preserve">Despite improvement, North East Lincolnshire has a lower proportion of residents with </w:t>
      </w:r>
      <w:r>
        <w:t>NVQ Level 4 qualifications (</w:t>
      </w:r>
      <w:r w:rsidRPr="00D219C1">
        <w:t>degree level or equivale</w:t>
      </w:r>
      <w:r w:rsidR="00925D1C">
        <w:t>nt) compared with neighbouring local a</w:t>
      </w:r>
      <w:r w:rsidRPr="00D219C1">
        <w:t xml:space="preserve">uthorities and the </w:t>
      </w:r>
      <w:r>
        <w:t>n</w:t>
      </w:r>
      <w:r w:rsidRPr="00D219C1">
        <w:t xml:space="preserve">ational average (Figure </w:t>
      </w:r>
      <w:r w:rsidRPr="00D219C1">
        <w:rPr>
          <w:noProof/>
        </w:rPr>
        <w:t>2-7</w:t>
      </w:r>
      <w:r w:rsidRPr="00D219C1">
        <w:t xml:space="preserve">). Furthermore the gap between North East Lincolnshire’s and England’s proportion of </w:t>
      </w:r>
      <w:r>
        <w:t xml:space="preserve">the </w:t>
      </w:r>
      <w:r w:rsidRPr="00D219C1">
        <w:t xml:space="preserve">workforce with </w:t>
      </w:r>
      <w:r>
        <w:t>L</w:t>
      </w:r>
      <w:r w:rsidRPr="00D219C1">
        <w:t>evel 4 qualifications has increased.</w:t>
      </w:r>
      <w:r>
        <w:t xml:space="preserve"> </w:t>
      </w:r>
      <w:r w:rsidRPr="00D219C1">
        <w:t xml:space="preserve">This suggests that there is difficulty in matching the progress made </w:t>
      </w:r>
      <w:r>
        <w:t>elsewhere</w:t>
      </w:r>
      <w:r w:rsidRPr="00D219C1">
        <w:t>. This could be linked to comparative lack of Higher Education delivery in North and North East Lincolnshire</w:t>
      </w:r>
      <w:r w:rsidRPr="00D219C1">
        <w:rPr>
          <w:rStyle w:val="FootnoteReference"/>
        </w:rPr>
        <w:footnoteReference w:id="5"/>
      </w:r>
      <w:r w:rsidRPr="00D219C1">
        <w:t xml:space="preserve"> and evidence of a ‘brain drain’ whereby students</w:t>
      </w:r>
      <w:r w:rsidR="00EB37E6">
        <w:t xml:space="preserve"> and well skilled workers</w:t>
      </w:r>
      <w:r w:rsidRPr="00D219C1">
        <w:t xml:space="preserve"> </w:t>
      </w:r>
      <w:r>
        <w:t xml:space="preserve">leave to </w:t>
      </w:r>
      <w:r w:rsidRPr="00D219C1">
        <w:t>study</w:t>
      </w:r>
      <w:r w:rsidR="00EB37E6">
        <w:t xml:space="preserve"> or work</w:t>
      </w:r>
      <w:r w:rsidRPr="00D219C1">
        <w:t xml:space="preserve"> in other areas </w:t>
      </w:r>
      <w:r w:rsidR="00EB37E6">
        <w:t>but to not return to their place of origin</w:t>
      </w:r>
      <w:r w:rsidRPr="00D219C1">
        <w:t>.</w:t>
      </w:r>
    </w:p>
    <w:p w14:paraId="1ADBCA9F" w14:textId="77777777" w:rsidR="00121516" w:rsidRPr="00D219C1" w:rsidRDefault="00121516" w:rsidP="00121516">
      <w:pPr>
        <w:pStyle w:val="Caption"/>
      </w:pPr>
      <w:bookmarkStart w:id="495" w:name="_Ref393872257"/>
      <w:r w:rsidRPr="00D219C1">
        <w:t xml:space="preserve">Figure </w:t>
      </w:r>
      <w:fldSimple w:instr=" STYLEREF 1 \s  \* MERGEFORMAT ">
        <w:r w:rsidR="00E95E1A">
          <w:rPr>
            <w:noProof/>
          </w:rPr>
          <w:t>2</w:t>
        </w:r>
      </w:fldSimple>
      <w:r w:rsidRPr="00D219C1">
        <w:t>-</w:t>
      </w:r>
      <w:fldSimple w:instr=" SEQ Figure \* ARABIC \s 1  \* MERGEFORMAT ">
        <w:r w:rsidR="00E95E1A">
          <w:rPr>
            <w:noProof/>
          </w:rPr>
          <w:t>7</w:t>
        </w:r>
      </w:fldSimple>
      <w:bookmarkEnd w:id="495"/>
      <w:r w:rsidRPr="00D219C1">
        <w:tab/>
        <w:t>% of Working Age Population (16-64) with Level 4 Qualifications</w:t>
      </w:r>
    </w:p>
    <w:p w14:paraId="7CF90389" w14:textId="77777777" w:rsidR="00121516" w:rsidRPr="00D219C1" w:rsidRDefault="00121516" w:rsidP="00121516">
      <w:r w:rsidRPr="00D219C1">
        <w:rPr>
          <w:noProof/>
          <w:lang w:eastAsia="en-GB"/>
        </w:rPr>
        <w:drawing>
          <wp:inline distT="0" distB="0" distL="0" distR="0" wp14:anchorId="1979EA17" wp14:editId="75163C6F">
            <wp:extent cx="5743575" cy="2790825"/>
            <wp:effectExtent l="0" t="0" r="0" b="0"/>
            <wp:docPr id="5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8098D6F" w14:textId="77777777" w:rsidR="00121516" w:rsidRPr="00D219C1" w:rsidRDefault="00121516" w:rsidP="00121516">
      <w:pPr>
        <w:pStyle w:val="TableSource"/>
      </w:pPr>
      <w:r w:rsidRPr="00D219C1">
        <w:t>Source: Annual Population Survey 2014</w:t>
      </w:r>
    </w:p>
    <w:p w14:paraId="2183E678" w14:textId="77777777" w:rsidR="00121516" w:rsidRDefault="00121516" w:rsidP="00121516">
      <w:pPr>
        <w:jc w:val="both"/>
      </w:pPr>
      <w:r w:rsidRPr="00D219C1">
        <w:t xml:space="preserve">The share of residents with no qualifications has fallen since 2009 (by 2.6%) but not at the same rate as the national average (drop of 3%). </w:t>
      </w:r>
      <w:r w:rsidR="00574F36">
        <w:t>This indicates that the skills gap in the Borough relative t</w:t>
      </w:r>
      <w:r w:rsidR="00C10D29">
        <w:t>o national standards is not being closed.</w:t>
      </w:r>
      <w:r>
        <w:br w:type="page"/>
      </w:r>
    </w:p>
    <w:p w14:paraId="5C2D48E8" w14:textId="77777777" w:rsidR="00121516" w:rsidRDefault="00121516" w:rsidP="00121516">
      <w:pPr>
        <w:jc w:val="both"/>
      </w:pPr>
    </w:p>
    <w:p w14:paraId="5052D8C7" w14:textId="77777777" w:rsidR="00121516" w:rsidRDefault="00121516" w:rsidP="00121516">
      <w:pPr>
        <w:pStyle w:val="Caption"/>
      </w:pPr>
      <w:bookmarkStart w:id="496" w:name="_Ref393700878"/>
      <w:r>
        <w:t xml:space="preserve">Figure </w:t>
      </w:r>
      <w:fldSimple w:instr=" STYLEREF 1 \s  \* MERGEFORMAT ">
        <w:r w:rsidR="00E95E1A">
          <w:rPr>
            <w:noProof/>
          </w:rPr>
          <w:t>2</w:t>
        </w:r>
      </w:fldSimple>
      <w:r>
        <w:t>-</w:t>
      </w:r>
      <w:fldSimple w:instr=" SEQ Figure \* ARABIC \s 1  \* MERGEFORMAT ">
        <w:r w:rsidR="00E95E1A">
          <w:rPr>
            <w:noProof/>
          </w:rPr>
          <w:t>8</w:t>
        </w:r>
      </w:fldSimple>
      <w:bookmarkEnd w:id="496"/>
      <w:r>
        <w:tab/>
        <w:t>% of Working Age Population (16-64) with No Qualifications</w:t>
      </w:r>
    </w:p>
    <w:p w14:paraId="155324BC" w14:textId="77777777" w:rsidR="00121516" w:rsidRDefault="00121516" w:rsidP="00121516">
      <w:r w:rsidRPr="00097BEE">
        <w:rPr>
          <w:noProof/>
          <w:lang w:eastAsia="en-GB"/>
        </w:rPr>
        <w:drawing>
          <wp:inline distT="0" distB="0" distL="0" distR="0" wp14:anchorId="7119647C" wp14:editId="7630D41E">
            <wp:extent cx="589672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B4FCFD" w14:textId="77777777" w:rsidR="00121516" w:rsidRDefault="00121516" w:rsidP="00121516">
      <w:pPr>
        <w:pStyle w:val="TableSource"/>
      </w:pPr>
      <w:r>
        <w:t>Source: Annual Population Survey 2014</w:t>
      </w:r>
    </w:p>
    <w:p w14:paraId="075A54B3" w14:textId="77777777" w:rsidR="00121516" w:rsidRPr="00121516" w:rsidRDefault="00121516" w:rsidP="00121516">
      <w:pPr>
        <w:pStyle w:val="Heading3"/>
      </w:pPr>
      <w:r w:rsidRPr="00121516">
        <w:t xml:space="preserve">Key Sectors </w:t>
      </w:r>
    </w:p>
    <w:p w14:paraId="2F7001E3" w14:textId="77777777" w:rsidR="00121516" w:rsidRDefault="00121516" w:rsidP="00121516">
      <w:pPr>
        <w:jc w:val="both"/>
      </w:pPr>
      <w:r>
        <w:t>Following a review of data, previous research and key policy documents, the following key sectors were agreed as priorities with NELC.  These sectors are expected to drive future employment growth and are integral to the economic vitality of the area:</w:t>
      </w:r>
    </w:p>
    <w:p w14:paraId="77053768" w14:textId="77777777" w:rsidR="00121516" w:rsidRDefault="00121516" w:rsidP="00121516">
      <w:pPr>
        <w:pStyle w:val="ListParagraph"/>
        <w:numPr>
          <w:ilvl w:val="0"/>
          <w:numId w:val="43"/>
        </w:numPr>
        <w:jc w:val="both"/>
      </w:pPr>
      <w:r>
        <w:t xml:space="preserve">Port &amp; Logistics </w:t>
      </w:r>
    </w:p>
    <w:p w14:paraId="1E2B77BC" w14:textId="77777777" w:rsidR="00121516" w:rsidRDefault="00121516" w:rsidP="00121516">
      <w:pPr>
        <w:pStyle w:val="ListParagraph"/>
        <w:numPr>
          <w:ilvl w:val="0"/>
          <w:numId w:val="43"/>
        </w:numPr>
        <w:jc w:val="both"/>
      </w:pPr>
      <w:r>
        <w:t xml:space="preserve">Food and Fish Processing </w:t>
      </w:r>
    </w:p>
    <w:p w14:paraId="049D30F5" w14:textId="77777777" w:rsidR="00121516" w:rsidRDefault="00121516" w:rsidP="00121516">
      <w:pPr>
        <w:pStyle w:val="ListParagraph"/>
        <w:numPr>
          <w:ilvl w:val="0"/>
          <w:numId w:val="43"/>
        </w:numPr>
        <w:jc w:val="both"/>
      </w:pPr>
      <w:r>
        <w:t xml:space="preserve">Chemicals and Process Industries </w:t>
      </w:r>
    </w:p>
    <w:p w14:paraId="1D6BC953" w14:textId="77777777" w:rsidR="00121516" w:rsidRDefault="00121516" w:rsidP="00121516">
      <w:pPr>
        <w:pStyle w:val="ListParagraph"/>
        <w:numPr>
          <w:ilvl w:val="0"/>
          <w:numId w:val="43"/>
        </w:numPr>
        <w:jc w:val="both"/>
      </w:pPr>
      <w:r>
        <w:t xml:space="preserve">Renewable Energy </w:t>
      </w:r>
    </w:p>
    <w:p w14:paraId="4B172FF9" w14:textId="77777777" w:rsidR="00121516" w:rsidRDefault="00121516" w:rsidP="00121516">
      <w:pPr>
        <w:pStyle w:val="ListParagraph"/>
        <w:numPr>
          <w:ilvl w:val="0"/>
          <w:numId w:val="43"/>
        </w:numPr>
        <w:jc w:val="both"/>
      </w:pPr>
      <w:r>
        <w:t xml:space="preserve">Visitor Economy, Services &amp; Retail  </w:t>
      </w:r>
    </w:p>
    <w:p w14:paraId="53982D7C" w14:textId="77777777" w:rsidR="00121516" w:rsidRDefault="00121516" w:rsidP="00121516">
      <w:pPr>
        <w:jc w:val="both"/>
      </w:pPr>
      <w:r>
        <w:t xml:space="preserve">Table </w:t>
      </w:r>
      <w:r>
        <w:rPr>
          <w:noProof/>
        </w:rPr>
        <w:t>2</w:t>
      </w:r>
      <w:r>
        <w:t>-</w:t>
      </w:r>
      <w:r>
        <w:rPr>
          <w:noProof/>
        </w:rPr>
        <w:t>9</w:t>
      </w:r>
      <w:r>
        <w:t xml:space="preserve"> provides an overview of these ‘key sectors’ providing a context for more detailed sector specific assessments which are set out in subsequent sections. </w:t>
      </w:r>
    </w:p>
    <w:p w14:paraId="1015D992" w14:textId="77777777" w:rsidR="00121516" w:rsidRDefault="00121516" w:rsidP="00121516">
      <w:pPr>
        <w:pStyle w:val="Caption"/>
      </w:pPr>
      <w:bookmarkStart w:id="497" w:name="_Ref393887553"/>
      <w:r>
        <w:t xml:space="preserve">Table </w:t>
      </w:r>
      <w:fldSimple w:instr=" STYLEREF 1 \s  \* MERGEFORMAT ">
        <w:r w:rsidR="00E95E1A">
          <w:rPr>
            <w:noProof/>
          </w:rPr>
          <w:t>2</w:t>
        </w:r>
      </w:fldSimple>
      <w:r>
        <w:t>-</w:t>
      </w:r>
      <w:fldSimple w:instr=" SEQ Table \* ARABIC \s 1  \* MERGEFORMAT ">
        <w:r w:rsidR="00E95E1A">
          <w:rPr>
            <w:noProof/>
          </w:rPr>
          <w:t>9</w:t>
        </w:r>
      </w:fldSimple>
      <w:bookmarkEnd w:id="497"/>
      <w:r>
        <w:tab/>
        <w:t>Overview of the five key sectors</w:t>
      </w:r>
    </w:p>
    <w:tbl>
      <w:tblPr>
        <w:tblStyle w:val="Atkins14pt"/>
        <w:tblW w:w="0" w:type="auto"/>
        <w:tblLook w:val="04A0" w:firstRow="1" w:lastRow="0" w:firstColumn="1" w:lastColumn="0" w:noHBand="0" w:noVBand="1"/>
      </w:tblPr>
      <w:tblGrid>
        <w:gridCol w:w="1384"/>
        <w:gridCol w:w="8222"/>
      </w:tblGrid>
      <w:tr w:rsidR="00121516" w14:paraId="19366AE4" w14:textId="77777777" w:rsidTr="002D14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4" w:type="dxa"/>
          </w:tcPr>
          <w:p w14:paraId="3148829E" w14:textId="77777777" w:rsidR="00121516" w:rsidRPr="00282B77" w:rsidRDefault="00121516" w:rsidP="002D14A9">
            <w:pPr>
              <w:jc w:val="both"/>
              <w:rPr>
                <w:color w:val="auto"/>
              </w:rPr>
            </w:pPr>
            <w:r w:rsidRPr="00282B77">
              <w:rPr>
                <w:color w:val="auto"/>
              </w:rPr>
              <w:t xml:space="preserve"> Sector</w:t>
            </w:r>
          </w:p>
        </w:tc>
        <w:tc>
          <w:tcPr>
            <w:tcW w:w="8222" w:type="dxa"/>
          </w:tcPr>
          <w:p w14:paraId="45C7B34D" w14:textId="77777777" w:rsidR="00121516" w:rsidRPr="00282B77" w:rsidRDefault="00121516" w:rsidP="002D14A9">
            <w:pPr>
              <w:jc w:val="both"/>
              <w:cnfStyle w:val="100000000000" w:firstRow="1" w:lastRow="0" w:firstColumn="0" w:lastColumn="0" w:oddVBand="0" w:evenVBand="0" w:oddHBand="0" w:evenHBand="0" w:firstRowFirstColumn="0" w:firstRowLastColumn="0" w:lastRowFirstColumn="0" w:lastRowLastColumn="0"/>
              <w:rPr>
                <w:color w:val="auto"/>
              </w:rPr>
            </w:pPr>
            <w:r w:rsidRPr="00282B77">
              <w:rPr>
                <w:color w:val="auto"/>
              </w:rPr>
              <w:t xml:space="preserve">Brief </w:t>
            </w:r>
            <w:r>
              <w:rPr>
                <w:color w:val="auto"/>
              </w:rPr>
              <w:t>Overview</w:t>
            </w:r>
          </w:p>
        </w:tc>
      </w:tr>
      <w:tr w:rsidR="00121516" w14:paraId="246C21DE" w14:textId="77777777" w:rsidTr="002D14A9">
        <w:tc>
          <w:tcPr>
            <w:cnfStyle w:val="001000000000" w:firstRow="0" w:lastRow="0" w:firstColumn="1" w:lastColumn="0" w:oddVBand="0" w:evenVBand="0" w:oddHBand="0" w:evenHBand="0" w:firstRowFirstColumn="0" w:firstRowLastColumn="0" w:lastRowFirstColumn="0" w:lastRowLastColumn="0"/>
            <w:tcW w:w="1384" w:type="dxa"/>
          </w:tcPr>
          <w:p w14:paraId="57AF5F1B" w14:textId="77777777" w:rsidR="00121516" w:rsidRPr="00282B77" w:rsidRDefault="00121516" w:rsidP="002D14A9">
            <w:pPr>
              <w:rPr>
                <w:color w:val="auto"/>
              </w:rPr>
            </w:pPr>
            <w:r w:rsidRPr="00282B77">
              <w:rPr>
                <w:color w:val="auto"/>
              </w:rPr>
              <w:t xml:space="preserve">Port &amp; Logistics </w:t>
            </w:r>
          </w:p>
        </w:tc>
        <w:tc>
          <w:tcPr>
            <w:tcW w:w="8222" w:type="dxa"/>
          </w:tcPr>
          <w:p w14:paraId="7DE06413" w14:textId="77777777" w:rsidR="00121516" w:rsidRPr="00282B77" w:rsidRDefault="00121516" w:rsidP="002D14A9">
            <w:pPr>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The</w:t>
            </w:r>
            <w:r>
              <w:rPr>
                <w:color w:val="auto"/>
              </w:rPr>
              <w:t xml:space="preserve"> combined</w:t>
            </w:r>
            <w:r w:rsidRPr="00282B77">
              <w:rPr>
                <w:color w:val="auto"/>
              </w:rPr>
              <w:t xml:space="preserve"> </w:t>
            </w:r>
            <w:r>
              <w:rPr>
                <w:color w:val="auto"/>
              </w:rPr>
              <w:t>p</w:t>
            </w:r>
            <w:r w:rsidRPr="00282B77">
              <w:rPr>
                <w:color w:val="auto"/>
              </w:rPr>
              <w:t>orts of Immingham and Grimsby ha</w:t>
            </w:r>
            <w:r>
              <w:rPr>
                <w:color w:val="auto"/>
              </w:rPr>
              <w:t>ve</w:t>
            </w:r>
            <w:r w:rsidRPr="00282B77">
              <w:rPr>
                <w:color w:val="auto"/>
              </w:rPr>
              <w:t xml:space="preserve"> developed from the world’s largest fishing port to become the largest port by tonnage in the UK. The ports are geographically separate and this has led to a different profile of goods being shipped through the port complex. The Port of Immingham’s profile of goods is linked closer to heavy industry with bulk goods (like coal and oil)</w:t>
            </w:r>
            <w:r>
              <w:rPr>
                <w:color w:val="auto"/>
              </w:rPr>
              <w:t>,</w:t>
            </w:r>
            <w:r w:rsidRPr="00282B77">
              <w:rPr>
                <w:color w:val="auto"/>
              </w:rPr>
              <w:t xml:space="preserve"> petro-chemical </w:t>
            </w:r>
            <w:r>
              <w:rPr>
                <w:color w:val="auto"/>
              </w:rPr>
              <w:t>goods</w:t>
            </w:r>
            <w:r w:rsidRPr="00282B77">
              <w:rPr>
                <w:color w:val="auto"/>
              </w:rPr>
              <w:t xml:space="preserve"> and </w:t>
            </w:r>
            <w:r>
              <w:rPr>
                <w:color w:val="auto"/>
              </w:rPr>
              <w:t>r</w:t>
            </w:r>
            <w:r w:rsidRPr="00282B77">
              <w:rPr>
                <w:color w:val="auto"/>
              </w:rPr>
              <w:t>o-</w:t>
            </w:r>
            <w:r>
              <w:rPr>
                <w:color w:val="auto"/>
              </w:rPr>
              <w:t>r</w:t>
            </w:r>
            <w:r w:rsidRPr="00282B77">
              <w:rPr>
                <w:color w:val="auto"/>
              </w:rPr>
              <w:t>o ferries. The Port of Grimsby transports dry bulk, fresh produce</w:t>
            </w:r>
            <w:r>
              <w:rPr>
                <w:color w:val="auto"/>
              </w:rPr>
              <w:t xml:space="preserve"> and</w:t>
            </w:r>
            <w:r w:rsidRPr="00282B77">
              <w:rPr>
                <w:color w:val="auto"/>
              </w:rPr>
              <w:t xml:space="preserve"> </w:t>
            </w:r>
            <w:r>
              <w:rPr>
                <w:color w:val="auto"/>
              </w:rPr>
              <w:t>r</w:t>
            </w:r>
            <w:r w:rsidRPr="00282B77">
              <w:rPr>
                <w:color w:val="auto"/>
              </w:rPr>
              <w:t>o-</w:t>
            </w:r>
            <w:r>
              <w:rPr>
                <w:color w:val="auto"/>
              </w:rPr>
              <w:t>r</w:t>
            </w:r>
            <w:r w:rsidRPr="00282B77">
              <w:rPr>
                <w:color w:val="auto"/>
              </w:rPr>
              <w:t xml:space="preserve">o </w:t>
            </w:r>
            <w:r>
              <w:rPr>
                <w:color w:val="auto"/>
              </w:rPr>
              <w:t>freight,</w:t>
            </w:r>
            <w:r w:rsidRPr="00282B77">
              <w:rPr>
                <w:color w:val="auto"/>
              </w:rPr>
              <w:t xml:space="preserve"> and has an increasing renewables presence. The future of the ports appears </w:t>
            </w:r>
            <w:r>
              <w:rPr>
                <w:color w:val="auto"/>
              </w:rPr>
              <w:t xml:space="preserve">positive </w:t>
            </w:r>
            <w:r w:rsidRPr="00282B77">
              <w:rPr>
                <w:color w:val="auto"/>
              </w:rPr>
              <w:t>as the UK seeks energy security and the ports align to different types of energy supplies (e.g. oil, liquefied natural gas</w:t>
            </w:r>
            <w:r>
              <w:rPr>
                <w:color w:val="auto"/>
              </w:rPr>
              <w:t xml:space="preserve">, </w:t>
            </w:r>
            <w:r w:rsidRPr="00282B77">
              <w:rPr>
                <w:color w:val="auto"/>
              </w:rPr>
              <w:t xml:space="preserve">biomass and offshore windfarms). </w:t>
            </w:r>
          </w:p>
        </w:tc>
      </w:tr>
      <w:tr w:rsidR="00121516" w14:paraId="0057A09B" w14:textId="77777777" w:rsidTr="002D14A9">
        <w:tc>
          <w:tcPr>
            <w:cnfStyle w:val="001000000000" w:firstRow="0" w:lastRow="0" w:firstColumn="1" w:lastColumn="0" w:oddVBand="0" w:evenVBand="0" w:oddHBand="0" w:evenHBand="0" w:firstRowFirstColumn="0" w:firstRowLastColumn="0" w:lastRowFirstColumn="0" w:lastRowLastColumn="0"/>
            <w:tcW w:w="1384" w:type="dxa"/>
          </w:tcPr>
          <w:p w14:paraId="635C09F4" w14:textId="77777777" w:rsidR="00121516" w:rsidRPr="00282B77" w:rsidRDefault="00121516" w:rsidP="002D14A9">
            <w:pPr>
              <w:jc w:val="both"/>
              <w:rPr>
                <w:color w:val="auto"/>
              </w:rPr>
            </w:pPr>
            <w:r w:rsidRPr="00282B77">
              <w:rPr>
                <w:color w:val="auto"/>
              </w:rPr>
              <w:t xml:space="preserve">Food and Fish Processing </w:t>
            </w:r>
          </w:p>
        </w:tc>
        <w:tc>
          <w:tcPr>
            <w:tcW w:w="8222" w:type="dxa"/>
          </w:tcPr>
          <w:p w14:paraId="5CF6BA58" w14:textId="77777777" w:rsidR="00121516" w:rsidRPr="00282B77" w:rsidRDefault="00121516" w:rsidP="002D14A9">
            <w:pPr>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Grimsby was once the principa</w:t>
            </w:r>
            <w:r>
              <w:rPr>
                <w:color w:val="auto"/>
              </w:rPr>
              <w:t xml:space="preserve">l centre for fishing in England,and developed rapidly after the arrival of the railway in 1848. </w:t>
            </w:r>
            <w:r w:rsidRPr="00282B77">
              <w:rPr>
                <w:color w:val="auto"/>
              </w:rPr>
              <w:t xml:space="preserve"> At its peak in the 1950s, Grimsby was the largest and busiest fishing port in the world due to this trade. However as a result of the ‘Cod Wars’ with Iceland the fishing industry declined</w:t>
            </w:r>
            <w:r>
              <w:rPr>
                <w:color w:val="auto"/>
              </w:rPr>
              <w:t xml:space="preserve">. Whilst </w:t>
            </w:r>
            <w:r w:rsidRPr="00282B77">
              <w:rPr>
                <w:color w:val="auto"/>
              </w:rPr>
              <w:t xml:space="preserve">Grimsby is still home to the largest fish market in </w:t>
            </w:r>
            <w:r>
              <w:rPr>
                <w:color w:val="auto"/>
              </w:rPr>
              <w:t xml:space="preserve">England &amp; Wales </w:t>
            </w:r>
            <w:r w:rsidRPr="00282B77">
              <w:rPr>
                <w:color w:val="auto"/>
              </w:rPr>
              <w:t xml:space="preserve"> </w:t>
            </w:r>
            <w:r>
              <w:rPr>
                <w:color w:val="auto"/>
              </w:rPr>
              <w:t xml:space="preserve">it has now developed a key niche in the </w:t>
            </w:r>
            <w:r w:rsidRPr="00282B77">
              <w:rPr>
                <w:color w:val="auto"/>
              </w:rPr>
              <w:t xml:space="preserve">fish processing </w:t>
            </w:r>
            <w:r>
              <w:rPr>
                <w:color w:val="auto"/>
              </w:rPr>
              <w:t xml:space="preserve">industry, which has also adapted into the provision of other foods. </w:t>
            </w:r>
            <w:r w:rsidRPr="00282B77">
              <w:rPr>
                <w:color w:val="auto"/>
              </w:rPr>
              <w:t xml:space="preserve">he </w:t>
            </w:r>
            <w:r>
              <w:rPr>
                <w:color w:val="auto"/>
              </w:rPr>
              <w:t xml:space="preserve">relative accessibility of the </w:t>
            </w:r>
            <w:r w:rsidRPr="00282B77">
              <w:rPr>
                <w:color w:val="auto"/>
              </w:rPr>
              <w:t>the North Sea is seen to be key to</w:t>
            </w:r>
            <w:r>
              <w:rPr>
                <w:color w:val="auto"/>
              </w:rPr>
              <w:t xml:space="preserve"> remaining an important fish processing centre, and considered to be a key part of the </w:t>
            </w:r>
            <w:r w:rsidRPr="00282B77">
              <w:rPr>
                <w:color w:val="auto"/>
              </w:rPr>
              <w:t xml:space="preserve"> future prosperity of the local area. ..</w:t>
            </w:r>
          </w:p>
        </w:tc>
      </w:tr>
      <w:tr w:rsidR="00121516" w14:paraId="3C4E1A02" w14:textId="77777777" w:rsidTr="002D14A9">
        <w:tc>
          <w:tcPr>
            <w:cnfStyle w:val="001000000000" w:firstRow="0" w:lastRow="0" w:firstColumn="1" w:lastColumn="0" w:oddVBand="0" w:evenVBand="0" w:oddHBand="0" w:evenHBand="0" w:firstRowFirstColumn="0" w:firstRowLastColumn="0" w:lastRowFirstColumn="0" w:lastRowLastColumn="0"/>
            <w:tcW w:w="1384" w:type="dxa"/>
          </w:tcPr>
          <w:p w14:paraId="3CB91D98" w14:textId="77777777" w:rsidR="00121516" w:rsidRPr="00282B77" w:rsidRDefault="00121516" w:rsidP="002D14A9">
            <w:pPr>
              <w:jc w:val="both"/>
              <w:rPr>
                <w:color w:val="auto"/>
              </w:rPr>
            </w:pPr>
            <w:r w:rsidRPr="00282B77">
              <w:rPr>
                <w:color w:val="auto"/>
              </w:rPr>
              <w:t xml:space="preserve">Chemicals and Process Industries </w:t>
            </w:r>
          </w:p>
        </w:tc>
        <w:tc>
          <w:tcPr>
            <w:tcW w:w="8222" w:type="dxa"/>
          </w:tcPr>
          <w:p w14:paraId="24B12E68" w14:textId="77777777" w:rsidR="00121516" w:rsidRPr="00282B77" w:rsidRDefault="00121516" w:rsidP="002D14A9">
            <w:pPr>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The chemicals industry has a long history in the area</w:t>
            </w:r>
            <w:r>
              <w:rPr>
                <w:color w:val="auto"/>
              </w:rPr>
              <w:t>, established in the 1950s and ‘60s</w:t>
            </w:r>
            <w:r w:rsidRPr="00282B77">
              <w:rPr>
                <w:color w:val="auto"/>
              </w:rPr>
              <w:t xml:space="preserve">. The industry is comparatively autonomous with global supply chains. </w:t>
            </w:r>
            <w:r>
              <w:rPr>
                <w:color w:val="auto"/>
              </w:rPr>
              <w:t>Proximity to the Humber provides access to</w:t>
            </w:r>
            <w:r w:rsidRPr="00282B77">
              <w:rPr>
                <w:color w:val="auto"/>
              </w:rPr>
              <w:t xml:space="preserve"> deep-water ports and raw products</w:t>
            </w:r>
            <w:r>
              <w:rPr>
                <w:color w:val="auto"/>
              </w:rPr>
              <w:t xml:space="preserve"> and therefore has supported</w:t>
            </w:r>
            <w:r w:rsidRPr="00282B77">
              <w:rPr>
                <w:color w:val="auto"/>
              </w:rPr>
              <w:t xml:space="preserve"> industry growth. The industry is well established locally and continues to offer opportunities for economic growth in the future. </w:t>
            </w:r>
          </w:p>
        </w:tc>
      </w:tr>
      <w:tr w:rsidR="00121516" w14:paraId="07F0A048" w14:textId="77777777" w:rsidTr="002D14A9">
        <w:tc>
          <w:tcPr>
            <w:cnfStyle w:val="001000000000" w:firstRow="0" w:lastRow="0" w:firstColumn="1" w:lastColumn="0" w:oddVBand="0" w:evenVBand="0" w:oddHBand="0" w:evenHBand="0" w:firstRowFirstColumn="0" w:firstRowLastColumn="0" w:lastRowFirstColumn="0" w:lastRowLastColumn="0"/>
            <w:tcW w:w="1384" w:type="dxa"/>
          </w:tcPr>
          <w:p w14:paraId="1B488A7B" w14:textId="77777777" w:rsidR="00121516" w:rsidRPr="00282B77" w:rsidRDefault="00121516" w:rsidP="002D14A9">
            <w:pPr>
              <w:jc w:val="both"/>
              <w:rPr>
                <w:color w:val="auto"/>
              </w:rPr>
            </w:pPr>
            <w:r w:rsidRPr="00282B77">
              <w:rPr>
                <w:color w:val="auto"/>
              </w:rPr>
              <w:t xml:space="preserve">Renewable Energy </w:t>
            </w:r>
          </w:p>
        </w:tc>
        <w:tc>
          <w:tcPr>
            <w:tcW w:w="8222" w:type="dxa"/>
          </w:tcPr>
          <w:p w14:paraId="48F55CA9" w14:textId="77777777" w:rsidR="00121516" w:rsidRPr="00282B77" w:rsidRDefault="00121516" w:rsidP="002D14A9">
            <w:pPr>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 xml:space="preserve">There are a range of renewable energy technologies and commercial activities including biomass, biofuel and waste management across </w:t>
            </w:r>
            <w:r>
              <w:rPr>
                <w:color w:val="auto"/>
              </w:rPr>
              <w:t>NEL</w:t>
            </w:r>
            <w:r w:rsidRPr="00282B77">
              <w:rPr>
                <w:color w:val="auto"/>
              </w:rPr>
              <w:t>. The most prominent is the offshore wind industry</w:t>
            </w:r>
            <w:r>
              <w:rPr>
                <w:color w:val="auto"/>
              </w:rPr>
              <w:t xml:space="preserve">, </w:t>
            </w:r>
            <w:r w:rsidRPr="00282B77">
              <w:rPr>
                <w:color w:val="auto"/>
              </w:rPr>
              <w:t xml:space="preserve">established </w:t>
            </w:r>
            <w:r>
              <w:rPr>
                <w:color w:val="auto"/>
              </w:rPr>
              <w:t xml:space="preserve">through the </w:t>
            </w:r>
            <w:r w:rsidRPr="00282B77">
              <w:rPr>
                <w:color w:val="auto"/>
              </w:rPr>
              <w:t xml:space="preserve">development of </w:t>
            </w:r>
            <w:r>
              <w:rPr>
                <w:color w:val="auto"/>
              </w:rPr>
              <w:t>R</w:t>
            </w:r>
            <w:r w:rsidRPr="00282B77">
              <w:rPr>
                <w:color w:val="auto"/>
              </w:rPr>
              <w:t>ound 1 and 2 windfarm zones. Those operational thus far include Lynn</w:t>
            </w:r>
            <w:r>
              <w:rPr>
                <w:color w:val="auto"/>
              </w:rPr>
              <w:t xml:space="preserve">, </w:t>
            </w:r>
            <w:r w:rsidRPr="00282B77">
              <w:rPr>
                <w:color w:val="auto"/>
              </w:rPr>
              <w:t xml:space="preserve">Inner Dowsing and Lincolnshire, whilst Humber Gateway and Westermost Rough are </w:t>
            </w:r>
            <w:r>
              <w:rPr>
                <w:color w:val="auto"/>
              </w:rPr>
              <w:t>under</w:t>
            </w:r>
            <w:r w:rsidRPr="00282B77">
              <w:rPr>
                <w:color w:val="auto"/>
              </w:rPr>
              <w:t xml:space="preserve"> construction. These windfarms have provided </w:t>
            </w:r>
            <w:r>
              <w:rPr>
                <w:color w:val="auto"/>
              </w:rPr>
              <w:t>opportunities</w:t>
            </w:r>
            <w:r w:rsidRPr="00282B77">
              <w:rPr>
                <w:color w:val="auto"/>
              </w:rPr>
              <w:t xml:space="preserve"> for local business to benefit from supply chain demand. Grimsby has established itself as a focal point for Operation and Maintenance (O&amp;M). Further onshore windfarms in Northern Lincolnshire and biomass developments at the Port of Immingham (to support co-firing at Drax) have created the foundations for considerable economic growth</w:t>
            </w:r>
            <w:r>
              <w:rPr>
                <w:color w:val="auto"/>
              </w:rPr>
              <w:t xml:space="preserve"> opportunities</w:t>
            </w:r>
            <w:r w:rsidRPr="00282B77">
              <w:rPr>
                <w:color w:val="auto"/>
              </w:rPr>
              <w:t xml:space="preserve">.  </w:t>
            </w:r>
            <w:r>
              <w:rPr>
                <w:color w:val="auto"/>
              </w:rPr>
              <w:t>In close proximity to</w:t>
            </w:r>
            <w:r w:rsidRPr="00282B77">
              <w:rPr>
                <w:color w:val="auto"/>
              </w:rPr>
              <w:t xml:space="preserve"> </w:t>
            </w:r>
            <w:r>
              <w:rPr>
                <w:color w:val="auto"/>
              </w:rPr>
              <w:t>NEL</w:t>
            </w:r>
            <w:r w:rsidRPr="00282B77">
              <w:rPr>
                <w:color w:val="auto"/>
              </w:rPr>
              <w:t>, two major renewable energy cluster</w:t>
            </w:r>
            <w:r>
              <w:rPr>
                <w:color w:val="auto"/>
              </w:rPr>
              <w:t>s</w:t>
            </w:r>
            <w:r w:rsidRPr="00282B77">
              <w:rPr>
                <w:color w:val="auto"/>
              </w:rPr>
              <w:t xml:space="preserve"> are planned:  Able Marine Energy Park</w:t>
            </w:r>
            <w:r>
              <w:rPr>
                <w:color w:val="auto"/>
              </w:rPr>
              <w:t>;</w:t>
            </w:r>
            <w:r w:rsidRPr="00282B77">
              <w:rPr>
                <w:color w:val="auto"/>
              </w:rPr>
              <w:t xml:space="preserve"> and</w:t>
            </w:r>
            <w:r>
              <w:rPr>
                <w:color w:val="auto"/>
              </w:rPr>
              <w:t xml:space="preserve"> Hull Green Port, which will include a Siemens </w:t>
            </w:r>
            <w:r w:rsidRPr="00282B77">
              <w:rPr>
                <w:color w:val="auto"/>
              </w:rPr>
              <w:t>wind turbine-manufacturing facility.</w:t>
            </w:r>
          </w:p>
        </w:tc>
      </w:tr>
      <w:tr w:rsidR="00121516" w14:paraId="48108CD5" w14:textId="77777777" w:rsidTr="002D14A9">
        <w:tc>
          <w:tcPr>
            <w:cnfStyle w:val="001000000000" w:firstRow="0" w:lastRow="0" w:firstColumn="1" w:lastColumn="0" w:oddVBand="0" w:evenVBand="0" w:oddHBand="0" w:evenHBand="0" w:firstRowFirstColumn="0" w:firstRowLastColumn="0" w:lastRowFirstColumn="0" w:lastRowLastColumn="0"/>
            <w:tcW w:w="1384" w:type="dxa"/>
          </w:tcPr>
          <w:p w14:paraId="35419850" w14:textId="77777777" w:rsidR="00121516" w:rsidRPr="00282B77" w:rsidRDefault="00121516" w:rsidP="002D14A9">
            <w:pPr>
              <w:jc w:val="both"/>
              <w:rPr>
                <w:color w:val="auto"/>
              </w:rPr>
            </w:pPr>
            <w:r w:rsidRPr="00282B77">
              <w:rPr>
                <w:color w:val="auto"/>
              </w:rPr>
              <w:t xml:space="preserve">Visitor </w:t>
            </w:r>
            <w:r>
              <w:rPr>
                <w:color w:val="auto"/>
              </w:rPr>
              <w:t xml:space="preserve">Economy, Services </w:t>
            </w:r>
            <w:r w:rsidRPr="00282B77">
              <w:rPr>
                <w:color w:val="auto"/>
              </w:rPr>
              <w:t>&amp; Retail</w:t>
            </w:r>
          </w:p>
        </w:tc>
        <w:tc>
          <w:tcPr>
            <w:tcW w:w="8222" w:type="dxa"/>
          </w:tcPr>
          <w:p w14:paraId="307D0AB5" w14:textId="77777777" w:rsidR="00121516" w:rsidRPr="002B7717" w:rsidRDefault="00121516" w:rsidP="002D14A9">
            <w:pPr>
              <w:jc w:val="both"/>
              <w:cnfStyle w:val="000000000000" w:firstRow="0" w:lastRow="0" w:firstColumn="0" w:lastColumn="0" w:oddVBand="0" w:evenVBand="0" w:oddHBand="0" w:evenHBand="0" w:firstRowFirstColumn="0" w:firstRowLastColumn="0" w:lastRowFirstColumn="0" w:lastRowLastColumn="0"/>
              <w:rPr>
                <w:color w:val="auto"/>
              </w:rPr>
            </w:pPr>
            <w:r w:rsidRPr="005E3EC5">
              <w:rPr>
                <w:color w:val="auto"/>
              </w:rPr>
              <w:t>As rail opened up the UK to mass travel of goods and people, Cleethorpes became popular wi</w:t>
            </w:r>
            <w:r w:rsidRPr="002B7717">
              <w:rPr>
                <w:color w:val="auto"/>
              </w:rPr>
              <w:t xml:space="preserve">th visitors in the late 1800s. A pier was built in 1873 and </w:t>
            </w:r>
            <w:r>
              <w:rPr>
                <w:color w:val="auto"/>
              </w:rPr>
              <w:t>the</w:t>
            </w:r>
            <w:r w:rsidRPr="002B7717">
              <w:rPr>
                <w:color w:val="auto"/>
              </w:rPr>
              <w:t xml:space="preserve"> amusements, beach and Thorpe Park Holiday Camp</w:t>
            </w:r>
            <w:r>
              <w:rPr>
                <w:color w:val="auto"/>
              </w:rPr>
              <w:t xml:space="preserve"> are popular attractions</w:t>
            </w:r>
            <w:r w:rsidRPr="002B7717">
              <w:rPr>
                <w:color w:val="auto"/>
              </w:rPr>
              <w:t>. More recently, other visitor attractions such as the Fishing Heritage Museum in Grimsby have been established, drawing visitors interested in the maritime history of the local area</w:t>
            </w:r>
            <w:r>
              <w:rPr>
                <w:color w:val="auto"/>
              </w:rPr>
              <w:t xml:space="preserve"> during the holiday season</w:t>
            </w:r>
            <w:r w:rsidRPr="002B7717">
              <w:rPr>
                <w:color w:val="auto"/>
              </w:rPr>
              <w:t>. Further theatre, events and cultural performances have attracted visitor</w:t>
            </w:r>
            <w:r>
              <w:rPr>
                <w:color w:val="auto"/>
              </w:rPr>
              <w:t>s</w:t>
            </w:r>
            <w:r w:rsidRPr="002B7717">
              <w:rPr>
                <w:color w:val="auto"/>
              </w:rPr>
              <w:t xml:space="preserve"> to the local area. </w:t>
            </w:r>
            <w:r>
              <w:rPr>
                <w:color w:val="auto"/>
              </w:rPr>
              <w:t>NEL</w:t>
            </w:r>
            <w:r w:rsidRPr="002B7717">
              <w:rPr>
                <w:color w:val="auto"/>
              </w:rPr>
              <w:t xml:space="preserve"> has always been a busy trading area and retail </w:t>
            </w:r>
            <w:r>
              <w:rPr>
                <w:color w:val="auto"/>
              </w:rPr>
              <w:t>is</w:t>
            </w:r>
            <w:r w:rsidRPr="002B7717">
              <w:rPr>
                <w:color w:val="auto"/>
              </w:rPr>
              <w:t xml:space="preserve"> an important element of the local economy. The growth in disposable income has also driven developments across </w:t>
            </w:r>
            <w:r>
              <w:rPr>
                <w:color w:val="auto"/>
              </w:rPr>
              <w:t>NEL</w:t>
            </w:r>
            <w:r w:rsidRPr="002B7717">
              <w:rPr>
                <w:color w:val="auto"/>
              </w:rPr>
              <w:t>, with shopping centres built in Grimsby in 1984 (Abbeygate) and 1989 (Freshney</w:t>
            </w:r>
            <w:r>
              <w:rPr>
                <w:color w:val="auto"/>
              </w:rPr>
              <w:t xml:space="preserve"> Place)</w:t>
            </w:r>
            <w:r w:rsidRPr="002B7717">
              <w:rPr>
                <w:color w:val="auto"/>
              </w:rPr>
              <w:t xml:space="preserve">. </w:t>
            </w:r>
            <w:r>
              <w:rPr>
                <w:color w:val="auto"/>
              </w:rPr>
              <w:t>However, established retail centres</w:t>
            </w:r>
            <w:r w:rsidRPr="002B7717">
              <w:rPr>
                <w:color w:val="auto"/>
              </w:rPr>
              <w:t xml:space="preserve"> across </w:t>
            </w:r>
            <w:r>
              <w:rPr>
                <w:color w:val="auto"/>
              </w:rPr>
              <w:t xml:space="preserve">NEL face </w:t>
            </w:r>
            <w:r w:rsidRPr="002B7717">
              <w:rPr>
                <w:color w:val="auto"/>
              </w:rPr>
              <w:t xml:space="preserve"> competition from other </w:t>
            </w:r>
            <w:r>
              <w:rPr>
                <w:color w:val="auto"/>
              </w:rPr>
              <w:t xml:space="preserve">local </w:t>
            </w:r>
            <w:r w:rsidRPr="002B7717">
              <w:rPr>
                <w:color w:val="auto"/>
              </w:rPr>
              <w:t>areas and out</w:t>
            </w:r>
            <w:r>
              <w:rPr>
                <w:color w:val="auto"/>
              </w:rPr>
              <w:t>-</w:t>
            </w:r>
            <w:r w:rsidRPr="002B7717">
              <w:rPr>
                <w:color w:val="auto"/>
              </w:rPr>
              <w:t>of</w:t>
            </w:r>
            <w:r>
              <w:rPr>
                <w:color w:val="auto"/>
              </w:rPr>
              <w:t>-</w:t>
            </w:r>
            <w:r w:rsidRPr="002B7717">
              <w:rPr>
                <w:color w:val="auto"/>
              </w:rPr>
              <w:t xml:space="preserve">town shopping. </w:t>
            </w:r>
          </w:p>
        </w:tc>
      </w:tr>
    </w:tbl>
    <w:p w14:paraId="3DF7A15E" w14:textId="77777777" w:rsidR="00121516" w:rsidRDefault="00121516" w:rsidP="00121516">
      <w:pPr>
        <w:jc w:val="both"/>
      </w:pPr>
      <w:bookmarkStart w:id="498" w:name="_Toc393715361"/>
      <w:bookmarkStart w:id="499" w:name="_Toc393719405"/>
      <w:bookmarkStart w:id="500" w:name="_Toc393887427"/>
      <w:bookmarkStart w:id="501" w:name="_Toc393715363"/>
      <w:bookmarkStart w:id="502" w:name="_Toc393719407"/>
      <w:bookmarkStart w:id="503" w:name="_Toc393887429"/>
      <w:bookmarkStart w:id="504" w:name="_Toc393715364"/>
      <w:bookmarkStart w:id="505" w:name="_Toc393719408"/>
      <w:bookmarkStart w:id="506" w:name="_Toc393887430"/>
      <w:bookmarkStart w:id="507" w:name="_Toc393715367"/>
      <w:bookmarkStart w:id="508" w:name="_Toc393719411"/>
      <w:bookmarkStart w:id="509" w:name="_Toc393887433"/>
      <w:bookmarkStart w:id="510" w:name="_Toc393715368"/>
      <w:bookmarkStart w:id="511" w:name="_Toc393719412"/>
      <w:bookmarkStart w:id="512" w:name="_Toc393887434"/>
      <w:bookmarkStart w:id="513" w:name="_Toc393715369"/>
      <w:bookmarkStart w:id="514" w:name="_Toc393719413"/>
      <w:bookmarkStart w:id="515" w:name="_Toc393887435"/>
      <w:bookmarkStart w:id="516" w:name="_Toc393715375"/>
      <w:bookmarkStart w:id="517" w:name="_Toc393719419"/>
      <w:bookmarkStart w:id="518" w:name="_Toc393887441"/>
      <w:bookmarkStart w:id="519" w:name="_Toc393715424"/>
      <w:bookmarkStart w:id="520" w:name="_Toc393719468"/>
      <w:bookmarkStart w:id="521" w:name="_Toc393887490"/>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5FF672C1" w14:textId="77777777" w:rsidR="00F31655" w:rsidRDefault="00F31655" w:rsidP="00F31655">
      <w:pPr>
        <w:pStyle w:val="Heading3"/>
        <w:tabs>
          <w:tab w:val="num" w:pos="1021"/>
        </w:tabs>
        <w:spacing w:before="360"/>
      </w:pPr>
      <w:bookmarkStart w:id="522" w:name="_Toc393715440"/>
      <w:bookmarkStart w:id="523" w:name="_Toc393719484"/>
      <w:bookmarkStart w:id="524" w:name="_Toc393887506"/>
      <w:bookmarkStart w:id="525" w:name="_Toc393715441"/>
      <w:bookmarkStart w:id="526" w:name="_Toc393719485"/>
      <w:bookmarkStart w:id="527" w:name="_Toc393887507"/>
      <w:bookmarkStart w:id="528" w:name="_Toc393715442"/>
      <w:bookmarkStart w:id="529" w:name="_Toc393719486"/>
      <w:bookmarkStart w:id="530" w:name="_Toc393887508"/>
      <w:bookmarkStart w:id="531" w:name="_Toc393715445"/>
      <w:bookmarkStart w:id="532" w:name="_Toc393719489"/>
      <w:bookmarkStart w:id="533" w:name="_Toc393887511"/>
      <w:bookmarkStart w:id="534" w:name="_Toc393715446"/>
      <w:bookmarkStart w:id="535" w:name="_Toc393719490"/>
      <w:bookmarkStart w:id="536" w:name="_Toc393887512"/>
      <w:bookmarkStart w:id="537" w:name="_Toc393715447"/>
      <w:bookmarkStart w:id="538" w:name="_Toc393719491"/>
      <w:bookmarkStart w:id="539" w:name="_Toc393887513"/>
      <w:bookmarkStart w:id="540" w:name="_Toc393715448"/>
      <w:bookmarkStart w:id="541" w:name="_Toc393719492"/>
      <w:bookmarkStart w:id="542" w:name="_Toc393887514"/>
      <w:bookmarkStart w:id="543" w:name="_Toc393715449"/>
      <w:bookmarkStart w:id="544" w:name="_Toc393719493"/>
      <w:bookmarkStart w:id="545" w:name="_Toc393887515"/>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t>Major Investment Proposals</w:t>
      </w:r>
    </w:p>
    <w:p w14:paraId="0C9D4DA1" w14:textId="77777777" w:rsidR="00F31655" w:rsidRDefault="00F31655" w:rsidP="00F31655">
      <w:pPr>
        <w:pStyle w:val="BodyText"/>
      </w:pPr>
      <w:r>
        <w:t>The importance of the five key sectors both now and in the future is further reinforced by the fact that substantial investment projects are planned or proposed in North East Lincolnshire and adjoining areas in neighbouring authorities.  Whilst the planned timescales and risks to delivery are not fully assessed in this report, the scale and mix of pipeline projects demonstrates confidence amongst both the private and public sectors regarding the collective future growth and diversification potential of the key sectors.</w:t>
      </w:r>
    </w:p>
    <w:p w14:paraId="09B7C21A" w14:textId="77777777" w:rsidR="00F31655" w:rsidRDefault="00F31655" w:rsidP="00F31655">
      <w:pPr>
        <w:pStyle w:val="BodyText"/>
      </w:pPr>
      <w:r>
        <w:rPr>
          <w:bCs/>
        </w:rPr>
        <w:t>Tables 2-10 to 2-12</w:t>
      </w:r>
      <w:r>
        <w:t xml:space="preserve"> summarise the main major project proposals at the time of writing.  Also provided are indicative estimates of the gross job creation potential associated with each main project.   The table also includes estimates of temporary construction employment in the development sector.  These are derived from estimates of the capital build value of planned housing developments as well as that of the employment projects listed by sector in the rest of the table. It should be noted that the construction job estimates are excluded from the total job estimates given that they will be time-limited in nature and cannot directly be compared with full time equivalent or permanent jobs associated with the individually specified projects.</w:t>
      </w:r>
    </w:p>
    <w:p w14:paraId="699E2427" w14:textId="77777777" w:rsidR="00F31655" w:rsidRDefault="00F31655" w:rsidP="00F31655">
      <w:pPr>
        <w:pStyle w:val="BodyText"/>
      </w:pPr>
      <w:r>
        <w:t>Table 2-10 considers the scenario where substantial public funding is not secured to deliver the infrastructure and environmental conditions that allow major new developments to proceed and consequently there is a reliance on existing infrastructure and assets. Table 2-11 considers Scenario 1 where there is a moderate level of success in securing public investment to create the conditions for growth and enable development. Table 2-12 sets out Scenario 2 which assumes that there is a high degree of success in securing public funding that enables, captures and accelerates growth.</w:t>
      </w:r>
    </w:p>
    <w:p w14:paraId="72DDDBA9" w14:textId="77777777" w:rsidR="00F31655" w:rsidRDefault="00F31655" w:rsidP="00F31655">
      <w:pPr>
        <w:pStyle w:val="BodyText"/>
        <w:rPr>
          <w:b/>
          <w:bCs/>
        </w:rPr>
        <w:sectPr w:rsidR="00F31655" w:rsidSect="00144B5C">
          <w:headerReference w:type="default" r:id="rId30"/>
          <w:footerReference w:type="default" r:id="rId31"/>
          <w:headerReference w:type="first" r:id="rId32"/>
          <w:footerReference w:type="first" r:id="rId33"/>
          <w:pgSz w:w="11906" w:h="16838" w:code="9"/>
          <w:pgMar w:top="964" w:right="1134" w:bottom="964" w:left="1134" w:header="510" w:footer="340" w:gutter="0"/>
          <w:cols w:space="708"/>
          <w:docGrid w:linePitch="360"/>
        </w:sectPr>
      </w:pPr>
    </w:p>
    <w:p w14:paraId="4440C706" w14:textId="77777777" w:rsidR="00F31655" w:rsidRDefault="00F31655" w:rsidP="00F31655">
      <w:pPr>
        <w:pStyle w:val="BodyText"/>
        <w:rPr>
          <w:b/>
          <w:color w:val="BED600" w:themeColor="accent1"/>
        </w:rPr>
      </w:pPr>
      <w:bookmarkStart w:id="546" w:name="_Toc394668599"/>
      <w:r w:rsidRPr="0036742B">
        <w:rPr>
          <w:b/>
          <w:color w:val="BED600" w:themeColor="accent1"/>
        </w:rPr>
        <w:t xml:space="preserve">Table </w:t>
      </w:r>
      <w:fldSimple w:instr=" STYLEREF 1 \s  \* MERGEFORMAT ">
        <w:r w:rsidR="00E95E1A" w:rsidRPr="00E95E1A">
          <w:rPr>
            <w:b/>
            <w:noProof/>
            <w:color w:val="BED600" w:themeColor="accent1"/>
          </w:rPr>
          <w:t>2</w:t>
        </w:r>
      </w:fldSimple>
      <w:r w:rsidRPr="0036742B">
        <w:rPr>
          <w:b/>
          <w:color w:val="BED600" w:themeColor="accent1"/>
        </w:rPr>
        <w:t>-</w:t>
      </w:r>
      <w:fldSimple w:instr=" SEQ Table \* ARABIC \s 1  \* MERGEFORMAT ">
        <w:r w:rsidR="00E95E1A" w:rsidRPr="00E95E1A">
          <w:rPr>
            <w:b/>
            <w:noProof/>
            <w:color w:val="BED600" w:themeColor="accent1"/>
          </w:rPr>
          <w:t>10</w:t>
        </w:r>
      </w:fldSimple>
      <w:r>
        <w:rPr>
          <w:b/>
          <w:color w:val="BED600" w:themeColor="accent1"/>
        </w:rPr>
        <w:t xml:space="preserve"> - </w:t>
      </w:r>
      <w:r w:rsidRPr="00E0327A">
        <w:rPr>
          <w:b/>
          <w:color w:val="BED600" w:themeColor="accent1"/>
        </w:rPr>
        <w:t>Major Project Investment Proposals – NE Lincolnshire &amp; Neighbouring Areas</w:t>
      </w:r>
      <w:r>
        <w:rPr>
          <w:b/>
          <w:color w:val="BED600" w:themeColor="accent1"/>
        </w:rPr>
        <w:t>:  Baseline Scenario</w:t>
      </w:r>
      <w:bookmarkEnd w:id="546"/>
    </w:p>
    <w:p w14:paraId="042008ED" w14:textId="77777777" w:rsidR="00F31655" w:rsidRPr="00E0327A" w:rsidRDefault="00F31655" w:rsidP="00F31655">
      <w:pPr>
        <w:pStyle w:val="BodyText"/>
        <w:rPr>
          <w:b/>
          <w:color w:val="BED600" w:themeColor="accent1"/>
        </w:rPr>
      </w:pPr>
      <w:r w:rsidRPr="005319A7">
        <w:rPr>
          <w:noProof/>
          <w:lang w:eastAsia="en-GB"/>
        </w:rPr>
        <w:drawing>
          <wp:inline distT="0" distB="0" distL="0" distR="0" wp14:anchorId="4A467277" wp14:editId="0BA22AE8">
            <wp:extent cx="9933215" cy="4049963"/>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9933215" cy="4049963"/>
                    </a:xfrm>
                    <a:prstGeom prst="rect">
                      <a:avLst/>
                    </a:prstGeom>
                    <a:noFill/>
                    <a:ln w="9525">
                      <a:noFill/>
                      <a:miter lim="800000"/>
                      <a:headEnd/>
                      <a:tailEnd/>
                    </a:ln>
                  </pic:spPr>
                </pic:pic>
              </a:graphicData>
            </a:graphic>
          </wp:inline>
        </w:drawing>
      </w:r>
    </w:p>
    <w:p w14:paraId="5C03141C" w14:textId="77777777" w:rsidR="00F31655" w:rsidRPr="003B3A13" w:rsidRDefault="00F31655" w:rsidP="00F31655">
      <w:pPr>
        <w:pStyle w:val="BodyText"/>
        <w:rPr>
          <w:sz w:val="18"/>
          <w:szCs w:val="18"/>
        </w:rPr>
      </w:pPr>
      <w:r>
        <w:rPr>
          <w:sz w:val="18"/>
          <w:szCs w:val="18"/>
        </w:rPr>
        <w:t>Source:  Atkins / Cofely / North East Lincolnshire Council.</w:t>
      </w:r>
    </w:p>
    <w:p w14:paraId="7D274FDC" w14:textId="77777777" w:rsidR="00F31655" w:rsidRDefault="00F31655" w:rsidP="00F31655">
      <w:pPr>
        <w:rPr>
          <w:b/>
          <w:color w:val="BED600" w:themeColor="accent1"/>
        </w:rPr>
      </w:pPr>
      <w:r>
        <w:rPr>
          <w:b/>
          <w:color w:val="BED600" w:themeColor="accent1"/>
        </w:rPr>
        <w:br w:type="page"/>
      </w:r>
    </w:p>
    <w:p w14:paraId="682F9505" w14:textId="77777777" w:rsidR="00F31655" w:rsidRDefault="00F31655" w:rsidP="00F31655">
      <w:pPr>
        <w:pStyle w:val="BodyText"/>
        <w:rPr>
          <w:b/>
          <w:color w:val="BED600" w:themeColor="accent1"/>
        </w:rPr>
      </w:pPr>
      <w:bookmarkStart w:id="547" w:name="_Toc394668600"/>
      <w:r w:rsidRPr="0036742B">
        <w:rPr>
          <w:b/>
          <w:color w:val="BED600" w:themeColor="accent1"/>
        </w:rPr>
        <w:t xml:space="preserve">Table </w:t>
      </w:r>
      <w:fldSimple w:instr=" STYLEREF 1 \s  \* MERGEFORMAT ">
        <w:r w:rsidR="00E95E1A" w:rsidRPr="00E95E1A">
          <w:rPr>
            <w:b/>
            <w:noProof/>
            <w:color w:val="BED600" w:themeColor="accent1"/>
          </w:rPr>
          <w:t>2</w:t>
        </w:r>
      </w:fldSimple>
      <w:r w:rsidRPr="0036742B">
        <w:rPr>
          <w:b/>
          <w:color w:val="BED600" w:themeColor="accent1"/>
        </w:rPr>
        <w:t>-</w:t>
      </w:r>
      <w:fldSimple w:instr=" SEQ Table \* ARABIC \s 1  \* MERGEFORMAT ">
        <w:r w:rsidR="00E95E1A" w:rsidRPr="00E95E1A">
          <w:rPr>
            <w:b/>
            <w:noProof/>
            <w:color w:val="BED600" w:themeColor="accent1"/>
          </w:rPr>
          <w:t>11</w:t>
        </w:r>
      </w:fldSimple>
      <w:r>
        <w:rPr>
          <w:b/>
          <w:color w:val="BED600" w:themeColor="accent1"/>
        </w:rPr>
        <w:t xml:space="preserve"> - </w:t>
      </w:r>
      <w:r w:rsidRPr="00E0327A">
        <w:rPr>
          <w:b/>
          <w:color w:val="BED600" w:themeColor="accent1"/>
        </w:rPr>
        <w:t>Major Project Investment Proposals – NE Lincolnshire &amp; Neighbouring Areas</w:t>
      </w:r>
      <w:r>
        <w:rPr>
          <w:b/>
          <w:color w:val="BED600" w:themeColor="accent1"/>
        </w:rPr>
        <w:t>:  Scenario 1</w:t>
      </w:r>
      <w:bookmarkEnd w:id="547"/>
    </w:p>
    <w:p w14:paraId="0474C274" w14:textId="77777777" w:rsidR="00F31655" w:rsidRPr="00B56C37" w:rsidRDefault="00F31655" w:rsidP="00F31655">
      <w:r w:rsidRPr="005319A7">
        <w:rPr>
          <w:noProof/>
          <w:lang w:eastAsia="en-GB"/>
        </w:rPr>
        <w:drawing>
          <wp:inline distT="0" distB="0" distL="0" distR="0" wp14:anchorId="6754BA6E" wp14:editId="3880F7FC">
            <wp:extent cx="9772951" cy="365760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9774566" cy="3658204"/>
                    </a:xfrm>
                    <a:prstGeom prst="rect">
                      <a:avLst/>
                    </a:prstGeom>
                    <a:noFill/>
                    <a:ln w="9525">
                      <a:noFill/>
                      <a:miter lim="800000"/>
                      <a:headEnd/>
                      <a:tailEnd/>
                    </a:ln>
                  </pic:spPr>
                </pic:pic>
              </a:graphicData>
            </a:graphic>
          </wp:inline>
        </w:drawing>
      </w:r>
    </w:p>
    <w:p w14:paraId="0E548342" w14:textId="77777777" w:rsidR="00F31655" w:rsidRDefault="00F31655" w:rsidP="00F31655">
      <w:pPr>
        <w:rPr>
          <w:b/>
          <w:color w:val="156570"/>
          <w:sz w:val="22"/>
        </w:rPr>
      </w:pPr>
    </w:p>
    <w:p w14:paraId="5B3C2768" w14:textId="77777777" w:rsidR="00F31655" w:rsidRPr="003B3A13" w:rsidRDefault="00F31655" w:rsidP="00F31655">
      <w:pPr>
        <w:pStyle w:val="BodyText"/>
        <w:rPr>
          <w:sz w:val="18"/>
          <w:szCs w:val="18"/>
        </w:rPr>
      </w:pPr>
      <w:r>
        <w:rPr>
          <w:sz w:val="18"/>
          <w:szCs w:val="18"/>
        </w:rPr>
        <w:t>Source:  Atkins / Cofely / North East Lincolnshire Council.</w:t>
      </w:r>
    </w:p>
    <w:p w14:paraId="2DC0B5F8" w14:textId="77777777" w:rsidR="00F31655" w:rsidRDefault="00F31655" w:rsidP="00F31655">
      <w:pPr>
        <w:rPr>
          <w:b/>
          <w:color w:val="BED600" w:themeColor="accent1"/>
        </w:rPr>
      </w:pPr>
      <w:r>
        <w:rPr>
          <w:b/>
          <w:color w:val="BED600" w:themeColor="accent1"/>
        </w:rPr>
        <w:br w:type="page"/>
      </w:r>
    </w:p>
    <w:p w14:paraId="5511C83B" w14:textId="77777777" w:rsidR="00F31655" w:rsidRDefault="00F31655" w:rsidP="00F31655">
      <w:pPr>
        <w:pStyle w:val="BodyText"/>
        <w:rPr>
          <w:b/>
          <w:color w:val="BED600" w:themeColor="accent1"/>
        </w:rPr>
      </w:pPr>
      <w:bookmarkStart w:id="548" w:name="_Toc394668601"/>
      <w:r w:rsidRPr="0036742B">
        <w:rPr>
          <w:b/>
          <w:color w:val="BED600" w:themeColor="accent1"/>
        </w:rPr>
        <w:t xml:space="preserve">Table </w:t>
      </w:r>
      <w:fldSimple w:instr=" STYLEREF 1 \s  \* MERGEFORMAT ">
        <w:r w:rsidR="00E95E1A" w:rsidRPr="00E95E1A">
          <w:rPr>
            <w:b/>
            <w:noProof/>
            <w:color w:val="BED600" w:themeColor="accent1"/>
          </w:rPr>
          <w:t>2</w:t>
        </w:r>
      </w:fldSimple>
      <w:r w:rsidRPr="0036742B">
        <w:rPr>
          <w:b/>
          <w:color w:val="BED600" w:themeColor="accent1"/>
        </w:rPr>
        <w:t>-</w:t>
      </w:r>
      <w:fldSimple w:instr=" SEQ Table \* ARABIC \s 1  \* MERGEFORMAT ">
        <w:r w:rsidR="00E95E1A" w:rsidRPr="00E95E1A">
          <w:rPr>
            <w:b/>
            <w:noProof/>
            <w:color w:val="BED600" w:themeColor="accent1"/>
          </w:rPr>
          <w:t>12</w:t>
        </w:r>
      </w:fldSimple>
      <w:r>
        <w:rPr>
          <w:b/>
          <w:color w:val="BED600" w:themeColor="accent1"/>
        </w:rPr>
        <w:t xml:space="preserve"> - </w:t>
      </w:r>
      <w:r w:rsidRPr="00E0327A">
        <w:rPr>
          <w:b/>
          <w:color w:val="BED600" w:themeColor="accent1"/>
        </w:rPr>
        <w:t>Major Project Investment Proposals – NE Lincolnshire &amp; Neighbouring Areas</w:t>
      </w:r>
      <w:r>
        <w:rPr>
          <w:b/>
          <w:color w:val="BED600" w:themeColor="accent1"/>
        </w:rPr>
        <w:t>:  Scenario 2</w:t>
      </w:r>
      <w:bookmarkEnd w:id="548"/>
    </w:p>
    <w:p w14:paraId="263B50CF" w14:textId="77777777" w:rsidR="00F31655" w:rsidRDefault="00F31655" w:rsidP="00F31655">
      <w:pPr>
        <w:pStyle w:val="BodyText"/>
        <w:rPr>
          <w:b/>
          <w:color w:val="BED600" w:themeColor="accent1"/>
        </w:rPr>
      </w:pPr>
      <w:r w:rsidRPr="005A46F9">
        <w:rPr>
          <w:noProof/>
          <w:lang w:eastAsia="en-GB"/>
        </w:rPr>
        <w:drawing>
          <wp:inline distT="0" distB="0" distL="0" distR="0" wp14:anchorId="46B65936" wp14:editId="5C893E36">
            <wp:extent cx="9628138" cy="4324350"/>
            <wp:effectExtent l="1905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9637677" cy="4328634"/>
                    </a:xfrm>
                    <a:prstGeom prst="rect">
                      <a:avLst/>
                    </a:prstGeom>
                    <a:noFill/>
                    <a:ln w="9525">
                      <a:noFill/>
                      <a:miter lim="800000"/>
                      <a:headEnd/>
                      <a:tailEnd/>
                    </a:ln>
                  </pic:spPr>
                </pic:pic>
              </a:graphicData>
            </a:graphic>
          </wp:inline>
        </w:drawing>
      </w:r>
    </w:p>
    <w:p w14:paraId="4C97D2B7" w14:textId="77777777" w:rsidR="00F31655" w:rsidRPr="003B3A13" w:rsidRDefault="00F31655" w:rsidP="00F31655">
      <w:pPr>
        <w:pStyle w:val="BodyText"/>
        <w:rPr>
          <w:sz w:val="18"/>
          <w:szCs w:val="18"/>
        </w:rPr>
      </w:pPr>
      <w:r>
        <w:rPr>
          <w:sz w:val="18"/>
          <w:szCs w:val="18"/>
        </w:rPr>
        <w:t>Source:  Atkins / Cofely / North East Lincolnshire Council.</w:t>
      </w:r>
    </w:p>
    <w:p w14:paraId="777B9530" w14:textId="77777777" w:rsidR="008D7250" w:rsidRDefault="008D7250">
      <w:pPr>
        <w:ind w:left="720"/>
        <w:jc w:val="both"/>
      </w:pPr>
    </w:p>
    <w:p w14:paraId="5B17430E" w14:textId="77777777" w:rsidR="008D7250" w:rsidRDefault="008D7250">
      <w:pPr>
        <w:jc w:val="both"/>
      </w:pPr>
    </w:p>
    <w:p w14:paraId="26744A3A" w14:textId="77777777" w:rsidR="008D7250" w:rsidRDefault="008D7250">
      <w:pPr>
        <w:jc w:val="both"/>
      </w:pPr>
    </w:p>
    <w:p w14:paraId="56505A40" w14:textId="77777777" w:rsidR="008D13BD" w:rsidRDefault="008D13BD" w:rsidP="008D13BD">
      <w:pPr>
        <w:jc w:val="both"/>
        <w:sectPr w:rsidR="008D13BD" w:rsidSect="00F31655">
          <w:pgSz w:w="16838" w:h="11906" w:orient="landscape" w:code="9"/>
          <w:pgMar w:top="1134" w:right="964" w:bottom="1134" w:left="964" w:header="510" w:footer="340" w:gutter="0"/>
          <w:cols w:space="708"/>
          <w:docGrid w:linePitch="360"/>
        </w:sectPr>
      </w:pPr>
    </w:p>
    <w:p w14:paraId="63A33884" w14:textId="77777777" w:rsidR="00925D1C" w:rsidRDefault="00925D1C" w:rsidP="008D13BD">
      <w:pPr>
        <w:pStyle w:val="IntroHeading"/>
      </w:pPr>
    </w:p>
    <w:p w14:paraId="07BC160B" w14:textId="77777777" w:rsidR="008D13BD" w:rsidRDefault="008D13BD" w:rsidP="008D13BD">
      <w:pPr>
        <w:pStyle w:val="IntroHeading"/>
      </w:pPr>
      <w:bookmarkStart w:id="549" w:name="_Toc395103911"/>
      <w:r>
        <w:t>Business Survey &amp; Economic Impact Assessment</w:t>
      </w:r>
      <w:bookmarkEnd w:id="549"/>
      <w:r>
        <w:t xml:space="preserve"> </w:t>
      </w:r>
    </w:p>
    <w:p w14:paraId="55A661A9" w14:textId="77777777" w:rsidR="008D7250" w:rsidRDefault="008D7250"/>
    <w:p w14:paraId="6AFD7D0A" w14:textId="77777777" w:rsidR="008D7250" w:rsidRDefault="008D7250">
      <w:pPr>
        <w:jc w:val="both"/>
      </w:pPr>
    </w:p>
    <w:p w14:paraId="19B2D103" w14:textId="77777777" w:rsidR="008D7250" w:rsidRDefault="008D7250">
      <w:pPr>
        <w:jc w:val="both"/>
      </w:pPr>
    </w:p>
    <w:p w14:paraId="7C09149C" w14:textId="77777777" w:rsidR="008D7250" w:rsidRDefault="008D7250">
      <w:pPr>
        <w:jc w:val="both"/>
      </w:pPr>
    </w:p>
    <w:p w14:paraId="0368B18B" w14:textId="77777777" w:rsidR="008D7250" w:rsidRDefault="008D7250">
      <w:pPr>
        <w:jc w:val="both"/>
      </w:pPr>
    </w:p>
    <w:p w14:paraId="626FC130" w14:textId="77777777" w:rsidR="008D7250" w:rsidRDefault="008D7250">
      <w:pPr>
        <w:jc w:val="both"/>
      </w:pPr>
    </w:p>
    <w:p w14:paraId="74534845" w14:textId="77777777" w:rsidR="008D7250" w:rsidRDefault="008D7250">
      <w:pPr>
        <w:jc w:val="both"/>
      </w:pPr>
    </w:p>
    <w:p w14:paraId="3A08663E" w14:textId="77777777" w:rsidR="008D7250" w:rsidRDefault="008D7250">
      <w:pPr>
        <w:jc w:val="both"/>
      </w:pPr>
    </w:p>
    <w:p w14:paraId="6F473701" w14:textId="77777777" w:rsidR="008D7250" w:rsidRDefault="008D7250">
      <w:pPr>
        <w:jc w:val="both"/>
      </w:pPr>
    </w:p>
    <w:p w14:paraId="1A162371" w14:textId="77777777" w:rsidR="008D7250" w:rsidRDefault="008D7250">
      <w:pPr>
        <w:jc w:val="both"/>
      </w:pPr>
    </w:p>
    <w:p w14:paraId="5E5A661D" w14:textId="77777777" w:rsidR="008D7250" w:rsidRDefault="008D7250">
      <w:pPr>
        <w:jc w:val="both"/>
      </w:pPr>
    </w:p>
    <w:p w14:paraId="4D0C4BFD" w14:textId="77777777" w:rsidR="008D7250" w:rsidRDefault="008D7250">
      <w:pPr>
        <w:jc w:val="both"/>
      </w:pPr>
    </w:p>
    <w:p w14:paraId="6BCC0080" w14:textId="77777777" w:rsidR="008D7250" w:rsidRDefault="008D7250">
      <w:pPr>
        <w:jc w:val="both"/>
      </w:pPr>
    </w:p>
    <w:p w14:paraId="0C3C154E" w14:textId="77777777" w:rsidR="008D7250" w:rsidRDefault="008D7250">
      <w:pPr>
        <w:jc w:val="both"/>
      </w:pPr>
    </w:p>
    <w:p w14:paraId="780A0CE7" w14:textId="77777777" w:rsidR="008D7250" w:rsidRDefault="008D7250">
      <w:pPr>
        <w:jc w:val="both"/>
      </w:pPr>
    </w:p>
    <w:p w14:paraId="349DE345" w14:textId="77777777" w:rsidR="008D7250" w:rsidRDefault="008D7250">
      <w:pPr>
        <w:jc w:val="both"/>
      </w:pPr>
    </w:p>
    <w:p w14:paraId="28249088" w14:textId="77777777" w:rsidR="008D7250" w:rsidRDefault="008D7250">
      <w:pPr>
        <w:jc w:val="both"/>
      </w:pPr>
    </w:p>
    <w:p w14:paraId="1DC9694E" w14:textId="77777777" w:rsidR="008D7250" w:rsidRDefault="008D7250">
      <w:pPr>
        <w:jc w:val="both"/>
      </w:pPr>
    </w:p>
    <w:p w14:paraId="52D99C24" w14:textId="77777777" w:rsidR="008D7250" w:rsidRDefault="008D7250">
      <w:pPr>
        <w:jc w:val="both"/>
      </w:pPr>
    </w:p>
    <w:p w14:paraId="014803DF" w14:textId="77777777" w:rsidR="008D7250" w:rsidRDefault="008D7250">
      <w:pPr>
        <w:jc w:val="both"/>
      </w:pPr>
    </w:p>
    <w:p w14:paraId="42C93FFA" w14:textId="77777777" w:rsidR="008D7250" w:rsidRDefault="008D7250">
      <w:pPr>
        <w:jc w:val="both"/>
      </w:pPr>
    </w:p>
    <w:p w14:paraId="3DA83BFA" w14:textId="77777777" w:rsidR="008D7250" w:rsidRDefault="008D7250">
      <w:pPr>
        <w:jc w:val="both"/>
      </w:pPr>
    </w:p>
    <w:p w14:paraId="7A11C92C" w14:textId="77777777" w:rsidR="008D7250" w:rsidRDefault="008D7250">
      <w:pPr>
        <w:jc w:val="both"/>
      </w:pPr>
    </w:p>
    <w:p w14:paraId="175F97A5" w14:textId="77777777" w:rsidR="008D7250" w:rsidRDefault="008D7250">
      <w:pPr>
        <w:jc w:val="both"/>
      </w:pPr>
    </w:p>
    <w:p w14:paraId="494955C1" w14:textId="77777777" w:rsidR="008D7250" w:rsidRDefault="008D7250">
      <w:pPr>
        <w:jc w:val="both"/>
      </w:pPr>
    </w:p>
    <w:p w14:paraId="1D6BAB86" w14:textId="77777777" w:rsidR="008D13BD" w:rsidRDefault="008D13BD" w:rsidP="008D13BD">
      <w:pPr>
        <w:pStyle w:val="Heading1"/>
        <w:numPr>
          <w:ilvl w:val="0"/>
          <w:numId w:val="5"/>
        </w:numPr>
      </w:pPr>
      <w:bookmarkStart w:id="550" w:name="_Toc395103912"/>
      <w:r>
        <w:t>Business Survey &amp; Economic Impact Assessment</w:t>
      </w:r>
      <w:bookmarkEnd w:id="550"/>
    </w:p>
    <w:p w14:paraId="46A0086C" w14:textId="77777777" w:rsidR="008D13BD" w:rsidRPr="008D7E11" w:rsidRDefault="00557824" w:rsidP="008D13BD">
      <w:pPr>
        <w:pStyle w:val="BodyText"/>
        <w:jc w:val="both"/>
      </w:pPr>
      <w:r>
        <w:t>T</w:t>
      </w:r>
      <w:r w:rsidR="008D13BD">
        <w:t>his section summarises the outputs of our economic impact modelling for the five priority sectors</w:t>
      </w:r>
      <w:r w:rsidR="00783C06">
        <w:t xml:space="preserve">, which are discussed in more detail by individual sector in the </w:t>
      </w:r>
      <w:r w:rsidR="00572DFF">
        <w:t>remaining sections of this</w:t>
      </w:r>
      <w:r w:rsidR="00783C06">
        <w:t xml:space="preserve"> report</w:t>
      </w:r>
      <w:r w:rsidR="008D13BD">
        <w:t xml:space="preserve">.  This seeks to quantify the existing economic contribution of each of the key sectors whilst setting the context for policy interventions and associated investments which can facilitate further economic growth and prosperity for the North East Lincolnshire and wider economy.  </w:t>
      </w:r>
    </w:p>
    <w:p w14:paraId="047001C9" w14:textId="77777777" w:rsidR="008D13BD" w:rsidRPr="002805F3" w:rsidRDefault="008D13BD" w:rsidP="008D13BD">
      <w:pPr>
        <w:pStyle w:val="Heading2"/>
        <w:numPr>
          <w:ilvl w:val="1"/>
          <w:numId w:val="5"/>
        </w:numPr>
      </w:pPr>
      <w:bookmarkStart w:id="551" w:name="_Toc395103913"/>
      <w:r w:rsidRPr="002805F3">
        <w:t>Sector Contribution to GDP</w:t>
      </w:r>
      <w:bookmarkEnd w:id="551"/>
    </w:p>
    <w:p w14:paraId="58013ABC" w14:textId="77777777" w:rsidR="008D13BD" w:rsidRDefault="008D13BD" w:rsidP="008D13BD">
      <w:pPr>
        <w:pStyle w:val="BodyText"/>
        <w:jc w:val="both"/>
      </w:pPr>
      <w:r>
        <w:t>We have generated estimates of GDP for each of the key five sectors based on our empirical analysis of the statistically significant business survey.  Table 3.1 indicates that collectively, the key sectors in 2014 generate a gross econo</w:t>
      </w:r>
      <w:r w:rsidR="00572DFF">
        <w:t>mic output of approximately £1.7</w:t>
      </w:r>
      <w:r>
        <w:t xml:space="preserve"> billion.  This represents </w:t>
      </w:r>
      <w:r w:rsidR="006B5BC4">
        <w:t>almost 60</w:t>
      </w:r>
      <w:r>
        <w:t>% of total GDP originating in the Borough.  Table 3.2 provides our estimates of GDP contribution by sector.  It also compares our empirically modelled GDP outputs with the overall contribution of each sector in employment terms.  There are two key inferences from this comparison:</w:t>
      </w:r>
    </w:p>
    <w:p w14:paraId="42371969" w14:textId="77777777" w:rsidR="008D13BD" w:rsidRDefault="008D13BD" w:rsidP="008D13BD">
      <w:pPr>
        <w:pStyle w:val="ListBulletLast"/>
        <w:numPr>
          <w:ilvl w:val="0"/>
          <w:numId w:val="1"/>
        </w:numPr>
      </w:pPr>
      <w:r>
        <w:t>Firstly, the key sectors are relatively high value in nature with above average performance in terms of productivity (output per worker).</w:t>
      </w:r>
    </w:p>
    <w:p w14:paraId="56D6A630" w14:textId="77777777" w:rsidR="008D13BD" w:rsidRDefault="008D13BD" w:rsidP="008D13BD">
      <w:pPr>
        <w:pStyle w:val="ListBulletLast"/>
        <w:numPr>
          <w:ilvl w:val="0"/>
          <w:numId w:val="1"/>
        </w:numPr>
      </w:pPr>
      <w:r>
        <w:t>Secondly, the disparity between the percentage contributions of each sector by employment compared to GDP is significant which indicates strongly that employment numbers sourced through secondary sources are under-estimates o</w:t>
      </w:r>
      <w:r w:rsidR="003648BC">
        <w:t>f their actual contribution. The</w:t>
      </w:r>
      <w:r>
        <w:t xml:space="preserve"> measurement of employment using standard industrial classifications (SICs) does not produce a direct estimate of job numbers given that many jobs closely associated with one or more of the key sectors will be accounted for elsewhere.  </w:t>
      </w:r>
    </w:p>
    <w:p w14:paraId="03B25F80" w14:textId="77777777" w:rsidR="008D13BD" w:rsidRPr="005E7633" w:rsidRDefault="008D13BD" w:rsidP="008D13BD">
      <w:pPr>
        <w:pStyle w:val="ListBullet"/>
        <w:numPr>
          <w:ilvl w:val="0"/>
          <w:numId w:val="0"/>
        </w:numPr>
        <w:rPr>
          <w:b/>
        </w:rPr>
      </w:pPr>
      <w:r w:rsidRPr="005E7633">
        <w:rPr>
          <w:b/>
        </w:rPr>
        <w:t xml:space="preserve">Table </w:t>
      </w:r>
      <w:fldSimple w:instr=" STYLEREF 1 \s  \* MERGEFORMAT ">
        <w:r w:rsidR="00E95E1A" w:rsidRPr="00E95E1A">
          <w:rPr>
            <w:b/>
            <w:noProof/>
          </w:rPr>
          <w:t>3</w:t>
        </w:r>
      </w:fldSimple>
      <w:r w:rsidRPr="005E7633">
        <w:rPr>
          <w:b/>
        </w:rPr>
        <w:t>-</w:t>
      </w:r>
      <w:fldSimple w:instr=" SEQ Table \* ARABIC \s 1  \* MERGEFORMAT ">
        <w:r w:rsidR="00E95E1A" w:rsidRPr="00E95E1A">
          <w:rPr>
            <w:b/>
            <w:noProof/>
          </w:rPr>
          <w:t>1</w:t>
        </w:r>
      </w:fldSimple>
      <w:r w:rsidRPr="005E7633">
        <w:rPr>
          <w:b/>
        </w:rPr>
        <w:tab/>
        <w:t>Key Sector</w:t>
      </w:r>
      <w:r>
        <w:rPr>
          <w:b/>
        </w:rPr>
        <w:t xml:space="preserve"> Collective</w:t>
      </w:r>
      <w:r w:rsidRPr="005E7633">
        <w:rPr>
          <w:b/>
        </w:rPr>
        <w:t xml:space="preserve"> </w:t>
      </w:r>
      <w:r>
        <w:rPr>
          <w:b/>
        </w:rPr>
        <w:t>Contribution to NE Lincolnshire GDP (2014)</w:t>
      </w:r>
    </w:p>
    <w:tbl>
      <w:tblPr>
        <w:tblStyle w:val="Atkins14pt"/>
        <w:tblW w:w="6480" w:type="dxa"/>
        <w:tblLook w:val="04A0" w:firstRow="1" w:lastRow="0" w:firstColumn="1" w:lastColumn="0" w:noHBand="0" w:noVBand="1"/>
      </w:tblPr>
      <w:tblGrid>
        <w:gridCol w:w="4900"/>
        <w:gridCol w:w="1580"/>
      </w:tblGrid>
      <w:tr w:rsidR="008D13BD" w:rsidRPr="000A52DD" w14:paraId="39AB72D1" w14:textId="77777777" w:rsidTr="008D13BD">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4900" w:type="dxa"/>
            <w:shd w:val="clear" w:color="auto" w:fill="BED600" w:themeFill="accent1"/>
            <w:noWrap/>
            <w:hideMark/>
          </w:tcPr>
          <w:p w14:paraId="6D065FBA" w14:textId="77777777" w:rsidR="008D13BD" w:rsidRPr="000A52DD" w:rsidRDefault="008D13BD" w:rsidP="008D13BD">
            <w:pPr>
              <w:spacing w:after="0"/>
              <w:rPr>
                <w:rFonts w:eastAsia="Times New Roman"/>
                <w:bCs/>
                <w:color w:val="000000"/>
              </w:rPr>
            </w:pPr>
            <w:r w:rsidRPr="000A52DD">
              <w:rPr>
                <w:rFonts w:eastAsia="Times New Roman"/>
                <w:color w:val="000000"/>
              </w:rPr>
              <w:t>Key sector</w:t>
            </w:r>
          </w:p>
        </w:tc>
        <w:tc>
          <w:tcPr>
            <w:tcW w:w="1580" w:type="dxa"/>
            <w:shd w:val="clear" w:color="auto" w:fill="BED600" w:themeFill="accent1"/>
            <w:noWrap/>
            <w:hideMark/>
          </w:tcPr>
          <w:p w14:paraId="2893658C" w14:textId="77777777" w:rsidR="008D13BD" w:rsidRPr="000A52DD" w:rsidRDefault="008D13BD" w:rsidP="008D13BD">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0A52DD">
              <w:rPr>
                <w:rFonts w:eastAsia="Times New Roman"/>
                <w:color w:val="000000"/>
              </w:rPr>
              <w:t>£</w:t>
            </w:r>
            <w:r>
              <w:rPr>
                <w:rFonts w:eastAsia="Times New Roman"/>
                <w:color w:val="000000"/>
              </w:rPr>
              <w:t xml:space="preserve"> million</w:t>
            </w:r>
          </w:p>
        </w:tc>
      </w:tr>
      <w:tr w:rsidR="008D13BD" w:rsidRPr="000A52DD" w14:paraId="4E64BD00" w14:textId="77777777" w:rsidTr="008D13BD">
        <w:trPr>
          <w:trHeight w:val="255"/>
        </w:trPr>
        <w:tc>
          <w:tcPr>
            <w:cnfStyle w:val="001000000000" w:firstRow="0" w:lastRow="0" w:firstColumn="1" w:lastColumn="0" w:oddVBand="0" w:evenVBand="0" w:oddHBand="0" w:evenHBand="0" w:firstRowFirstColumn="0" w:firstRowLastColumn="0" w:lastRowFirstColumn="0" w:lastRowLastColumn="0"/>
            <w:tcW w:w="4900" w:type="dxa"/>
            <w:noWrap/>
            <w:hideMark/>
          </w:tcPr>
          <w:p w14:paraId="0160964B" w14:textId="77777777" w:rsidR="008D13BD" w:rsidRPr="000A52DD" w:rsidRDefault="008D13BD" w:rsidP="008D13BD">
            <w:pPr>
              <w:spacing w:after="0"/>
              <w:rPr>
                <w:rFonts w:eastAsia="Times New Roman"/>
                <w:bCs/>
                <w:color w:val="000000"/>
              </w:rPr>
            </w:pPr>
            <w:r w:rsidRPr="000A52DD">
              <w:rPr>
                <w:rFonts w:eastAsia="Times New Roman"/>
                <w:bCs/>
                <w:color w:val="000000"/>
              </w:rPr>
              <w:t>Key Sector</w:t>
            </w:r>
            <w:r>
              <w:rPr>
                <w:rFonts w:eastAsia="Times New Roman"/>
                <w:bCs/>
                <w:color w:val="000000"/>
              </w:rPr>
              <w:t>s Collective</w:t>
            </w:r>
            <w:r w:rsidRPr="000A52DD">
              <w:rPr>
                <w:rFonts w:eastAsia="Times New Roman"/>
                <w:bCs/>
                <w:color w:val="000000"/>
              </w:rPr>
              <w:t xml:space="preserve"> GDP</w:t>
            </w:r>
          </w:p>
        </w:tc>
        <w:tc>
          <w:tcPr>
            <w:tcW w:w="1580" w:type="dxa"/>
            <w:noWrap/>
            <w:hideMark/>
          </w:tcPr>
          <w:p w14:paraId="717270F8" w14:textId="77777777" w:rsidR="008D13BD" w:rsidRPr="000A52DD" w:rsidRDefault="008D13BD" w:rsidP="002C1B7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rPr>
            </w:pPr>
            <w:r>
              <w:rPr>
                <w:rFonts w:eastAsia="Times New Roman"/>
                <w:bCs/>
                <w:color w:val="000000"/>
              </w:rPr>
              <w:t>£1,</w:t>
            </w:r>
            <w:r w:rsidR="002C1B79">
              <w:rPr>
                <w:rFonts w:eastAsia="Times New Roman"/>
                <w:bCs/>
                <w:color w:val="000000"/>
              </w:rPr>
              <w:t>7</w:t>
            </w:r>
            <w:r>
              <w:rPr>
                <w:rFonts w:eastAsia="Times New Roman"/>
                <w:bCs/>
                <w:color w:val="000000"/>
              </w:rPr>
              <w:t>40</w:t>
            </w:r>
          </w:p>
        </w:tc>
      </w:tr>
      <w:tr w:rsidR="008D13BD" w:rsidRPr="000A52DD" w14:paraId="722212F6" w14:textId="77777777" w:rsidTr="008D13BD">
        <w:trPr>
          <w:trHeight w:val="255"/>
        </w:trPr>
        <w:tc>
          <w:tcPr>
            <w:cnfStyle w:val="001000000000" w:firstRow="0" w:lastRow="0" w:firstColumn="1" w:lastColumn="0" w:oddVBand="0" w:evenVBand="0" w:oddHBand="0" w:evenHBand="0" w:firstRowFirstColumn="0" w:firstRowLastColumn="0" w:lastRowFirstColumn="0" w:lastRowLastColumn="0"/>
            <w:tcW w:w="4900" w:type="dxa"/>
            <w:noWrap/>
            <w:hideMark/>
          </w:tcPr>
          <w:p w14:paraId="09B38564" w14:textId="77777777" w:rsidR="008D13BD" w:rsidRPr="000A52DD" w:rsidRDefault="008D13BD" w:rsidP="008D13BD">
            <w:pPr>
              <w:spacing w:after="0"/>
              <w:rPr>
                <w:rFonts w:eastAsia="Times New Roman"/>
                <w:bCs/>
                <w:color w:val="auto"/>
              </w:rPr>
            </w:pPr>
            <w:r w:rsidRPr="000A52DD">
              <w:rPr>
                <w:rFonts w:eastAsia="Times New Roman"/>
                <w:bCs/>
                <w:color w:val="auto"/>
              </w:rPr>
              <w:t>North East Lincolnshire GDP</w:t>
            </w:r>
            <w:r>
              <w:rPr>
                <w:rFonts w:eastAsia="Times New Roman"/>
                <w:bCs/>
                <w:color w:val="auto"/>
              </w:rPr>
              <w:t xml:space="preserve"> (estimated)</w:t>
            </w:r>
          </w:p>
        </w:tc>
        <w:tc>
          <w:tcPr>
            <w:tcW w:w="1580" w:type="dxa"/>
            <w:noWrap/>
            <w:hideMark/>
          </w:tcPr>
          <w:p w14:paraId="4710FF61" w14:textId="77777777" w:rsidR="008D13BD" w:rsidRPr="000A52DD" w:rsidRDefault="008D13BD" w:rsidP="008D13B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Pr>
                <w:rFonts w:eastAsia="Times New Roman"/>
                <w:bCs/>
                <w:color w:val="auto"/>
              </w:rPr>
              <w:t>£3,021</w:t>
            </w:r>
          </w:p>
        </w:tc>
      </w:tr>
      <w:tr w:rsidR="008D13BD" w:rsidRPr="000A52DD" w14:paraId="4F5E9C9B" w14:textId="77777777" w:rsidTr="008D13BD">
        <w:trPr>
          <w:trHeight w:val="255"/>
        </w:trPr>
        <w:tc>
          <w:tcPr>
            <w:cnfStyle w:val="001000000000" w:firstRow="0" w:lastRow="0" w:firstColumn="1" w:lastColumn="0" w:oddVBand="0" w:evenVBand="0" w:oddHBand="0" w:evenHBand="0" w:firstRowFirstColumn="0" w:firstRowLastColumn="0" w:lastRowFirstColumn="0" w:lastRowLastColumn="0"/>
            <w:tcW w:w="4900" w:type="dxa"/>
            <w:noWrap/>
            <w:hideMark/>
          </w:tcPr>
          <w:p w14:paraId="203E68B2" w14:textId="77777777" w:rsidR="008D13BD" w:rsidRPr="00D74A18" w:rsidRDefault="008D13BD" w:rsidP="008D13BD">
            <w:pPr>
              <w:spacing w:after="0"/>
              <w:rPr>
                <w:rFonts w:eastAsia="Times New Roman"/>
                <w:b/>
                <w:bCs/>
                <w:color w:val="auto"/>
              </w:rPr>
            </w:pPr>
            <w:r w:rsidRPr="00D74A18">
              <w:rPr>
                <w:rFonts w:eastAsia="Times New Roman"/>
                <w:b/>
                <w:bCs/>
                <w:color w:val="auto"/>
              </w:rPr>
              <w:t xml:space="preserve">% Contribution of Key Sectors to NEL GDP </w:t>
            </w:r>
          </w:p>
        </w:tc>
        <w:tc>
          <w:tcPr>
            <w:tcW w:w="1580" w:type="dxa"/>
            <w:noWrap/>
            <w:hideMark/>
          </w:tcPr>
          <w:p w14:paraId="15433BEC" w14:textId="77777777" w:rsidR="008D13BD" w:rsidRPr="00D74A18" w:rsidRDefault="00091375" w:rsidP="008D13B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auto"/>
              </w:rPr>
            </w:pPr>
            <w:r>
              <w:rPr>
                <w:rFonts w:eastAsia="Times New Roman"/>
                <w:b/>
                <w:bCs/>
                <w:color w:val="auto"/>
              </w:rPr>
              <w:t>57.6</w:t>
            </w:r>
            <w:r w:rsidR="008D13BD" w:rsidRPr="00D74A18">
              <w:rPr>
                <w:rFonts w:eastAsia="Times New Roman"/>
                <w:b/>
                <w:bCs/>
                <w:color w:val="auto"/>
              </w:rPr>
              <w:t>%</w:t>
            </w:r>
          </w:p>
        </w:tc>
      </w:tr>
    </w:tbl>
    <w:p w14:paraId="7BAAD845" w14:textId="77777777" w:rsidR="008D13BD" w:rsidRDefault="008D13BD" w:rsidP="008D13BD">
      <w:pPr>
        <w:pStyle w:val="ListBullet"/>
        <w:numPr>
          <w:ilvl w:val="0"/>
          <w:numId w:val="0"/>
        </w:numPr>
        <w:ind w:left="360"/>
      </w:pPr>
      <w:r w:rsidRPr="00D74A18">
        <w:t>Source:  Atkins, 2014.</w:t>
      </w:r>
    </w:p>
    <w:p w14:paraId="6437D9D5" w14:textId="77777777" w:rsidR="008D13BD" w:rsidRDefault="008D13BD" w:rsidP="008D13BD">
      <w:pPr>
        <w:pStyle w:val="BodyText"/>
        <w:jc w:val="both"/>
        <w:rPr>
          <w:b/>
        </w:rPr>
      </w:pPr>
    </w:p>
    <w:p w14:paraId="4DACA981" w14:textId="77777777" w:rsidR="008D13BD" w:rsidRDefault="008D13BD" w:rsidP="008D13BD">
      <w:pPr>
        <w:pStyle w:val="BodyText"/>
        <w:jc w:val="both"/>
      </w:pPr>
      <w:r w:rsidRPr="005E7633">
        <w:rPr>
          <w:b/>
        </w:rPr>
        <w:t xml:space="preserve">Table </w:t>
      </w:r>
      <w:fldSimple w:instr=" STYLEREF 1 \s  \* MERGEFORMAT ">
        <w:r w:rsidR="00E95E1A" w:rsidRPr="00E95E1A">
          <w:rPr>
            <w:b/>
            <w:noProof/>
          </w:rPr>
          <w:t>3</w:t>
        </w:r>
      </w:fldSimple>
      <w:r w:rsidRPr="005E7633">
        <w:rPr>
          <w:b/>
        </w:rPr>
        <w:t>-</w:t>
      </w:r>
      <w:fldSimple w:instr=" SEQ Table \* ARABIC \s 1  \* MERGEFORMAT ">
        <w:r w:rsidR="00E95E1A" w:rsidRPr="00E95E1A">
          <w:rPr>
            <w:b/>
            <w:noProof/>
          </w:rPr>
          <w:t>2</w:t>
        </w:r>
      </w:fldSimple>
      <w:r w:rsidRPr="005E7633">
        <w:rPr>
          <w:b/>
        </w:rPr>
        <w:tab/>
        <w:t>Key Sector</w:t>
      </w:r>
      <w:r>
        <w:rPr>
          <w:b/>
        </w:rPr>
        <w:t xml:space="preserve"> Contribution to NE</w:t>
      </w:r>
      <w:r w:rsidR="00B44E8D">
        <w:rPr>
          <w:b/>
        </w:rPr>
        <w:t>L</w:t>
      </w:r>
      <w:r>
        <w:rPr>
          <w:b/>
        </w:rPr>
        <w:t xml:space="preserve"> GDP and Employment</w:t>
      </w:r>
    </w:p>
    <w:tbl>
      <w:tblPr>
        <w:tblStyle w:val="Atkins14pt"/>
        <w:tblW w:w="7864" w:type="dxa"/>
        <w:tblLook w:val="04A0" w:firstRow="1" w:lastRow="0" w:firstColumn="1" w:lastColumn="0" w:noHBand="0" w:noVBand="1"/>
      </w:tblPr>
      <w:tblGrid>
        <w:gridCol w:w="2939"/>
        <w:gridCol w:w="2322"/>
        <w:gridCol w:w="2603"/>
      </w:tblGrid>
      <w:tr w:rsidR="008D13BD" w:rsidRPr="002805F3" w14:paraId="67793D8F" w14:textId="77777777" w:rsidTr="008D13BD">
        <w:trPr>
          <w:cnfStyle w:val="100000000000" w:firstRow="1" w:lastRow="0" w:firstColumn="0" w:lastColumn="0" w:oddVBand="0" w:evenVBand="0" w:oddHBand="0" w:evenHBand="0" w:firstRowFirstColumn="0" w:firstRowLastColumn="0" w:lastRowFirstColumn="0" w:lastRowLastColumn="0"/>
          <w:trHeight w:val="257"/>
        </w:trPr>
        <w:tc>
          <w:tcPr>
            <w:cnfStyle w:val="001000000100" w:firstRow="0" w:lastRow="0" w:firstColumn="1" w:lastColumn="0" w:oddVBand="0" w:evenVBand="0" w:oddHBand="0" w:evenHBand="0" w:firstRowFirstColumn="1" w:firstRowLastColumn="0" w:lastRowFirstColumn="0" w:lastRowLastColumn="0"/>
            <w:tcW w:w="2939" w:type="dxa"/>
            <w:shd w:val="clear" w:color="auto" w:fill="BED600" w:themeFill="accent1"/>
            <w:noWrap/>
            <w:hideMark/>
          </w:tcPr>
          <w:p w14:paraId="73EF8DA1" w14:textId="77777777" w:rsidR="008D13BD" w:rsidRPr="002805F3" w:rsidRDefault="008D13BD" w:rsidP="008D13BD">
            <w:pPr>
              <w:rPr>
                <w:color w:val="000000"/>
              </w:rPr>
            </w:pPr>
            <w:r>
              <w:rPr>
                <w:color w:val="000000"/>
              </w:rPr>
              <w:t>Sector</w:t>
            </w:r>
          </w:p>
        </w:tc>
        <w:tc>
          <w:tcPr>
            <w:tcW w:w="2322" w:type="dxa"/>
            <w:shd w:val="clear" w:color="auto" w:fill="BED600" w:themeFill="accent1"/>
            <w:noWrap/>
            <w:hideMark/>
          </w:tcPr>
          <w:p w14:paraId="48195C8A" w14:textId="77777777" w:rsidR="008D13BD" w:rsidRPr="002805F3" w:rsidRDefault="008D13BD" w:rsidP="008D13BD">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 N.E. Lincolnshire Employment</w:t>
            </w:r>
          </w:p>
        </w:tc>
        <w:tc>
          <w:tcPr>
            <w:tcW w:w="2603" w:type="dxa"/>
            <w:shd w:val="clear" w:color="auto" w:fill="BED600" w:themeFill="accent1"/>
            <w:noWrap/>
            <w:hideMark/>
          </w:tcPr>
          <w:p w14:paraId="0FFFE823" w14:textId="77777777" w:rsidR="008D13BD" w:rsidRPr="002805F3" w:rsidRDefault="008D13BD" w:rsidP="008D13BD">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 N.E. Lincolnshire GDP</w:t>
            </w:r>
          </w:p>
        </w:tc>
      </w:tr>
      <w:tr w:rsidR="008D13BD" w:rsidRPr="002805F3" w14:paraId="019C6350" w14:textId="77777777" w:rsidTr="008D13BD">
        <w:trPr>
          <w:trHeight w:val="257"/>
        </w:trPr>
        <w:tc>
          <w:tcPr>
            <w:cnfStyle w:val="001000000000" w:firstRow="0" w:lastRow="0" w:firstColumn="1" w:lastColumn="0" w:oddVBand="0" w:evenVBand="0" w:oddHBand="0" w:evenHBand="0" w:firstRowFirstColumn="0" w:firstRowLastColumn="0" w:lastRowFirstColumn="0" w:lastRowLastColumn="0"/>
            <w:tcW w:w="2939" w:type="dxa"/>
            <w:noWrap/>
            <w:hideMark/>
          </w:tcPr>
          <w:p w14:paraId="313B95A7" w14:textId="77777777" w:rsidR="008D13BD" w:rsidRPr="002805F3" w:rsidRDefault="008D13BD" w:rsidP="008D13BD">
            <w:pPr>
              <w:spacing w:after="120"/>
              <w:rPr>
                <w:color w:val="000000"/>
              </w:rPr>
            </w:pPr>
            <w:r>
              <w:rPr>
                <w:color w:val="000000"/>
              </w:rPr>
              <w:t>Renewables &amp; Energy</w:t>
            </w:r>
          </w:p>
        </w:tc>
        <w:tc>
          <w:tcPr>
            <w:tcW w:w="2322" w:type="dxa"/>
            <w:noWrap/>
            <w:vAlign w:val="bottom"/>
            <w:hideMark/>
          </w:tcPr>
          <w:p w14:paraId="55E9076D" w14:textId="77777777" w:rsidR="008D13BD" w:rsidRDefault="008D13BD" w:rsidP="008D13BD">
            <w:pPr>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Pr>
                <w:color w:val="000000"/>
              </w:rPr>
              <w:t>9.8%</w:t>
            </w:r>
          </w:p>
        </w:tc>
        <w:tc>
          <w:tcPr>
            <w:tcW w:w="2603" w:type="dxa"/>
            <w:noWrap/>
            <w:vAlign w:val="bottom"/>
            <w:hideMark/>
          </w:tcPr>
          <w:p w14:paraId="67CEBFAE" w14:textId="77777777" w:rsidR="008D13BD" w:rsidRDefault="008D13BD" w:rsidP="008D13BD">
            <w:pPr>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Pr>
                <w:color w:val="000000"/>
              </w:rPr>
              <w:t>12.4%</w:t>
            </w:r>
          </w:p>
        </w:tc>
      </w:tr>
      <w:tr w:rsidR="008D13BD" w:rsidRPr="002805F3" w14:paraId="3E76E65B" w14:textId="77777777" w:rsidTr="008D13BD">
        <w:trPr>
          <w:trHeight w:val="257"/>
        </w:trPr>
        <w:tc>
          <w:tcPr>
            <w:cnfStyle w:val="001000000000" w:firstRow="0" w:lastRow="0" w:firstColumn="1" w:lastColumn="0" w:oddVBand="0" w:evenVBand="0" w:oddHBand="0" w:evenHBand="0" w:firstRowFirstColumn="0" w:firstRowLastColumn="0" w:lastRowFirstColumn="0" w:lastRowLastColumn="0"/>
            <w:tcW w:w="2939" w:type="dxa"/>
            <w:noWrap/>
            <w:hideMark/>
          </w:tcPr>
          <w:p w14:paraId="679A9328" w14:textId="77777777" w:rsidR="008D13BD" w:rsidRPr="002805F3" w:rsidRDefault="008D13BD" w:rsidP="008D13BD">
            <w:pPr>
              <w:spacing w:after="120"/>
              <w:rPr>
                <w:color w:val="000000"/>
              </w:rPr>
            </w:pPr>
            <w:r>
              <w:rPr>
                <w:color w:val="000000"/>
              </w:rPr>
              <w:t>Ports &amp; Logistics</w:t>
            </w:r>
          </w:p>
        </w:tc>
        <w:tc>
          <w:tcPr>
            <w:tcW w:w="2322" w:type="dxa"/>
            <w:noWrap/>
            <w:vAlign w:val="bottom"/>
            <w:hideMark/>
          </w:tcPr>
          <w:p w14:paraId="300C4DFC" w14:textId="77777777" w:rsidR="008D13BD" w:rsidRDefault="008D13BD" w:rsidP="008D13BD">
            <w:pPr>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Pr>
                <w:color w:val="000000"/>
              </w:rPr>
              <w:t>7.0%</w:t>
            </w:r>
          </w:p>
        </w:tc>
        <w:tc>
          <w:tcPr>
            <w:tcW w:w="2603" w:type="dxa"/>
            <w:noWrap/>
            <w:vAlign w:val="bottom"/>
            <w:hideMark/>
          </w:tcPr>
          <w:p w14:paraId="6318836D" w14:textId="77777777" w:rsidR="008D13BD" w:rsidRDefault="006B5BC4" w:rsidP="008D13BD">
            <w:pPr>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Pr>
                <w:color w:val="000000"/>
              </w:rPr>
              <w:t>20.9</w:t>
            </w:r>
            <w:r w:rsidR="008D13BD">
              <w:rPr>
                <w:color w:val="000000"/>
              </w:rPr>
              <w:t>%</w:t>
            </w:r>
          </w:p>
        </w:tc>
      </w:tr>
      <w:tr w:rsidR="008D13BD" w:rsidRPr="002805F3" w14:paraId="76CCA332" w14:textId="77777777" w:rsidTr="008D13BD">
        <w:trPr>
          <w:trHeight w:val="257"/>
        </w:trPr>
        <w:tc>
          <w:tcPr>
            <w:cnfStyle w:val="001000000000" w:firstRow="0" w:lastRow="0" w:firstColumn="1" w:lastColumn="0" w:oddVBand="0" w:evenVBand="0" w:oddHBand="0" w:evenHBand="0" w:firstRowFirstColumn="0" w:firstRowLastColumn="0" w:lastRowFirstColumn="0" w:lastRowLastColumn="0"/>
            <w:tcW w:w="2939" w:type="dxa"/>
            <w:noWrap/>
            <w:hideMark/>
          </w:tcPr>
          <w:p w14:paraId="72701144" w14:textId="77777777" w:rsidR="008D13BD" w:rsidRPr="002805F3" w:rsidRDefault="008D13BD" w:rsidP="008D13BD">
            <w:pPr>
              <w:spacing w:after="120"/>
              <w:rPr>
                <w:color w:val="000000"/>
              </w:rPr>
            </w:pPr>
            <w:r>
              <w:rPr>
                <w:color w:val="000000"/>
              </w:rPr>
              <w:t>Food Processing</w:t>
            </w:r>
          </w:p>
        </w:tc>
        <w:tc>
          <w:tcPr>
            <w:tcW w:w="2322" w:type="dxa"/>
            <w:noWrap/>
            <w:vAlign w:val="bottom"/>
            <w:hideMark/>
          </w:tcPr>
          <w:p w14:paraId="5053403C" w14:textId="77777777" w:rsidR="008D13BD" w:rsidRDefault="008D13BD" w:rsidP="008D13BD">
            <w:pPr>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Pr>
                <w:color w:val="000000"/>
              </w:rPr>
              <w:t>6.0%</w:t>
            </w:r>
          </w:p>
        </w:tc>
        <w:tc>
          <w:tcPr>
            <w:tcW w:w="2603" w:type="dxa"/>
            <w:noWrap/>
            <w:vAlign w:val="bottom"/>
            <w:hideMark/>
          </w:tcPr>
          <w:p w14:paraId="24D4123E" w14:textId="77777777" w:rsidR="008D13BD" w:rsidRDefault="008D13BD" w:rsidP="008D13BD">
            <w:pPr>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Pr>
                <w:color w:val="000000"/>
              </w:rPr>
              <w:t>7.9%</w:t>
            </w:r>
          </w:p>
        </w:tc>
      </w:tr>
      <w:tr w:rsidR="008D13BD" w:rsidRPr="002805F3" w14:paraId="3C5F2389" w14:textId="77777777" w:rsidTr="008D13BD">
        <w:trPr>
          <w:trHeight w:val="257"/>
        </w:trPr>
        <w:tc>
          <w:tcPr>
            <w:cnfStyle w:val="001000000000" w:firstRow="0" w:lastRow="0" w:firstColumn="1" w:lastColumn="0" w:oddVBand="0" w:evenVBand="0" w:oddHBand="0" w:evenHBand="0" w:firstRowFirstColumn="0" w:firstRowLastColumn="0" w:lastRowFirstColumn="0" w:lastRowLastColumn="0"/>
            <w:tcW w:w="2939" w:type="dxa"/>
            <w:noWrap/>
            <w:hideMark/>
          </w:tcPr>
          <w:p w14:paraId="239DAABB" w14:textId="77777777" w:rsidR="008D13BD" w:rsidRPr="002805F3" w:rsidRDefault="008D13BD" w:rsidP="008D13BD">
            <w:pPr>
              <w:spacing w:after="120"/>
              <w:rPr>
                <w:color w:val="000000"/>
              </w:rPr>
            </w:pPr>
            <w:r>
              <w:rPr>
                <w:color w:val="000000"/>
              </w:rPr>
              <w:t>Chemicals &amp; Process Industries</w:t>
            </w:r>
          </w:p>
        </w:tc>
        <w:tc>
          <w:tcPr>
            <w:tcW w:w="2322" w:type="dxa"/>
            <w:noWrap/>
            <w:vAlign w:val="bottom"/>
            <w:hideMark/>
          </w:tcPr>
          <w:p w14:paraId="72AB7B42" w14:textId="77777777" w:rsidR="008D13BD" w:rsidRDefault="008D13BD" w:rsidP="008D13BD">
            <w:pPr>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Pr>
                <w:color w:val="000000"/>
              </w:rPr>
              <w:t>3.0%</w:t>
            </w:r>
          </w:p>
        </w:tc>
        <w:tc>
          <w:tcPr>
            <w:tcW w:w="2603" w:type="dxa"/>
            <w:noWrap/>
            <w:vAlign w:val="bottom"/>
            <w:hideMark/>
          </w:tcPr>
          <w:p w14:paraId="37A47D13" w14:textId="77777777" w:rsidR="008D13BD" w:rsidRDefault="008D13BD" w:rsidP="008D13BD">
            <w:pPr>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Pr>
                <w:color w:val="000000"/>
              </w:rPr>
              <w:t>10.3%</w:t>
            </w:r>
          </w:p>
        </w:tc>
      </w:tr>
      <w:tr w:rsidR="008D13BD" w:rsidRPr="002805F3" w14:paraId="063AE532" w14:textId="77777777" w:rsidTr="008D13BD">
        <w:trPr>
          <w:trHeight w:val="257"/>
        </w:trPr>
        <w:tc>
          <w:tcPr>
            <w:cnfStyle w:val="001000000000" w:firstRow="0" w:lastRow="0" w:firstColumn="1" w:lastColumn="0" w:oddVBand="0" w:evenVBand="0" w:oddHBand="0" w:evenHBand="0" w:firstRowFirstColumn="0" w:firstRowLastColumn="0" w:lastRowFirstColumn="0" w:lastRowLastColumn="0"/>
            <w:tcW w:w="2939" w:type="dxa"/>
            <w:tcBorders>
              <w:bottom w:val="single" w:sz="2" w:space="0" w:color="000000" w:themeColor="text1"/>
            </w:tcBorders>
            <w:noWrap/>
            <w:hideMark/>
          </w:tcPr>
          <w:p w14:paraId="28E30C3F" w14:textId="77777777" w:rsidR="008D13BD" w:rsidRPr="002805F3" w:rsidRDefault="008D13BD" w:rsidP="008D13BD">
            <w:pPr>
              <w:spacing w:after="120"/>
              <w:rPr>
                <w:color w:val="000000"/>
              </w:rPr>
            </w:pPr>
            <w:r>
              <w:rPr>
                <w:color w:val="000000"/>
              </w:rPr>
              <w:t>Visitor Economy</w:t>
            </w:r>
          </w:p>
        </w:tc>
        <w:tc>
          <w:tcPr>
            <w:tcW w:w="2322" w:type="dxa"/>
            <w:tcBorders>
              <w:bottom w:val="single" w:sz="2" w:space="0" w:color="000000" w:themeColor="text1"/>
            </w:tcBorders>
            <w:noWrap/>
            <w:vAlign w:val="bottom"/>
            <w:hideMark/>
          </w:tcPr>
          <w:p w14:paraId="29599FAF" w14:textId="77777777" w:rsidR="008D13BD" w:rsidRDefault="008D13BD" w:rsidP="008D13BD">
            <w:pPr>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Pr>
                <w:color w:val="000000"/>
              </w:rPr>
              <w:t>7.0%</w:t>
            </w:r>
          </w:p>
        </w:tc>
        <w:tc>
          <w:tcPr>
            <w:tcW w:w="2603" w:type="dxa"/>
            <w:tcBorders>
              <w:bottom w:val="single" w:sz="2" w:space="0" w:color="000000" w:themeColor="text1"/>
            </w:tcBorders>
            <w:noWrap/>
            <w:vAlign w:val="bottom"/>
            <w:hideMark/>
          </w:tcPr>
          <w:p w14:paraId="6E4FCB65" w14:textId="77777777" w:rsidR="008D13BD" w:rsidRDefault="008D13BD" w:rsidP="008D13BD">
            <w:pPr>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Pr>
                <w:color w:val="000000"/>
              </w:rPr>
              <w:t>6.0%</w:t>
            </w:r>
          </w:p>
        </w:tc>
      </w:tr>
      <w:tr w:rsidR="008D13BD" w:rsidRPr="002805F3" w14:paraId="355B3218" w14:textId="77777777" w:rsidTr="008D13BD">
        <w:trPr>
          <w:trHeight w:val="257"/>
        </w:trPr>
        <w:tc>
          <w:tcPr>
            <w:cnfStyle w:val="001000000000" w:firstRow="0" w:lastRow="0" w:firstColumn="1" w:lastColumn="0" w:oddVBand="0" w:evenVBand="0" w:oddHBand="0" w:evenHBand="0" w:firstRowFirstColumn="0" w:firstRowLastColumn="0" w:lastRowFirstColumn="0" w:lastRowLastColumn="0"/>
            <w:tcW w:w="2939" w:type="dxa"/>
            <w:shd w:val="clear" w:color="auto" w:fill="D9D9D9" w:themeFill="background1" w:themeFillShade="D9"/>
            <w:noWrap/>
            <w:hideMark/>
          </w:tcPr>
          <w:p w14:paraId="1C775A40" w14:textId="77777777" w:rsidR="008D13BD" w:rsidRPr="00633668" w:rsidRDefault="008D13BD" w:rsidP="008D13BD">
            <w:pPr>
              <w:spacing w:after="120"/>
              <w:rPr>
                <w:b/>
                <w:color w:val="000000"/>
              </w:rPr>
            </w:pPr>
            <w:r w:rsidRPr="00633668">
              <w:rPr>
                <w:b/>
                <w:color w:val="000000"/>
              </w:rPr>
              <w:t>Total</w:t>
            </w:r>
          </w:p>
        </w:tc>
        <w:tc>
          <w:tcPr>
            <w:tcW w:w="2322" w:type="dxa"/>
            <w:shd w:val="clear" w:color="auto" w:fill="D9D9D9" w:themeFill="background1" w:themeFillShade="D9"/>
            <w:noWrap/>
            <w:hideMark/>
          </w:tcPr>
          <w:p w14:paraId="29CE0DBC" w14:textId="77777777" w:rsidR="008D13BD" w:rsidRPr="00633668" w:rsidRDefault="008D13BD" w:rsidP="008D13BD">
            <w:pPr>
              <w:spacing w:after="120"/>
              <w:jc w:val="center"/>
              <w:cnfStyle w:val="000000000000" w:firstRow="0" w:lastRow="0" w:firstColumn="0" w:lastColumn="0" w:oddVBand="0" w:evenVBand="0" w:oddHBand="0" w:evenHBand="0" w:firstRowFirstColumn="0" w:firstRowLastColumn="0" w:lastRowFirstColumn="0" w:lastRowLastColumn="0"/>
              <w:rPr>
                <w:b/>
                <w:color w:val="000000"/>
              </w:rPr>
            </w:pPr>
            <w:r>
              <w:rPr>
                <w:b/>
                <w:color w:val="000000"/>
              </w:rPr>
              <w:t>30.0%</w:t>
            </w:r>
          </w:p>
        </w:tc>
        <w:tc>
          <w:tcPr>
            <w:tcW w:w="2603" w:type="dxa"/>
            <w:shd w:val="clear" w:color="auto" w:fill="D9D9D9" w:themeFill="background1" w:themeFillShade="D9"/>
            <w:noWrap/>
            <w:hideMark/>
          </w:tcPr>
          <w:p w14:paraId="60F1BFE2" w14:textId="77777777" w:rsidR="008D7250" w:rsidRDefault="006B5BC4">
            <w:pPr>
              <w:spacing w:after="120"/>
              <w:jc w:val="center"/>
              <w:cnfStyle w:val="000000000000" w:firstRow="0" w:lastRow="0" w:firstColumn="0" w:lastColumn="0" w:oddVBand="0" w:evenVBand="0" w:oddHBand="0" w:evenHBand="0" w:firstRowFirstColumn="0" w:firstRowLastColumn="0" w:lastRowFirstColumn="0" w:lastRowLastColumn="0"/>
              <w:rPr>
                <w:rFonts w:eastAsiaTheme="minorHAnsi" w:cstheme="minorBidi"/>
                <w:b/>
                <w:color w:val="000000"/>
                <w:szCs w:val="22"/>
                <w:lang w:eastAsia="en-US"/>
              </w:rPr>
            </w:pPr>
            <w:r>
              <w:rPr>
                <w:b/>
                <w:color w:val="000000"/>
              </w:rPr>
              <w:t>57.</w:t>
            </w:r>
            <w:r w:rsidR="00091375">
              <w:rPr>
                <w:b/>
                <w:color w:val="000000"/>
              </w:rPr>
              <w:t>6</w:t>
            </w:r>
            <w:r w:rsidR="008D13BD">
              <w:rPr>
                <w:b/>
                <w:color w:val="000000"/>
              </w:rPr>
              <w:t>%</w:t>
            </w:r>
          </w:p>
        </w:tc>
      </w:tr>
    </w:tbl>
    <w:p w14:paraId="069D9944" w14:textId="77777777" w:rsidR="008D13BD" w:rsidRPr="002805F3" w:rsidRDefault="008D13BD" w:rsidP="008D13BD">
      <w:pPr>
        <w:pStyle w:val="BodyText"/>
        <w:jc w:val="both"/>
      </w:pPr>
      <w:r>
        <w:t>Source:  Atkins / IDBR, 2013</w:t>
      </w:r>
    </w:p>
    <w:p w14:paraId="670D714F" w14:textId="77777777" w:rsidR="008D7250" w:rsidRDefault="008D13BD">
      <w:pPr>
        <w:pStyle w:val="NormalNoSpace"/>
      </w:pPr>
      <w:r>
        <w:t>Table 3.3 provides</w:t>
      </w:r>
      <w:r w:rsidR="007769F9">
        <w:t xml:space="preserve"> a</w:t>
      </w:r>
      <w:r>
        <w:t xml:space="preserve"> further breakdown of G</w:t>
      </w:r>
      <w:r w:rsidR="007769F9">
        <w:t>DP</w:t>
      </w:r>
      <w:r>
        <w:t xml:space="preserve"> contribution for each of the key sectors </w:t>
      </w:r>
      <w:r w:rsidR="007769F9">
        <w:t>by</w:t>
      </w:r>
      <w:r>
        <w:t xml:space="preserve"> size of company (</w:t>
      </w:r>
      <w:r w:rsidR="007769F9">
        <w:t>in terms of</w:t>
      </w:r>
      <w:r>
        <w:t xml:space="preserve"> turnover). </w:t>
      </w:r>
    </w:p>
    <w:p w14:paraId="09C0D8F7" w14:textId="77777777" w:rsidR="008D7250" w:rsidRDefault="008D7250">
      <w:pPr>
        <w:pStyle w:val="NormalNoSpace"/>
      </w:pPr>
    </w:p>
    <w:p w14:paraId="46503979" w14:textId="77777777" w:rsidR="008D13BD" w:rsidRDefault="008D13BD" w:rsidP="008D13BD">
      <w:pPr>
        <w:pStyle w:val="Caption"/>
      </w:pPr>
      <w:r>
        <w:t xml:space="preserve">Table </w:t>
      </w:r>
      <w:fldSimple w:instr=" STYLEREF 1 \s  \* MERGEFORMAT ">
        <w:r w:rsidR="00E95E1A">
          <w:rPr>
            <w:noProof/>
          </w:rPr>
          <w:t>3</w:t>
        </w:r>
      </w:fldSimple>
      <w:r>
        <w:t>-</w:t>
      </w:r>
      <w:fldSimple w:instr=" SEQ Table \* ARABIC \s 1  \* MERGEFORMAT ">
        <w:r w:rsidR="00E95E1A">
          <w:rPr>
            <w:noProof/>
          </w:rPr>
          <w:t>3</w:t>
        </w:r>
      </w:fldSimple>
      <w:r>
        <w:tab/>
        <w:t>Key Sector GDP Contribution by Sector and Company Size (by Turnover)</w:t>
      </w:r>
    </w:p>
    <w:tbl>
      <w:tblPr>
        <w:tblStyle w:val="Atkins14pt"/>
        <w:tblW w:w="9497" w:type="dxa"/>
        <w:tblLook w:val="04A0" w:firstRow="1" w:lastRow="0" w:firstColumn="1" w:lastColumn="0" w:noHBand="0" w:noVBand="1"/>
      </w:tblPr>
      <w:tblGrid>
        <w:gridCol w:w="1919"/>
        <w:gridCol w:w="1440"/>
        <w:gridCol w:w="1460"/>
        <w:gridCol w:w="1611"/>
        <w:gridCol w:w="1460"/>
        <w:gridCol w:w="1607"/>
      </w:tblGrid>
      <w:tr w:rsidR="008D13BD" w:rsidRPr="002805F3" w14:paraId="5784FE0F" w14:textId="77777777" w:rsidTr="008D13BD">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919" w:type="dxa"/>
            <w:shd w:val="clear" w:color="auto" w:fill="BED600" w:themeFill="accent1"/>
            <w:noWrap/>
            <w:hideMark/>
          </w:tcPr>
          <w:p w14:paraId="0EB9A436" w14:textId="77777777" w:rsidR="008D13BD" w:rsidRPr="008D7E11" w:rsidRDefault="008D13BD" w:rsidP="008D13BD">
            <w:pPr>
              <w:spacing w:after="120"/>
              <w:rPr>
                <w:color w:val="000000"/>
                <w:sz w:val="18"/>
              </w:rPr>
            </w:pPr>
            <w:r w:rsidRPr="008D7E11">
              <w:rPr>
                <w:color w:val="000000"/>
                <w:sz w:val="18"/>
              </w:rPr>
              <w:t>Turnover</w:t>
            </w:r>
            <w:r w:rsidR="00203161">
              <w:rPr>
                <w:color w:val="000000"/>
                <w:sz w:val="18"/>
              </w:rPr>
              <w:t xml:space="preserve"> band</w:t>
            </w:r>
          </w:p>
        </w:tc>
        <w:tc>
          <w:tcPr>
            <w:tcW w:w="1440" w:type="dxa"/>
            <w:shd w:val="clear" w:color="auto" w:fill="BED600" w:themeFill="accent1"/>
            <w:noWrap/>
            <w:hideMark/>
          </w:tcPr>
          <w:p w14:paraId="02DD6983" w14:textId="77777777" w:rsidR="008D13BD" w:rsidRPr="008D7E11" w:rsidRDefault="008D13BD" w:rsidP="008D13BD">
            <w:pPr>
              <w:spacing w:after="120"/>
              <w:cnfStyle w:val="100000000000" w:firstRow="1" w:lastRow="0" w:firstColumn="0" w:lastColumn="0" w:oddVBand="0" w:evenVBand="0" w:oddHBand="0" w:evenHBand="0" w:firstRowFirstColumn="0" w:firstRowLastColumn="0" w:lastRowFirstColumn="0" w:lastRowLastColumn="0"/>
              <w:rPr>
                <w:color w:val="000000"/>
                <w:sz w:val="18"/>
              </w:rPr>
            </w:pPr>
            <w:r w:rsidRPr="008D7E11">
              <w:rPr>
                <w:color w:val="000000"/>
                <w:sz w:val="18"/>
              </w:rPr>
              <w:t>Renewables</w:t>
            </w:r>
          </w:p>
        </w:tc>
        <w:tc>
          <w:tcPr>
            <w:tcW w:w="1460" w:type="dxa"/>
            <w:shd w:val="clear" w:color="auto" w:fill="BED600" w:themeFill="accent1"/>
            <w:noWrap/>
            <w:hideMark/>
          </w:tcPr>
          <w:p w14:paraId="03257B6B" w14:textId="77777777" w:rsidR="008D13BD" w:rsidRPr="008D7E11" w:rsidRDefault="008D13BD" w:rsidP="008D13BD">
            <w:pPr>
              <w:spacing w:after="120"/>
              <w:cnfStyle w:val="100000000000" w:firstRow="1" w:lastRow="0" w:firstColumn="0" w:lastColumn="0" w:oddVBand="0" w:evenVBand="0" w:oddHBand="0" w:evenHBand="0" w:firstRowFirstColumn="0" w:firstRowLastColumn="0" w:lastRowFirstColumn="0" w:lastRowLastColumn="0"/>
              <w:rPr>
                <w:color w:val="000000"/>
                <w:sz w:val="18"/>
              </w:rPr>
            </w:pPr>
            <w:r w:rsidRPr="008D7E11">
              <w:rPr>
                <w:color w:val="000000"/>
                <w:sz w:val="18"/>
              </w:rPr>
              <w:t>Ports &amp; Logistics</w:t>
            </w:r>
          </w:p>
        </w:tc>
        <w:tc>
          <w:tcPr>
            <w:tcW w:w="1611" w:type="dxa"/>
            <w:shd w:val="clear" w:color="auto" w:fill="BED600" w:themeFill="accent1"/>
            <w:noWrap/>
            <w:hideMark/>
          </w:tcPr>
          <w:p w14:paraId="4FFC6D85" w14:textId="77777777" w:rsidR="008D13BD" w:rsidRPr="008D7E11" w:rsidRDefault="008D13BD" w:rsidP="008D13BD">
            <w:pPr>
              <w:spacing w:after="120"/>
              <w:cnfStyle w:val="100000000000" w:firstRow="1" w:lastRow="0" w:firstColumn="0" w:lastColumn="0" w:oddVBand="0" w:evenVBand="0" w:oddHBand="0" w:evenHBand="0" w:firstRowFirstColumn="0" w:firstRowLastColumn="0" w:lastRowFirstColumn="0" w:lastRowLastColumn="0"/>
              <w:rPr>
                <w:color w:val="000000"/>
                <w:sz w:val="18"/>
              </w:rPr>
            </w:pPr>
            <w:r w:rsidRPr="008D7E11">
              <w:rPr>
                <w:color w:val="000000"/>
                <w:sz w:val="18"/>
              </w:rPr>
              <w:t>Food manufacturing</w:t>
            </w:r>
          </w:p>
        </w:tc>
        <w:tc>
          <w:tcPr>
            <w:tcW w:w="1460" w:type="dxa"/>
            <w:shd w:val="clear" w:color="auto" w:fill="BED600" w:themeFill="accent1"/>
            <w:noWrap/>
            <w:hideMark/>
          </w:tcPr>
          <w:p w14:paraId="22027A41" w14:textId="77777777" w:rsidR="008D13BD" w:rsidRPr="008D7E11" w:rsidRDefault="008D13BD" w:rsidP="008D13BD">
            <w:pPr>
              <w:spacing w:after="120"/>
              <w:cnfStyle w:val="100000000000" w:firstRow="1" w:lastRow="0" w:firstColumn="0" w:lastColumn="0" w:oddVBand="0" w:evenVBand="0" w:oddHBand="0" w:evenHBand="0" w:firstRowFirstColumn="0" w:firstRowLastColumn="0" w:lastRowFirstColumn="0" w:lastRowLastColumn="0"/>
              <w:rPr>
                <w:color w:val="000000"/>
                <w:sz w:val="18"/>
              </w:rPr>
            </w:pPr>
            <w:r w:rsidRPr="008D7E11">
              <w:rPr>
                <w:color w:val="000000"/>
                <w:sz w:val="18"/>
              </w:rPr>
              <w:t>Chemicals &amp; process industries</w:t>
            </w:r>
          </w:p>
        </w:tc>
        <w:tc>
          <w:tcPr>
            <w:tcW w:w="1607" w:type="dxa"/>
            <w:shd w:val="clear" w:color="auto" w:fill="BED600" w:themeFill="accent1"/>
            <w:noWrap/>
            <w:hideMark/>
          </w:tcPr>
          <w:p w14:paraId="5418D3DF" w14:textId="77777777" w:rsidR="008D13BD" w:rsidRPr="008D7E11" w:rsidRDefault="008D13BD" w:rsidP="008D13BD">
            <w:pPr>
              <w:spacing w:after="120"/>
              <w:cnfStyle w:val="100000000000" w:firstRow="1" w:lastRow="0" w:firstColumn="0" w:lastColumn="0" w:oddVBand="0" w:evenVBand="0" w:oddHBand="0" w:evenHBand="0" w:firstRowFirstColumn="0" w:firstRowLastColumn="0" w:lastRowFirstColumn="0" w:lastRowLastColumn="0"/>
              <w:rPr>
                <w:color w:val="000000"/>
                <w:sz w:val="18"/>
              </w:rPr>
            </w:pPr>
            <w:r w:rsidRPr="008D7E11">
              <w:rPr>
                <w:color w:val="000000"/>
                <w:sz w:val="18"/>
              </w:rPr>
              <w:t>Visitor Economy &amp; Retail</w:t>
            </w:r>
          </w:p>
        </w:tc>
      </w:tr>
      <w:tr w:rsidR="008D13BD" w:rsidRPr="002805F3" w14:paraId="2380F09B" w14:textId="77777777" w:rsidTr="008D13BD">
        <w:trPr>
          <w:trHeight w:val="255"/>
        </w:trPr>
        <w:tc>
          <w:tcPr>
            <w:cnfStyle w:val="001000000000" w:firstRow="0" w:lastRow="0" w:firstColumn="1" w:lastColumn="0" w:oddVBand="0" w:evenVBand="0" w:oddHBand="0" w:evenHBand="0" w:firstRowFirstColumn="0" w:firstRowLastColumn="0" w:lastRowFirstColumn="0" w:lastRowLastColumn="0"/>
            <w:tcW w:w="1919" w:type="dxa"/>
            <w:noWrap/>
            <w:hideMark/>
          </w:tcPr>
          <w:p w14:paraId="24135C71" w14:textId="77777777" w:rsidR="008D13BD" w:rsidRPr="008D7E11" w:rsidRDefault="008D13BD" w:rsidP="008D13BD">
            <w:pPr>
              <w:spacing w:after="120"/>
              <w:rPr>
                <w:color w:val="000000"/>
                <w:sz w:val="18"/>
              </w:rPr>
            </w:pPr>
            <w:r w:rsidRPr="008D7E11">
              <w:rPr>
                <w:color w:val="000000"/>
                <w:sz w:val="18"/>
              </w:rPr>
              <w:t>Less than £100K p.a.</w:t>
            </w:r>
          </w:p>
        </w:tc>
        <w:tc>
          <w:tcPr>
            <w:tcW w:w="1440" w:type="dxa"/>
            <w:noWrap/>
            <w:hideMark/>
          </w:tcPr>
          <w:p w14:paraId="15CE3079"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£2,706,300</w:t>
            </w:r>
          </w:p>
        </w:tc>
        <w:tc>
          <w:tcPr>
            <w:tcW w:w="1460" w:type="dxa"/>
            <w:noWrap/>
            <w:hideMark/>
          </w:tcPr>
          <w:p w14:paraId="22264822"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£696,900</w:t>
            </w:r>
          </w:p>
        </w:tc>
        <w:tc>
          <w:tcPr>
            <w:tcW w:w="1611" w:type="dxa"/>
            <w:noWrap/>
            <w:hideMark/>
          </w:tcPr>
          <w:p w14:paraId="31AA0057"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£1,080,700</w:t>
            </w:r>
          </w:p>
        </w:tc>
        <w:tc>
          <w:tcPr>
            <w:tcW w:w="1460" w:type="dxa"/>
            <w:noWrap/>
            <w:hideMark/>
          </w:tcPr>
          <w:p w14:paraId="61DBE817"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£88,100</w:t>
            </w:r>
          </w:p>
        </w:tc>
        <w:tc>
          <w:tcPr>
            <w:tcW w:w="1607" w:type="dxa"/>
            <w:noWrap/>
            <w:hideMark/>
          </w:tcPr>
          <w:p w14:paraId="4C639611"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£7,364,600</w:t>
            </w:r>
          </w:p>
        </w:tc>
      </w:tr>
      <w:tr w:rsidR="008D13BD" w:rsidRPr="002805F3" w14:paraId="759C111C" w14:textId="77777777" w:rsidTr="008D13BD">
        <w:trPr>
          <w:trHeight w:val="255"/>
        </w:trPr>
        <w:tc>
          <w:tcPr>
            <w:cnfStyle w:val="001000000000" w:firstRow="0" w:lastRow="0" w:firstColumn="1" w:lastColumn="0" w:oddVBand="0" w:evenVBand="0" w:oddHBand="0" w:evenHBand="0" w:firstRowFirstColumn="0" w:firstRowLastColumn="0" w:lastRowFirstColumn="0" w:lastRowLastColumn="0"/>
            <w:tcW w:w="1919" w:type="dxa"/>
            <w:noWrap/>
            <w:hideMark/>
          </w:tcPr>
          <w:p w14:paraId="249B2966" w14:textId="77777777" w:rsidR="008D13BD" w:rsidRPr="008D7E11" w:rsidRDefault="008D13BD" w:rsidP="008D13BD">
            <w:pPr>
              <w:spacing w:after="120"/>
              <w:rPr>
                <w:color w:val="000000"/>
                <w:sz w:val="18"/>
              </w:rPr>
            </w:pPr>
            <w:r w:rsidRPr="008D7E11">
              <w:rPr>
                <w:color w:val="000000"/>
                <w:sz w:val="18"/>
              </w:rPr>
              <w:t>£100K to £250K p.a.</w:t>
            </w:r>
          </w:p>
        </w:tc>
        <w:tc>
          <w:tcPr>
            <w:tcW w:w="1440" w:type="dxa"/>
            <w:noWrap/>
            <w:hideMark/>
          </w:tcPr>
          <w:p w14:paraId="6F9005A5"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£3,788,700</w:t>
            </w:r>
          </w:p>
        </w:tc>
        <w:tc>
          <w:tcPr>
            <w:tcW w:w="1460" w:type="dxa"/>
            <w:noWrap/>
            <w:hideMark/>
          </w:tcPr>
          <w:p w14:paraId="033571BF"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£4,878,100</w:t>
            </w:r>
          </w:p>
        </w:tc>
        <w:tc>
          <w:tcPr>
            <w:tcW w:w="1611" w:type="dxa"/>
            <w:noWrap/>
            <w:hideMark/>
          </w:tcPr>
          <w:p w14:paraId="345967F5"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£1,080,700</w:t>
            </w:r>
          </w:p>
        </w:tc>
        <w:tc>
          <w:tcPr>
            <w:tcW w:w="1460" w:type="dxa"/>
            <w:noWrap/>
            <w:hideMark/>
          </w:tcPr>
          <w:p w14:paraId="64F5E4FD"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£616,700</w:t>
            </w:r>
          </w:p>
        </w:tc>
        <w:tc>
          <w:tcPr>
            <w:tcW w:w="1607" w:type="dxa"/>
            <w:noWrap/>
            <w:hideMark/>
          </w:tcPr>
          <w:p w14:paraId="485EBD96"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£9,323,200</w:t>
            </w:r>
          </w:p>
        </w:tc>
      </w:tr>
      <w:tr w:rsidR="008D13BD" w:rsidRPr="002805F3" w14:paraId="6A00E142" w14:textId="77777777" w:rsidTr="008D13BD">
        <w:trPr>
          <w:trHeight w:val="255"/>
        </w:trPr>
        <w:tc>
          <w:tcPr>
            <w:cnfStyle w:val="001000000000" w:firstRow="0" w:lastRow="0" w:firstColumn="1" w:lastColumn="0" w:oddVBand="0" w:evenVBand="0" w:oddHBand="0" w:evenHBand="0" w:firstRowFirstColumn="0" w:firstRowLastColumn="0" w:lastRowFirstColumn="0" w:lastRowLastColumn="0"/>
            <w:tcW w:w="1919" w:type="dxa"/>
            <w:noWrap/>
            <w:hideMark/>
          </w:tcPr>
          <w:p w14:paraId="7F495568" w14:textId="77777777" w:rsidR="008D13BD" w:rsidRPr="008D7E11" w:rsidRDefault="008D13BD" w:rsidP="008D13BD">
            <w:pPr>
              <w:spacing w:after="120"/>
              <w:rPr>
                <w:color w:val="000000"/>
                <w:sz w:val="18"/>
              </w:rPr>
            </w:pPr>
            <w:r w:rsidRPr="008D7E11">
              <w:rPr>
                <w:color w:val="000000"/>
                <w:sz w:val="18"/>
              </w:rPr>
              <w:t>£250K to £500K p.a.</w:t>
            </w:r>
          </w:p>
        </w:tc>
        <w:tc>
          <w:tcPr>
            <w:tcW w:w="1440" w:type="dxa"/>
            <w:noWrap/>
            <w:hideMark/>
          </w:tcPr>
          <w:p w14:paraId="3B5E68E6"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£8,118,700</w:t>
            </w:r>
          </w:p>
        </w:tc>
        <w:tc>
          <w:tcPr>
            <w:tcW w:w="1460" w:type="dxa"/>
            <w:noWrap/>
            <w:hideMark/>
          </w:tcPr>
          <w:p w14:paraId="2FEB0B9C"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£15,679,700</w:t>
            </w:r>
          </w:p>
        </w:tc>
        <w:tc>
          <w:tcPr>
            <w:tcW w:w="1611" w:type="dxa"/>
            <w:noWrap/>
            <w:hideMark/>
          </w:tcPr>
          <w:p w14:paraId="67292128"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£3,473,700</w:t>
            </w:r>
          </w:p>
        </w:tc>
        <w:tc>
          <w:tcPr>
            <w:tcW w:w="1460" w:type="dxa"/>
            <w:noWrap/>
            <w:hideMark/>
          </w:tcPr>
          <w:p w14:paraId="2FE9F24B"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£660,700</w:t>
            </w:r>
          </w:p>
        </w:tc>
        <w:tc>
          <w:tcPr>
            <w:tcW w:w="1607" w:type="dxa"/>
            <w:noWrap/>
            <w:hideMark/>
          </w:tcPr>
          <w:p w14:paraId="3D00FD44"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£14,102,400</w:t>
            </w:r>
          </w:p>
        </w:tc>
      </w:tr>
      <w:tr w:rsidR="008D13BD" w:rsidRPr="002805F3" w14:paraId="54C0FB50" w14:textId="77777777" w:rsidTr="008D13BD">
        <w:trPr>
          <w:trHeight w:val="255"/>
        </w:trPr>
        <w:tc>
          <w:tcPr>
            <w:cnfStyle w:val="001000000000" w:firstRow="0" w:lastRow="0" w:firstColumn="1" w:lastColumn="0" w:oddVBand="0" w:evenVBand="0" w:oddHBand="0" w:evenHBand="0" w:firstRowFirstColumn="0" w:firstRowLastColumn="0" w:lastRowFirstColumn="0" w:lastRowLastColumn="0"/>
            <w:tcW w:w="1919" w:type="dxa"/>
            <w:noWrap/>
            <w:hideMark/>
          </w:tcPr>
          <w:p w14:paraId="3ECE8CB9" w14:textId="77777777" w:rsidR="008D13BD" w:rsidRPr="008D7E11" w:rsidRDefault="008D13BD" w:rsidP="008D13BD">
            <w:pPr>
              <w:spacing w:after="120"/>
              <w:rPr>
                <w:color w:val="000000"/>
                <w:sz w:val="18"/>
              </w:rPr>
            </w:pPr>
            <w:r w:rsidRPr="008D7E11">
              <w:rPr>
                <w:color w:val="000000"/>
                <w:sz w:val="18"/>
              </w:rPr>
              <w:t>£500K to £1M p.a.</w:t>
            </w:r>
          </w:p>
        </w:tc>
        <w:tc>
          <w:tcPr>
            <w:tcW w:w="1440" w:type="dxa"/>
            <w:noWrap/>
            <w:hideMark/>
          </w:tcPr>
          <w:p w14:paraId="14F976B1"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£24,356,200</w:t>
            </w:r>
          </w:p>
        </w:tc>
        <w:tc>
          <w:tcPr>
            <w:tcW w:w="1460" w:type="dxa"/>
            <w:noWrap/>
            <w:hideMark/>
          </w:tcPr>
          <w:p w14:paraId="414B23D7"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£13,937,500</w:t>
            </w:r>
          </w:p>
        </w:tc>
        <w:tc>
          <w:tcPr>
            <w:tcW w:w="1611" w:type="dxa"/>
            <w:noWrap/>
            <w:hideMark/>
          </w:tcPr>
          <w:p w14:paraId="7AAACA24"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£9,263,200</w:t>
            </w:r>
          </w:p>
        </w:tc>
        <w:tc>
          <w:tcPr>
            <w:tcW w:w="1460" w:type="dxa"/>
            <w:noWrap/>
            <w:hideMark/>
          </w:tcPr>
          <w:p w14:paraId="0519BB85"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£3,964,300</w:t>
            </w:r>
          </w:p>
        </w:tc>
        <w:tc>
          <w:tcPr>
            <w:tcW w:w="1607" w:type="dxa"/>
            <w:noWrap/>
            <w:hideMark/>
          </w:tcPr>
          <w:p w14:paraId="473B9B48"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£21,153,500</w:t>
            </w:r>
          </w:p>
        </w:tc>
      </w:tr>
      <w:tr w:rsidR="008D13BD" w:rsidRPr="002805F3" w14:paraId="3E5917FE" w14:textId="77777777" w:rsidTr="008D13BD">
        <w:trPr>
          <w:trHeight w:val="255"/>
        </w:trPr>
        <w:tc>
          <w:tcPr>
            <w:cnfStyle w:val="001000000000" w:firstRow="0" w:lastRow="0" w:firstColumn="1" w:lastColumn="0" w:oddVBand="0" w:evenVBand="0" w:oddHBand="0" w:evenHBand="0" w:firstRowFirstColumn="0" w:firstRowLastColumn="0" w:lastRowFirstColumn="0" w:lastRowLastColumn="0"/>
            <w:tcW w:w="1919" w:type="dxa"/>
            <w:noWrap/>
            <w:hideMark/>
          </w:tcPr>
          <w:p w14:paraId="0A7603F5" w14:textId="77777777" w:rsidR="008D13BD" w:rsidRPr="008D7E11" w:rsidRDefault="008D13BD" w:rsidP="008D13BD">
            <w:pPr>
              <w:spacing w:after="120"/>
              <w:rPr>
                <w:color w:val="000000"/>
                <w:sz w:val="18"/>
              </w:rPr>
            </w:pPr>
            <w:r w:rsidRPr="008D7E11">
              <w:rPr>
                <w:color w:val="000000"/>
                <w:sz w:val="18"/>
              </w:rPr>
              <w:t>£1M to £2M p.a.</w:t>
            </w:r>
          </w:p>
        </w:tc>
        <w:tc>
          <w:tcPr>
            <w:tcW w:w="1440" w:type="dxa"/>
            <w:noWrap/>
            <w:hideMark/>
          </w:tcPr>
          <w:p w14:paraId="6C8283F3"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£32,475,000</w:t>
            </w:r>
          </w:p>
        </w:tc>
        <w:tc>
          <w:tcPr>
            <w:tcW w:w="1460" w:type="dxa"/>
            <w:noWrap/>
            <w:hideMark/>
          </w:tcPr>
          <w:p w14:paraId="660CF916"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£69,687,500</w:t>
            </w:r>
          </w:p>
        </w:tc>
        <w:tc>
          <w:tcPr>
            <w:tcW w:w="1611" w:type="dxa"/>
            <w:noWrap/>
            <w:hideMark/>
          </w:tcPr>
          <w:p w14:paraId="1ABCABEB"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£6,947,400</w:t>
            </w:r>
          </w:p>
        </w:tc>
        <w:tc>
          <w:tcPr>
            <w:tcW w:w="1460" w:type="dxa"/>
            <w:noWrap/>
            <w:hideMark/>
          </w:tcPr>
          <w:p w14:paraId="531C1190"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£10,571,400</w:t>
            </w:r>
          </w:p>
        </w:tc>
        <w:tc>
          <w:tcPr>
            <w:tcW w:w="1607" w:type="dxa"/>
            <w:noWrap/>
            <w:hideMark/>
          </w:tcPr>
          <w:p w14:paraId="76DAAE2E"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£18,803,100</w:t>
            </w:r>
          </w:p>
        </w:tc>
      </w:tr>
      <w:tr w:rsidR="008D13BD" w:rsidRPr="002805F3" w14:paraId="06B83F8B" w14:textId="77777777" w:rsidTr="008D13BD">
        <w:trPr>
          <w:trHeight w:val="255"/>
        </w:trPr>
        <w:tc>
          <w:tcPr>
            <w:cnfStyle w:val="001000000000" w:firstRow="0" w:lastRow="0" w:firstColumn="1" w:lastColumn="0" w:oddVBand="0" w:evenVBand="0" w:oddHBand="0" w:evenHBand="0" w:firstRowFirstColumn="0" w:firstRowLastColumn="0" w:lastRowFirstColumn="0" w:lastRowLastColumn="0"/>
            <w:tcW w:w="1919" w:type="dxa"/>
            <w:noWrap/>
            <w:hideMark/>
          </w:tcPr>
          <w:p w14:paraId="7AFA39B8" w14:textId="77777777" w:rsidR="008D13BD" w:rsidRPr="008D7E11" w:rsidRDefault="008D13BD" w:rsidP="008D13BD">
            <w:pPr>
              <w:spacing w:after="120"/>
              <w:rPr>
                <w:color w:val="000000"/>
                <w:sz w:val="18"/>
              </w:rPr>
            </w:pPr>
            <w:r w:rsidRPr="008D7E11">
              <w:rPr>
                <w:color w:val="000000"/>
                <w:sz w:val="18"/>
              </w:rPr>
              <w:t>£2M to 5M p.a.</w:t>
            </w:r>
          </w:p>
        </w:tc>
        <w:tc>
          <w:tcPr>
            <w:tcW w:w="1440" w:type="dxa"/>
            <w:noWrap/>
            <w:hideMark/>
          </w:tcPr>
          <w:p w14:paraId="6C854EDD"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£37,887,500</w:t>
            </w:r>
          </w:p>
        </w:tc>
        <w:tc>
          <w:tcPr>
            <w:tcW w:w="1460" w:type="dxa"/>
            <w:noWrap/>
            <w:hideMark/>
          </w:tcPr>
          <w:p w14:paraId="512F5A69"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£178,864,600</w:t>
            </w:r>
          </w:p>
        </w:tc>
        <w:tc>
          <w:tcPr>
            <w:tcW w:w="1611" w:type="dxa"/>
            <w:noWrap/>
            <w:hideMark/>
          </w:tcPr>
          <w:p w14:paraId="20AC5E2A"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£21,614,000</w:t>
            </w:r>
          </w:p>
        </w:tc>
        <w:tc>
          <w:tcPr>
            <w:tcW w:w="1460" w:type="dxa"/>
            <w:noWrap/>
            <w:hideMark/>
          </w:tcPr>
          <w:p w14:paraId="0FA539F1"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£18,500,000</w:t>
            </w:r>
          </w:p>
        </w:tc>
        <w:tc>
          <w:tcPr>
            <w:tcW w:w="1607" w:type="dxa"/>
            <w:noWrap/>
            <w:hideMark/>
          </w:tcPr>
          <w:p w14:paraId="50AC8D5E"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£32,905,500</w:t>
            </w:r>
          </w:p>
        </w:tc>
      </w:tr>
      <w:tr w:rsidR="008D13BD" w:rsidRPr="002805F3" w14:paraId="009FEF05" w14:textId="77777777" w:rsidTr="008D13BD">
        <w:trPr>
          <w:trHeight w:val="255"/>
        </w:trPr>
        <w:tc>
          <w:tcPr>
            <w:cnfStyle w:val="001000000000" w:firstRow="0" w:lastRow="0" w:firstColumn="1" w:lastColumn="0" w:oddVBand="0" w:evenVBand="0" w:oddHBand="0" w:evenHBand="0" w:firstRowFirstColumn="0" w:firstRowLastColumn="0" w:lastRowFirstColumn="0" w:lastRowLastColumn="0"/>
            <w:tcW w:w="1919" w:type="dxa"/>
            <w:noWrap/>
            <w:hideMark/>
          </w:tcPr>
          <w:p w14:paraId="656A7CA7" w14:textId="77777777" w:rsidR="008D13BD" w:rsidRPr="008D7E11" w:rsidRDefault="008D13BD" w:rsidP="008D13BD">
            <w:pPr>
              <w:spacing w:after="120"/>
              <w:rPr>
                <w:color w:val="000000"/>
                <w:sz w:val="18"/>
              </w:rPr>
            </w:pPr>
            <w:r w:rsidRPr="008D7E11">
              <w:rPr>
                <w:color w:val="000000"/>
                <w:sz w:val="18"/>
              </w:rPr>
              <w:t>Over £5M</w:t>
            </w:r>
          </w:p>
        </w:tc>
        <w:tc>
          <w:tcPr>
            <w:tcW w:w="1440" w:type="dxa"/>
            <w:noWrap/>
            <w:hideMark/>
          </w:tcPr>
          <w:p w14:paraId="413D059C"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£266,500,000</w:t>
            </w:r>
          </w:p>
        </w:tc>
        <w:tc>
          <w:tcPr>
            <w:tcW w:w="1460" w:type="dxa"/>
            <w:noWrap/>
            <w:hideMark/>
          </w:tcPr>
          <w:p w14:paraId="5D0CFD93" w14:textId="77777777" w:rsidR="008D13BD" w:rsidRPr="008D7E11" w:rsidRDefault="00275F09"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£3</w:t>
            </w:r>
            <w:r w:rsidR="008D13BD" w:rsidRPr="008D7E11">
              <w:rPr>
                <w:color w:val="000000"/>
                <w:sz w:val="18"/>
              </w:rPr>
              <w:t>48,437,500</w:t>
            </w:r>
          </w:p>
        </w:tc>
        <w:tc>
          <w:tcPr>
            <w:tcW w:w="1611" w:type="dxa"/>
            <w:noWrap/>
            <w:hideMark/>
          </w:tcPr>
          <w:p w14:paraId="5668CA51"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£196,315,800</w:t>
            </w:r>
          </w:p>
        </w:tc>
        <w:tc>
          <w:tcPr>
            <w:tcW w:w="1460" w:type="dxa"/>
            <w:noWrap/>
            <w:hideMark/>
          </w:tcPr>
          <w:p w14:paraId="0D265E12"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£276,428,600</w:t>
            </w:r>
          </w:p>
        </w:tc>
        <w:tc>
          <w:tcPr>
            <w:tcW w:w="1607" w:type="dxa"/>
            <w:noWrap/>
            <w:hideMark/>
          </w:tcPr>
          <w:p w14:paraId="13F38772"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color w:val="000000"/>
                <w:sz w:val="18"/>
              </w:rPr>
            </w:pPr>
            <w:r w:rsidRPr="008D7E11">
              <w:rPr>
                <w:color w:val="000000"/>
                <w:sz w:val="18"/>
              </w:rPr>
              <w:t>£78,346,500</w:t>
            </w:r>
          </w:p>
        </w:tc>
      </w:tr>
      <w:tr w:rsidR="008D13BD" w:rsidRPr="002805F3" w14:paraId="0B656C51" w14:textId="77777777" w:rsidTr="008D13BD">
        <w:trPr>
          <w:trHeight w:val="255"/>
        </w:trPr>
        <w:tc>
          <w:tcPr>
            <w:cnfStyle w:val="001000000000" w:firstRow="0" w:lastRow="0" w:firstColumn="1" w:lastColumn="0" w:oddVBand="0" w:evenVBand="0" w:oddHBand="0" w:evenHBand="0" w:firstRowFirstColumn="0" w:firstRowLastColumn="0" w:lastRowFirstColumn="0" w:lastRowLastColumn="0"/>
            <w:tcW w:w="1919" w:type="dxa"/>
            <w:shd w:val="clear" w:color="auto" w:fill="E6E4DE" w:themeFill="accent6"/>
            <w:noWrap/>
            <w:hideMark/>
          </w:tcPr>
          <w:p w14:paraId="12A134B0" w14:textId="77777777" w:rsidR="008D13BD" w:rsidRPr="008D7E11" w:rsidRDefault="008D13BD" w:rsidP="008D13BD">
            <w:pPr>
              <w:spacing w:after="120"/>
              <w:rPr>
                <w:b/>
                <w:color w:val="000000"/>
                <w:sz w:val="18"/>
              </w:rPr>
            </w:pPr>
            <w:r w:rsidRPr="008D7E11">
              <w:rPr>
                <w:b/>
                <w:color w:val="000000"/>
                <w:sz w:val="18"/>
              </w:rPr>
              <w:t>Total</w:t>
            </w:r>
          </w:p>
        </w:tc>
        <w:tc>
          <w:tcPr>
            <w:tcW w:w="1440" w:type="dxa"/>
            <w:shd w:val="clear" w:color="auto" w:fill="E6E4DE" w:themeFill="accent6"/>
            <w:noWrap/>
            <w:hideMark/>
          </w:tcPr>
          <w:p w14:paraId="4D6EFB4F"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b/>
                <w:color w:val="000000"/>
                <w:sz w:val="18"/>
              </w:rPr>
            </w:pPr>
            <w:r w:rsidRPr="008D7E11">
              <w:rPr>
                <w:b/>
                <w:color w:val="000000"/>
                <w:sz w:val="18"/>
              </w:rPr>
              <w:t>£375,832,400</w:t>
            </w:r>
          </w:p>
        </w:tc>
        <w:tc>
          <w:tcPr>
            <w:tcW w:w="1460" w:type="dxa"/>
            <w:shd w:val="clear" w:color="auto" w:fill="E6E4DE" w:themeFill="accent6"/>
            <w:noWrap/>
            <w:hideMark/>
          </w:tcPr>
          <w:p w14:paraId="35ABF3F5" w14:textId="77777777" w:rsidR="008D13BD" w:rsidRPr="008D7E11" w:rsidRDefault="00275F09" w:rsidP="008D13BD">
            <w:pPr>
              <w:spacing w:after="120"/>
              <w:ind w:right="98"/>
              <w:jc w:val="right"/>
              <w:cnfStyle w:val="000000000000" w:firstRow="0" w:lastRow="0" w:firstColumn="0" w:lastColumn="0" w:oddVBand="0" w:evenVBand="0" w:oddHBand="0" w:evenHBand="0" w:firstRowFirstColumn="0" w:firstRowLastColumn="0" w:lastRowFirstColumn="0" w:lastRowLastColumn="0"/>
              <w:rPr>
                <w:b/>
                <w:color w:val="000000"/>
                <w:sz w:val="18"/>
              </w:rPr>
            </w:pPr>
            <w:r>
              <w:rPr>
                <w:b/>
                <w:color w:val="000000"/>
                <w:sz w:val="18"/>
              </w:rPr>
              <w:t>£6</w:t>
            </w:r>
            <w:r w:rsidR="008D13BD" w:rsidRPr="008D7E11">
              <w:rPr>
                <w:b/>
                <w:color w:val="000000"/>
                <w:sz w:val="18"/>
              </w:rPr>
              <w:t>32,181,800</w:t>
            </w:r>
          </w:p>
        </w:tc>
        <w:tc>
          <w:tcPr>
            <w:tcW w:w="1611" w:type="dxa"/>
            <w:shd w:val="clear" w:color="auto" w:fill="E6E4DE" w:themeFill="accent6"/>
            <w:noWrap/>
            <w:hideMark/>
          </w:tcPr>
          <w:p w14:paraId="20BACF87"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b/>
                <w:color w:val="000000"/>
                <w:sz w:val="18"/>
              </w:rPr>
            </w:pPr>
            <w:r w:rsidRPr="008D7E11">
              <w:rPr>
                <w:b/>
                <w:color w:val="000000"/>
                <w:sz w:val="18"/>
              </w:rPr>
              <w:t>£239,775,500</w:t>
            </w:r>
          </w:p>
        </w:tc>
        <w:tc>
          <w:tcPr>
            <w:tcW w:w="1460" w:type="dxa"/>
            <w:shd w:val="clear" w:color="auto" w:fill="E6E4DE" w:themeFill="accent6"/>
            <w:noWrap/>
            <w:hideMark/>
          </w:tcPr>
          <w:p w14:paraId="39B8397F"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b/>
                <w:color w:val="000000"/>
                <w:sz w:val="18"/>
              </w:rPr>
            </w:pPr>
            <w:r w:rsidRPr="008D7E11">
              <w:rPr>
                <w:b/>
                <w:color w:val="000000"/>
                <w:sz w:val="18"/>
              </w:rPr>
              <w:t xml:space="preserve">£310,829,800 </w:t>
            </w:r>
          </w:p>
        </w:tc>
        <w:tc>
          <w:tcPr>
            <w:tcW w:w="1607" w:type="dxa"/>
            <w:shd w:val="clear" w:color="auto" w:fill="E6E4DE" w:themeFill="accent6"/>
            <w:noWrap/>
            <w:hideMark/>
          </w:tcPr>
          <w:p w14:paraId="6B82939A" w14:textId="77777777" w:rsidR="008D13BD" w:rsidRPr="008D7E11" w:rsidRDefault="008D13BD" w:rsidP="008D13BD">
            <w:pPr>
              <w:spacing w:after="120"/>
              <w:ind w:right="98"/>
              <w:jc w:val="right"/>
              <w:cnfStyle w:val="000000000000" w:firstRow="0" w:lastRow="0" w:firstColumn="0" w:lastColumn="0" w:oddVBand="0" w:evenVBand="0" w:oddHBand="0" w:evenHBand="0" w:firstRowFirstColumn="0" w:firstRowLastColumn="0" w:lastRowFirstColumn="0" w:lastRowLastColumn="0"/>
              <w:rPr>
                <w:b/>
                <w:color w:val="000000"/>
                <w:sz w:val="18"/>
              </w:rPr>
            </w:pPr>
            <w:r w:rsidRPr="008D7E11">
              <w:rPr>
                <w:b/>
                <w:color w:val="000000"/>
                <w:sz w:val="18"/>
              </w:rPr>
              <w:t>£181,998,800</w:t>
            </w:r>
          </w:p>
        </w:tc>
      </w:tr>
      <w:tr w:rsidR="008D13BD" w:rsidRPr="002805F3" w14:paraId="00F0B517" w14:textId="77777777" w:rsidTr="008D13BD">
        <w:trPr>
          <w:trHeight w:val="255"/>
        </w:trPr>
        <w:tc>
          <w:tcPr>
            <w:cnfStyle w:val="001000000000" w:firstRow="0" w:lastRow="0" w:firstColumn="1" w:lastColumn="0" w:oddVBand="0" w:evenVBand="0" w:oddHBand="0" w:evenHBand="0" w:firstRowFirstColumn="0" w:firstRowLastColumn="0" w:lastRowFirstColumn="0" w:lastRowLastColumn="0"/>
            <w:tcW w:w="7890" w:type="dxa"/>
            <w:gridSpan w:val="5"/>
            <w:shd w:val="clear" w:color="auto" w:fill="E6E4DE" w:themeFill="accent6"/>
            <w:noWrap/>
            <w:hideMark/>
          </w:tcPr>
          <w:p w14:paraId="4CF90C28" w14:textId="77777777" w:rsidR="008D13BD" w:rsidRPr="008D7E11" w:rsidRDefault="008D13BD" w:rsidP="008D13BD">
            <w:pPr>
              <w:spacing w:after="120"/>
              <w:ind w:right="98"/>
              <w:rPr>
                <w:b/>
                <w:color w:val="000000"/>
                <w:sz w:val="18"/>
              </w:rPr>
            </w:pPr>
            <w:r w:rsidRPr="008D7E11">
              <w:rPr>
                <w:b/>
                <w:color w:val="000000"/>
                <w:sz w:val="18"/>
              </w:rPr>
              <w:t>Total Key Sectors</w:t>
            </w:r>
          </w:p>
        </w:tc>
        <w:tc>
          <w:tcPr>
            <w:tcW w:w="1607" w:type="dxa"/>
            <w:shd w:val="clear" w:color="auto" w:fill="E6E4DE" w:themeFill="accent6"/>
            <w:noWrap/>
            <w:hideMark/>
          </w:tcPr>
          <w:p w14:paraId="0954453C" w14:textId="77777777" w:rsidR="008D13BD" w:rsidRPr="008D7E11" w:rsidRDefault="00B81697" w:rsidP="008D13BD">
            <w:pPr>
              <w:spacing w:after="120"/>
              <w:ind w:right="98"/>
              <w:jc w:val="right"/>
              <w:cnfStyle w:val="000000000000" w:firstRow="0" w:lastRow="0" w:firstColumn="0" w:lastColumn="0" w:oddVBand="0" w:evenVBand="0" w:oddHBand="0" w:evenHBand="0" w:firstRowFirstColumn="0" w:firstRowLastColumn="0" w:lastRowFirstColumn="0" w:lastRowLastColumn="0"/>
              <w:rPr>
                <w:b/>
                <w:color w:val="000000"/>
                <w:sz w:val="18"/>
              </w:rPr>
            </w:pPr>
            <w:r>
              <w:rPr>
                <w:b/>
                <w:color w:val="000000"/>
                <w:sz w:val="18"/>
              </w:rPr>
              <w:t>£1,7</w:t>
            </w:r>
            <w:r w:rsidR="008D13BD" w:rsidRPr="008D7E11">
              <w:rPr>
                <w:b/>
                <w:color w:val="000000"/>
                <w:sz w:val="18"/>
              </w:rPr>
              <w:t>40,618,300</w:t>
            </w:r>
          </w:p>
        </w:tc>
      </w:tr>
    </w:tbl>
    <w:p w14:paraId="2D5FDFDD" w14:textId="77777777" w:rsidR="008D13BD" w:rsidRPr="002805F3" w:rsidRDefault="008D13BD" w:rsidP="008D13BD">
      <w:pPr>
        <w:pStyle w:val="TableSource"/>
      </w:pPr>
      <w:r w:rsidRPr="002805F3">
        <w:t>Source:  Atkins 2013. Atkins Ref: Survey – A2/M45. Figures rounded.</w:t>
      </w:r>
    </w:p>
    <w:p w14:paraId="521BF714" w14:textId="77777777" w:rsidR="008D13BD" w:rsidRPr="002805F3" w:rsidRDefault="008D13BD" w:rsidP="008D13BD">
      <w:pPr>
        <w:pStyle w:val="Heading2"/>
        <w:numPr>
          <w:ilvl w:val="1"/>
          <w:numId w:val="5"/>
        </w:numPr>
      </w:pPr>
      <w:bookmarkStart w:id="552" w:name="_Toc384034563"/>
      <w:bookmarkStart w:id="553" w:name="_Toc395103914"/>
      <w:r w:rsidRPr="002805F3">
        <w:t>Employm</w:t>
      </w:r>
      <w:r>
        <w:t>ent I</w:t>
      </w:r>
      <w:r w:rsidRPr="002805F3">
        <w:t>mpact</w:t>
      </w:r>
      <w:bookmarkEnd w:id="552"/>
      <w:bookmarkEnd w:id="553"/>
    </w:p>
    <w:p w14:paraId="15E29EC9" w14:textId="77777777" w:rsidR="008D13BD" w:rsidRDefault="008D13BD" w:rsidP="008D13BD">
      <w:pPr>
        <w:pStyle w:val="BodyText"/>
      </w:pPr>
      <w:r>
        <w:t xml:space="preserve">Whilst we have captured estimates of direct employment in each of the key sectors using secondary data sources (IDBR), the empirical business survey has enabled us to gather key data to provide more detailed estimates of downstream multiplier impacts which includes the supporting of jobs well beyond the Borough boundaries.  </w:t>
      </w:r>
    </w:p>
    <w:p w14:paraId="31F23F04" w14:textId="77777777" w:rsidR="008D13BD" w:rsidRDefault="008D13BD" w:rsidP="008D13BD">
      <w:pPr>
        <w:pStyle w:val="BodyText"/>
      </w:pPr>
      <w:r>
        <w:t xml:space="preserve">Table 3.4 sets out estimates of direct, indirect and inducted employment facilitated by the operation of the five key sectors within North East Lincolnshire. </w:t>
      </w:r>
    </w:p>
    <w:p w14:paraId="3568468F" w14:textId="77777777" w:rsidR="008D13BD" w:rsidRDefault="008D13BD" w:rsidP="008D13BD">
      <w:pPr>
        <w:pStyle w:val="ListBulletLast"/>
        <w:numPr>
          <w:ilvl w:val="0"/>
          <w:numId w:val="1"/>
        </w:numPr>
      </w:pPr>
      <w:r>
        <w:t xml:space="preserve">Direct employment measures jobs supported by ‘top tier’ companies solely operational in one of the key sectors in a location within North East Lincolnshire.    </w:t>
      </w:r>
    </w:p>
    <w:p w14:paraId="7C67A813" w14:textId="77777777" w:rsidR="008D13BD" w:rsidRDefault="008D13BD" w:rsidP="008D13BD">
      <w:pPr>
        <w:pStyle w:val="ListBulletLast"/>
        <w:numPr>
          <w:ilvl w:val="0"/>
          <w:numId w:val="1"/>
        </w:numPr>
      </w:pPr>
      <w:r>
        <w:t>Indirect employment measures the jobs supported by the supply chain to one or more of the key sectors in North East Lincolnshire.  These jobs are located both within and outside the Borough.</w:t>
      </w:r>
    </w:p>
    <w:p w14:paraId="2FA7CFB9" w14:textId="77777777" w:rsidR="008D13BD" w:rsidRPr="00BC0094" w:rsidRDefault="008D13BD" w:rsidP="008D13BD">
      <w:pPr>
        <w:pStyle w:val="ListBulletLast"/>
        <w:numPr>
          <w:ilvl w:val="0"/>
          <w:numId w:val="1"/>
        </w:numPr>
      </w:pPr>
      <w:r>
        <w:t>Induced employment estimates the employment supported in a range of sectors arising from expenditure of income from direct and indirect jobs generated by the five sectors.  This will include jobs in the service sectors including retail and business services.</w:t>
      </w:r>
    </w:p>
    <w:p w14:paraId="53D8B88F" w14:textId="77777777" w:rsidR="008D13BD" w:rsidRPr="002805F3" w:rsidRDefault="008D13BD" w:rsidP="008D13BD">
      <w:pPr>
        <w:pStyle w:val="BodyText"/>
        <w:jc w:val="both"/>
        <w:rPr>
          <w:color w:val="FF0000"/>
          <w:sz w:val="22"/>
        </w:rPr>
      </w:pPr>
      <w:r>
        <w:t>The table</w:t>
      </w:r>
      <w:r w:rsidRPr="002805F3">
        <w:t xml:space="preserve"> shows that the key sectors support a total of </w:t>
      </w:r>
      <w:r>
        <w:t>nearly 50,000</w:t>
      </w:r>
      <w:r w:rsidRPr="002805F3">
        <w:t xml:space="preserve"> jobs of which </w:t>
      </w:r>
      <w:r>
        <w:t>39</w:t>
      </w:r>
      <w:r w:rsidRPr="002805F3">
        <w:t>% are direct jobs with</w:t>
      </w:r>
      <w:r>
        <w:t>in North East Lincolnshire (66</w:t>
      </w:r>
      <w:r w:rsidRPr="002805F3">
        <w:t>% are in the Yorkshire &amp; Humber</w:t>
      </w:r>
      <w:r>
        <w:t>side region</w:t>
      </w:r>
      <w:r w:rsidRPr="002805F3">
        <w:t xml:space="preserve">). </w:t>
      </w:r>
    </w:p>
    <w:p w14:paraId="3C2D234F" w14:textId="77777777" w:rsidR="008D13BD" w:rsidRDefault="008D13BD" w:rsidP="008D13BD">
      <w:pPr>
        <w:spacing w:after="200" w:line="276" w:lineRule="auto"/>
        <w:rPr>
          <w:b/>
          <w:bCs/>
          <w:szCs w:val="18"/>
        </w:rPr>
      </w:pPr>
      <w:r>
        <w:br w:type="page"/>
      </w:r>
    </w:p>
    <w:p w14:paraId="2AB073FA" w14:textId="77777777" w:rsidR="008D13BD" w:rsidRDefault="008D13BD" w:rsidP="008D13BD">
      <w:pPr>
        <w:pStyle w:val="Caption"/>
      </w:pPr>
      <w:r>
        <w:t xml:space="preserve">Table </w:t>
      </w:r>
      <w:fldSimple w:instr=" STYLEREF 1 \s  \* MERGEFORMAT ">
        <w:r w:rsidR="00E95E1A">
          <w:rPr>
            <w:noProof/>
          </w:rPr>
          <w:t>3</w:t>
        </w:r>
      </w:fldSimple>
      <w:r>
        <w:t>-</w:t>
      </w:r>
      <w:fldSimple w:instr=" SEQ Table \* ARABIC \s 1  \* MERGEFORMAT ">
        <w:r w:rsidR="00E95E1A">
          <w:rPr>
            <w:noProof/>
          </w:rPr>
          <w:t>4</w:t>
        </w:r>
      </w:fldSimple>
      <w:r>
        <w:tab/>
        <w:t>Direct and Multiplier Employment Impacts of NEL Key Sectors</w:t>
      </w:r>
    </w:p>
    <w:tbl>
      <w:tblPr>
        <w:tblStyle w:val="Atkins14pt"/>
        <w:tblW w:w="10113" w:type="dxa"/>
        <w:tblLayout w:type="fixed"/>
        <w:tblLook w:val="04A0" w:firstRow="1" w:lastRow="0" w:firstColumn="1" w:lastColumn="0" w:noHBand="0" w:noVBand="1"/>
      </w:tblPr>
      <w:tblGrid>
        <w:gridCol w:w="1974"/>
        <w:gridCol w:w="1356"/>
        <w:gridCol w:w="1357"/>
        <w:gridCol w:w="1550"/>
        <w:gridCol w:w="1163"/>
        <w:gridCol w:w="1356"/>
        <w:gridCol w:w="1357"/>
      </w:tblGrid>
      <w:tr w:rsidR="008D13BD" w:rsidRPr="002805F3" w14:paraId="22DBA4DC" w14:textId="77777777" w:rsidTr="008D13BD">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1974" w:type="dxa"/>
            <w:shd w:val="clear" w:color="auto" w:fill="BED600" w:themeFill="accent1"/>
            <w:noWrap/>
            <w:hideMark/>
          </w:tcPr>
          <w:p w14:paraId="4E5E1556" w14:textId="77777777" w:rsidR="008D13BD" w:rsidRPr="00DC3863" w:rsidRDefault="008D13BD" w:rsidP="008D13BD">
            <w:pPr>
              <w:spacing w:after="0"/>
              <w:rPr>
                <w:color w:val="000000"/>
              </w:rPr>
            </w:pPr>
            <w:r w:rsidRPr="00DC3863">
              <w:rPr>
                <w:color w:val="000000"/>
              </w:rPr>
              <w:t>Geography</w:t>
            </w:r>
          </w:p>
        </w:tc>
        <w:tc>
          <w:tcPr>
            <w:tcW w:w="1356" w:type="dxa"/>
            <w:shd w:val="clear" w:color="auto" w:fill="BED600" w:themeFill="accent1"/>
            <w:noWrap/>
            <w:hideMark/>
          </w:tcPr>
          <w:p w14:paraId="0A656414" w14:textId="77777777" w:rsidR="008D13BD" w:rsidRPr="00DC3863" w:rsidRDefault="008D13BD" w:rsidP="008D13BD">
            <w:pPr>
              <w:spacing w:after="0"/>
              <w:ind w:right="69"/>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Renewables</w:t>
            </w:r>
          </w:p>
        </w:tc>
        <w:tc>
          <w:tcPr>
            <w:tcW w:w="1357" w:type="dxa"/>
            <w:shd w:val="clear" w:color="auto" w:fill="BED600" w:themeFill="accent1"/>
            <w:noWrap/>
            <w:hideMark/>
          </w:tcPr>
          <w:p w14:paraId="6EBD12F4" w14:textId="77777777" w:rsidR="008D13BD" w:rsidRPr="00DC3863" w:rsidRDefault="008D13BD" w:rsidP="008D13BD">
            <w:pPr>
              <w:spacing w:after="0"/>
              <w:ind w:right="69"/>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Ports &amp; Logistics</w:t>
            </w:r>
          </w:p>
        </w:tc>
        <w:tc>
          <w:tcPr>
            <w:tcW w:w="1550" w:type="dxa"/>
            <w:shd w:val="clear" w:color="auto" w:fill="BED600" w:themeFill="accent1"/>
            <w:noWrap/>
            <w:hideMark/>
          </w:tcPr>
          <w:p w14:paraId="668D039D" w14:textId="77777777" w:rsidR="008D13BD" w:rsidRPr="00DC3863" w:rsidRDefault="008D13BD" w:rsidP="008D13BD">
            <w:pPr>
              <w:spacing w:after="0"/>
              <w:ind w:right="69"/>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Food manufacturing</w:t>
            </w:r>
          </w:p>
        </w:tc>
        <w:tc>
          <w:tcPr>
            <w:tcW w:w="1163" w:type="dxa"/>
            <w:shd w:val="clear" w:color="auto" w:fill="BED600" w:themeFill="accent1"/>
            <w:noWrap/>
            <w:hideMark/>
          </w:tcPr>
          <w:p w14:paraId="4AD08A4E" w14:textId="77777777" w:rsidR="008D13BD" w:rsidRPr="00DC3863" w:rsidRDefault="008D13BD" w:rsidP="008D13BD">
            <w:pPr>
              <w:spacing w:after="0"/>
              <w:ind w:right="69"/>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Chemicals &amp; process industries</w:t>
            </w:r>
          </w:p>
        </w:tc>
        <w:tc>
          <w:tcPr>
            <w:tcW w:w="1356" w:type="dxa"/>
            <w:shd w:val="clear" w:color="auto" w:fill="BED600" w:themeFill="accent1"/>
            <w:noWrap/>
            <w:hideMark/>
          </w:tcPr>
          <w:p w14:paraId="3D56BE3C" w14:textId="77777777" w:rsidR="008D13BD" w:rsidRPr="00DC3863" w:rsidRDefault="008D13BD" w:rsidP="008D13BD">
            <w:pPr>
              <w:spacing w:after="0"/>
              <w:ind w:right="69"/>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 xml:space="preserve">Visitor Economy </w:t>
            </w:r>
          </w:p>
        </w:tc>
        <w:tc>
          <w:tcPr>
            <w:tcW w:w="1357" w:type="dxa"/>
            <w:shd w:val="clear" w:color="auto" w:fill="BED600" w:themeFill="accent1"/>
            <w:noWrap/>
            <w:hideMark/>
          </w:tcPr>
          <w:p w14:paraId="43CCCCDA" w14:textId="77777777" w:rsidR="008D13BD" w:rsidRPr="00DC3863" w:rsidRDefault="008D13BD" w:rsidP="008D13BD">
            <w:pPr>
              <w:spacing w:after="0"/>
              <w:ind w:right="69"/>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Total</w:t>
            </w:r>
          </w:p>
        </w:tc>
      </w:tr>
      <w:tr w:rsidR="008D13BD" w:rsidRPr="002805F3" w14:paraId="68E5631D" w14:textId="77777777" w:rsidTr="008D13BD">
        <w:trPr>
          <w:trHeight w:val="285"/>
        </w:trPr>
        <w:tc>
          <w:tcPr>
            <w:cnfStyle w:val="001000000000" w:firstRow="0" w:lastRow="0" w:firstColumn="1" w:lastColumn="0" w:oddVBand="0" w:evenVBand="0" w:oddHBand="0" w:evenHBand="0" w:firstRowFirstColumn="0" w:firstRowLastColumn="0" w:lastRowFirstColumn="0" w:lastRowLastColumn="0"/>
            <w:tcW w:w="1974" w:type="dxa"/>
            <w:shd w:val="clear" w:color="auto" w:fill="E6E4DE" w:themeFill="accent6"/>
            <w:noWrap/>
            <w:hideMark/>
          </w:tcPr>
          <w:p w14:paraId="5F504158" w14:textId="77777777" w:rsidR="008D13BD" w:rsidRPr="00332466" w:rsidRDefault="003648BC" w:rsidP="008D13BD">
            <w:pPr>
              <w:spacing w:after="0"/>
              <w:rPr>
                <w:b/>
                <w:color w:val="000000"/>
              </w:rPr>
            </w:pPr>
            <w:r>
              <w:rPr>
                <w:b/>
                <w:color w:val="000000"/>
              </w:rPr>
              <w:t xml:space="preserve">Direct </w:t>
            </w:r>
            <w:r w:rsidR="008D13BD" w:rsidRPr="00332466">
              <w:rPr>
                <w:b/>
                <w:color w:val="000000"/>
              </w:rPr>
              <w:t>Jobs</w:t>
            </w:r>
          </w:p>
        </w:tc>
        <w:tc>
          <w:tcPr>
            <w:tcW w:w="8139" w:type="dxa"/>
            <w:gridSpan w:val="6"/>
            <w:shd w:val="clear" w:color="auto" w:fill="E6E4DE" w:themeFill="accent6"/>
            <w:noWrap/>
            <w:hideMark/>
          </w:tcPr>
          <w:p w14:paraId="24E7BA5E" w14:textId="77777777" w:rsidR="008D13BD" w:rsidRPr="00332466" w:rsidRDefault="008D13BD" w:rsidP="008D13BD">
            <w:pPr>
              <w:spacing w:after="0"/>
              <w:ind w:right="69"/>
              <w:cnfStyle w:val="000000000000" w:firstRow="0" w:lastRow="0" w:firstColumn="0" w:lastColumn="0" w:oddVBand="0" w:evenVBand="0" w:oddHBand="0" w:evenHBand="0" w:firstRowFirstColumn="0" w:firstRowLastColumn="0" w:lastRowFirstColumn="0" w:lastRowLastColumn="0"/>
              <w:rPr>
                <w:b/>
                <w:color w:val="000000"/>
              </w:rPr>
            </w:pPr>
          </w:p>
        </w:tc>
      </w:tr>
      <w:tr w:rsidR="008D13BD" w:rsidRPr="002805F3" w14:paraId="2A8227D5" w14:textId="77777777" w:rsidTr="008D13BD">
        <w:trPr>
          <w:trHeight w:val="285"/>
        </w:trPr>
        <w:tc>
          <w:tcPr>
            <w:cnfStyle w:val="001000000000" w:firstRow="0" w:lastRow="0" w:firstColumn="1" w:lastColumn="0" w:oddVBand="0" w:evenVBand="0" w:oddHBand="0" w:evenHBand="0" w:firstRowFirstColumn="0" w:firstRowLastColumn="0" w:lastRowFirstColumn="0" w:lastRowLastColumn="0"/>
            <w:tcW w:w="1974" w:type="dxa"/>
            <w:noWrap/>
            <w:hideMark/>
          </w:tcPr>
          <w:p w14:paraId="43184DDD" w14:textId="77777777" w:rsidR="008D13BD" w:rsidRPr="002805F3" w:rsidRDefault="008D13BD" w:rsidP="008D13BD">
            <w:pPr>
              <w:spacing w:after="0"/>
              <w:rPr>
                <w:color w:val="000000"/>
              </w:rPr>
            </w:pPr>
            <w:r w:rsidRPr="002805F3">
              <w:rPr>
                <w:color w:val="000000"/>
              </w:rPr>
              <w:t>North East Lincolnshire</w:t>
            </w:r>
          </w:p>
        </w:tc>
        <w:tc>
          <w:tcPr>
            <w:tcW w:w="1356" w:type="dxa"/>
            <w:noWrap/>
            <w:hideMark/>
          </w:tcPr>
          <w:p w14:paraId="166FFA91"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3,250</w:t>
            </w:r>
          </w:p>
        </w:tc>
        <w:tc>
          <w:tcPr>
            <w:tcW w:w="1357" w:type="dxa"/>
            <w:noWrap/>
            <w:hideMark/>
          </w:tcPr>
          <w:p w14:paraId="60EC5A00"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4,820</w:t>
            </w:r>
          </w:p>
        </w:tc>
        <w:tc>
          <w:tcPr>
            <w:tcW w:w="1550" w:type="dxa"/>
            <w:noWrap/>
            <w:hideMark/>
          </w:tcPr>
          <w:p w14:paraId="66459D38"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4,100</w:t>
            </w:r>
          </w:p>
        </w:tc>
        <w:tc>
          <w:tcPr>
            <w:tcW w:w="1163" w:type="dxa"/>
            <w:noWrap/>
            <w:hideMark/>
          </w:tcPr>
          <w:p w14:paraId="17AD6AC7"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2,230</w:t>
            </w:r>
          </w:p>
        </w:tc>
        <w:tc>
          <w:tcPr>
            <w:tcW w:w="1356" w:type="dxa"/>
            <w:noWrap/>
            <w:hideMark/>
          </w:tcPr>
          <w:p w14:paraId="72E60A50"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4,830</w:t>
            </w:r>
          </w:p>
        </w:tc>
        <w:tc>
          <w:tcPr>
            <w:tcW w:w="1357" w:type="dxa"/>
            <w:noWrap/>
            <w:hideMark/>
          </w:tcPr>
          <w:p w14:paraId="7E269DD6"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19,230</w:t>
            </w:r>
          </w:p>
        </w:tc>
      </w:tr>
      <w:tr w:rsidR="008D13BD" w:rsidRPr="002805F3" w14:paraId="02C71F19" w14:textId="77777777" w:rsidTr="008D13BD">
        <w:trPr>
          <w:trHeight w:val="285"/>
        </w:trPr>
        <w:tc>
          <w:tcPr>
            <w:cnfStyle w:val="001000000000" w:firstRow="0" w:lastRow="0" w:firstColumn="1" w:lastColumn="0" w:oddVBand="0" w:evenVBand="0" w:oddHBand="0" w:evenHBand="0" w:firstRowFirstColumn="0" w:firstRowLastColumn="0" w:lastRowFirstColumn="0" w:lastRowLastColumn="0"/>
            <w:tcW w:w="1974" w:type="dxa"/>
            <w:shd w:val="clear" w:color="auto" w:fill="E6E4DE" w:themeFill="accent6"/>
            <w:noWrap/>
            <w:hideMark/>
          </w:tcPr>
          <w:p w14:paraId="5E3EF16A" w14:textId="77777777" w:rsidR="008D13BD" w:rsidRPr="00332466" w:rsidRDefault="008D13BD" w:rsidP="008D13BD">
            <w:pPr>
              <w:spacing w:after="0"/>
              <w:rPr>
                <w:b/>
                <w:color w:val="000000"/>
              </w:rPr>
            </w:pPr>
            <w:r w:rsidRPr="00332466">
              <w:rPr>
                <w:b/>
                <w:color w:val="000000"/>
              </w:rPr>
              <w:t>Indirect Jobs</w:t>
            </w:r>
          </w:p>
        </w:tc>
        <w:tc>
          <w:tcPr>
            <w:tcW w:w="8139" w:type="dxa"/>
            <w:gridSpan w:val="6"/>
            <w:shd w:val="clear" w:color="auto" w:fill="E6E4DE" w:themeFill="accent6"/>
            <w:noWrap/>
            <w:hideMark/>
          </w:tcPr>
          <w:p w14:paraId="2FC063F3"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p>
        </w:tc>
      </w:tr>
      <w:tr w:rsidR="008D13BD" w:rsidRPr="002805F3" w14:paraId="3190C62F" w14:textId="77777777" w:rsidTr="008D13BD">
        <w:trPr>
          <w:trHeight w:val="285"/>
        </w:trPr>
        <w:tc>
          <w:tcPr>
            <w:cnfStyle w:val="001000000000" w:firstRow="0" w:lastRow="0" w:firstColumn="1" w:lastColumn="0" w:oddVBand="0" w:evenVBand="0" w:oddHBand="0" w:evenHBand="0" w:firstRowFirstColumn="0" w:firstRowLastColumn="0" w:lastRowFirstColumn="0" w:lastRowLastColumn="0"/>
            <w:tcW w:w="1974" w:type="dxa"/>
            <w:noWrap/>
            <w:hideMark/>
          </w:tcPr>
          <w:p w14:paraId="2C00AFF1" w14:textId="77777777" w:rsidR="008D13BD" w:rsidRPr="002805F3" w:rsidRDefault="008D13BD" w:rsidP="008D13BD">
            <w:pPr>
              <w:spacing w:after="0"/>
              <w:rPr>
                <w:color w:val="000000"/>
              </w:rPr>
            </w:pPr>
            <w:r>
              <w:rPr>
                <w:color w:val="000000"/>
              </w:rPr>
              <w:t xml:space="preserve">N.&amp; N.E </w:t>
            </w:r>
            <w:r w:rsidRPr="002805F3">
              <w:rPr>
                <w:color w:val="000000"/>
              </w:rPr>
              <w:t xml:space="preserve">Lincolnshire </w:t>
            </w:r>
            <w:r>
              <w:rPr>
                <w:color w:val="000000"/>
              </w:rPr>
              <w:t>&amp;</w:t>
            </w:r>
            <w:r w:rsidRPr="002805F3">
              <w:rPr>
                <w:color w:val="000000"/>
              </w:rPr>
              <w:t xml:space="preserve"> Humber</w:t>
            </w:r>
          </w:p>
        </w:tc>
        <w:tc>
          <w:tcPr>
            <w:tcW w:w="1356" w:type="dxa"/>
            <w:noWrap/>
            <w:hideMark/>
          </w:tcPr>
          <w:p w14:paraId="316A6A53"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1,300</w:t>
            </w:r>
          </w:p>
        </w:tc>
        <w:tc>
          <w:tcPr>
            <w:tcW w:w="1357" w:type="dxa"/>
            <w:noWrap/>
            <w:hideMark/>
          </w:tcPr>
          <w:p w14:paraId="5A7DBE5A"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2,580</w:t>
            </w:r>
          </w:p>
        </w:tc>
        <w:tc>
          <w:tcPr>
            <w:tcW w:w="1550" w:type="dxa"/>
            <w:noWrap/>
            <w:hideMark/>
          </w:tcPr>
          <w:p w14:paraId="24FC787C"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600</w:t>
            </w:r>
          </w:p>
        </w:tc>
        <w:tc>
          <w:tcPr>
            <w:tcW w:w="1163" w:type="dxa"/>
            <w:noWrap/>
            <w:hideMark/>
          </w:tcPr>
          <w:p w14:paraId="04A6F535"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1,300</w:t>
            </w:r>
          </w:p>
        </w:tc>
        <w:tc>
          <w:tcPr>
            <w:tcW w:w="1356" w:type="dxa"/>
            <w:noWrap/>
            <w:hideMark/>
          </w:tcPr>
          <w:p w14:paraId="1419A2A9"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1,570</w:t>
            </w:r>
          </w:p>
        </w:tc>
        <w:tc>
          <w:tcPr>
            <w:tcW w:w="1357" w:type="dxa"/>
            <w:noWrap/>
            <w:hideMark/>
          </w:tcPr>
          <w:p w14:paraId="3681EDE9"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7,350</w:t>
            </w:r>
          </w:p>
        </w:tc>
      </w:tr>
      <w:tr w:rsidR="008D13BD" w:rsidRPr="002805F3" w14:paraId="40478449" w14:textId="77777777" w:rsidTr="008D13BD">
        <w:trPr>
          <w:trHeight w:val="285"/>
        </w:trPr>
        <w:tc>
          <w:tcPr>
            <w:cnfStyle w:val="001000000000" w:firstRow="0" w:lastRow="0" w:firstColumn="1" w:lastColumn="0" w:oddVBand="0" w:evenVBand="0" w:oddHBand="0" w:evenHBand="0" w:firstRowFirstColumn="0" w:firstRowLastColumn="0" w:lastRowFirstColumn="0" w:lastRowLastColumn="0"/>
            <w:tcW w:w="1974" w:type="dxa"/>
            <w:noWrap/>
            <w:hideMark/>
          </w:tcPr>
          <w:p w14:paraId="1A0FB7F1" w14:textId="77777777" w:rsidR="008D13BD" w:rsidRPr="002805F3" w:rsidRDefault="008D13BD" w:rsidP="008D13BD">
            <w:pPr>
              <w:spacing w:after="0"/>
              <w:rPr>
                <w:color w:val="000000"/>
              </w:rPr>
            </w:pPr>
            <w:r>
              <w:rPr>
                <w:color w:val="000000"/>
              </w:rPr>
              <w:t xml:space="preserve">Elsewhere in </w:t>
            </w:r>
            <w:r w:rsidRPr="00023F68">
              <w:rPr>
                <w:color w:val="000000"/>
              </w:rPr>
              <w:t>Yorkshire and Humber</w:t>
            </w:r>
          </w:p>
        </w:tc>
        <w:tc>
          <w:tcPr>
            <w:tcW w:w="1356" w:type="dxa"/>
            <w:noWrap/>
            <w:hideMark/>
          </w:tcPr>
          <w:p w14:paraId="68105B3C"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840</w:t>
            </w:r>
          </w:p>
        </w:tc>
        <w:tc>
          <w:tcPr>
            <w:tcW w:w="1357" w:type="dxa"/>
            <w:noWrap/>
            <w:hideMark/>
          </w:tcPr>
          <w:p w14:paraId="5688FFF6"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1,830</w:t>
            </w:r>
          </w:p>
        </w:tc>
        <w:tc>
          <w:tcPr>
            <w:tcW w:w="1550" w:type="dxa"/>
            <w:noWrap/>
            <w:hideMark/>
          </w:tcPr>
          <w:p w14:paraId="60D0612C"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390</w:t>
            </w:r>
          </w:p>
        </w:tc>
        <w:tc>
          <w:tcPr>
            <w:tcW w:w="1163" w:type="dxa"/>
            <w:noWrap/>
            <w:hideMark/>
          </w:tcPr>
          <w:p w14:paraId="352CC8E6"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800</w:t>
            </w:r>
          </w:p>
        </w:tc>
        <w:tc>
          <w:tcPr>
            <w:tcW w:w="1356" w:type="dxa"/>
            <w:noWrap/>
            <w:hideMark/>
          </w:tcPr>
          <w:p w14:paraId="1223F952"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1,210</w:t>
            </w:r>
          </w:p>
        </w:tc>
        <w:tc>
          <w:tcPr>
            <w:tcW w:w="1357" w:type="dxa"/>
            <w:noWrap/>
            <w:hideMark/>
          </w:tcPr>
          <w:p w14:paraId="0920897F"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5,070</w:t>
            </w:r>
          </w:p>
        </w:tc>
      </w:tr>
      <w:tr w:rsidR="008D13BD" w:rsidRPr="002805F3" w14:paraId="12E41B42" w14:textId="77777777" w:rsidTr="008D13BD">
        <w:trPr>
          <w:trHeight w:val="285"/>
        </w:trPr>
        <w:tc>
          <w:tcPr>
            <w:cnfStyle w:val="001000000000" w:firstRow="0" w:lastRow="0" w:firstColumn="1" w:lastColumn="0" w:oddVBand="0" w:evenVBand="0" w:oddHBand="0" w:evenHBand="0" w:firstRowFirstColumn="0" w:firstRowLastColumn="0" w:lastRowFirstColumn="0" w:lastRowLastColumn="0"/>
            <w:tcW w:w="1974" w:type="dxa"/>
            <w:noWrap/>
            <w:hideMark/>
          </w:tcPr>
          <w:p w14:paraId="12AAB260" w14:textId="77777777" w:rsidR="008D13BD" w:rsidRPr="002805F3" w:rsidRDefault="008D13BD" w:rsidP="008D13BD">
            <w:pPr>
              <w:spacing w:after="0"/>
              <w:rPr>
                <w:color w:val="000000"/>
              </w:rPr>
            </w:pPr>
            <w:r w:rsidRPr="002805F3">
              <w:rPr>
                <w:color w:val="000000"/>
              </w:rPr>
              <w:t>Outside L/H</w:t>
            </w:r>
          </w:p>
        </w:tc>
        <w:tc>
          <w:tcPr>
            <w:tcW w:w="1356" w:type="dxa"/>
            <w:noWrap/>
            <w:hideMark/>
          </w:tcPr>
          <w:p w14:paraId="3989B5C9"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1,360</w:t>
            </w:r>
          </w:p>
        </w:tc>
        <w:tc>
          <w:tcPr>
            <w:tcW w:w="1357" w:type="dxa"/>
            <w:noWrap/>
            <w:hideMark/>
          </w:tcPr>
          <w:p w14:paraId="730FC099"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3,140</w:t>
            </w:r>
          </w:p>
        </w:tc>
        <w:tc>
          <w:tcPr>
            <w:tcW w:w="1550" w:type="dxa"/>
            <w:noWrap/>
            <w:hideMark/>
          </w:tcPr>
          <w:p w14:paraId="3E5CB2F4"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510</w:t>
            </w:r>
          </w:p>
        </w:tc>
        <w:tc>
          <w:tcPr>
            <w:tcW w:w="1163" w:type="dxa"/>
            <w:noWrap/>
            <w:hideMark/>
          </w:tcPr>
          <w:p w14:paraId="054A20C6"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1,980</w:t>
            </w:r>
          </w:p>
        </w:tc>
        <w:tc>
          <w:tcPr>
            <w:tcW w:w="1356" w:type="dxa"/>
            <w:noWrap/>
            <w:hideMark/>
          </w:tcPr>
          <w:p w14:paraId="07D7EF26"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1,080</w:t>
            </w:r>
          </w:p>
        </w:tc>
        <w:tc>
          <w:tcPr>
            <w:tcW w:w="1357" w:type="dxa"/>
            <w:noWrap/>
            <w:hideMark/>
          </w:tcPr>
          <w:p w14:paraId="01FE4685"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8,070</w:t>
            </w:r>
          </w:p>
        </w:tc>
      </w:tr>
      <w:tr w:rsidR="008D13BD" w:rsidRPr="002805F3" w14:paraId="78C6C193" w14:textId="77777777" w:rsidTr="008D13BD">
        <w:trPr>
          <w:trHeight w:val="285"/>
        </w:trPr>
        <w:tc>
          <w:tcPr>
            <w:cnfStyle w:val="001000000000" w:firstRow="0" w:lastRow="0" w:firstColumn="1" w:lastColumn="0" w:oddVBand="0" w:evenVBand="0" w:oddHBand="0" w:evenHBand="0" w:firstRowFirstColumn="0" w:firstRowLastColumn="0" w:lastRowFirstColumn="0" w:lastRowLastColumn="0"/>
            <w:tcW w:w="1974" w:type="dxa"/>
            <w:noWrap/>
            <w:hideMark/>
          </w:tcPr>
          <w:p w14:paraId="53F67CA2" w14:textId="77777777" w:rsidR="008D13BD" w:rsidRPr="00332466" w:rsidRDefault="008D13BD" w:rsidP="008D13BD">
            <w:pPr>
              <w:spacing w:after="0"/>
              <w:rPr>
                <w:b/>
                <w:color w:val="000000"/>
              </w:rPr>
            </w:pPr>
            <w:r w:rsidRPr="00332466">
              <w:rPr>
                <w:b/>
                <w:color w:val="000000"/>
              </w:rPr>
              <w:t>Total</w:t>
            </w:r>
          </w:p>
        </w:tc>
        <w:tc>
          <w:tcPr>
            <w:tcW w:w="1356" w:type="dxa"/>
            <w:noWrap/>
            <w:vAlign w:val="bottom"/>
            <w:hideMark/>
          </w:tcPr>
          <w:p w14:paraId="32183289" w14:textId="77777777" w:rsidR="008D13BD" w:rsidRPr="005B6D13" w:rsidRDefault="008D13BD" w:rsidP="008D13BD">
            <w:pPr>
              <w:jc w:val="right"/>
              <w:cnfStyle w:val="000000000000" w:firstRow="0" w:lastRow="0" w:firstColumn="0" w:lastColumn="0" w:oddVBand="0" w:evenVBand="0" w:oddHBand="0" w:evenHBand="0" w:firstRowFirstColumn="0" w:firstRowLastColumn="0" w:lastRowFirstColumn="0" w:lastRowLastColumn="0"/>
              <w:rPr>
                <w:b/>
                <w:color w:val="000000"/>
              </w:rPr>
            </w:pPr>
            <w:r w:rsidRPr="005B6D13">
              <w:rPr>
                <w:b/>
                <w:color w:val="000000"/>
              </w:rPr>
              <w:t>3</w:t>
            </w:r>
            <w:r>
              <w:rPr>
                <w:b/>
                <w:color w:val="000000"/>
              </w:rPr>
              <w:t>,</w:t>
            </w:r>
            <w:r w:rsidRPr="005B6D13">
              <w:rPr>
                <w:b/>
                <w:color w:val="000000"/>
              </w:rPr>
              <w:t>500</w:t>
            </w:r>
          </w:p>
        </w:tc>
        <w:tc>
          <w:tcPr>
            <w:tcW w:w="1357" w:type="dxa"/>
            <w:noWrap/>
            <w:vAlign w:val="bottom"/>
            <w:hideMark/>
          </w:tcPr>
          <w:p w14:paraId="655789E2" w14:textId="77777777" w:rsidR="008D13BD" w:rsidRPr="005B6D13" w:rsidRDefault="008D13BD" w:rsidP="008D13BD">
            <w:pPr>
              <w:jc w:val="right"/>
              <w:cnfStyle w:val="000000000000" w:firstRow="0" w:lastRow="0" w:firstColumn="0" w:lastColumn="0" w:oddVBand="0" w:evenVBand="0" w:oddHBand="0" w:evenHBand="0" w:firstRowFirstColumn="0" w:firstRowLastColumn="0" w:lastRowFirstColumn="0" w:lastRowLastColumn="0"/>
              <w:rPr>
                <w:b/>
                <w:color w:val="000000"/>
              </w:rPr>
            </w:pPr>
            <w:r w:rsidRPr="005B6D13">
              <w:rPr>
                <w:b/>
                <w:color w:val="000000"/>
              </w:rPr>
              <w:t>7</w:t>
            </w:r>
            <w:r>
              <w:rPr>
                <w:b/>
                <w:color w:val="000000"/>
              </w:rPr>
              <w:t>,</w:t>
            </w:r>
            <w:r w:rsidRPr="005B6D13">
              <w:rPr>
                <w:b/>
                <w:color w:val="000000"/>
              </w:rPr>
              <w:t>550</w:t>
            </w:r>
          </w:p>
        </w:tc>
        <w:tc>
          <w:tcPr>
            <w:tcW w:w="1550" w:type="dxa"/>
            <w:noWrap/>
            <w:vAlign w:val="bottom"/>
            <w:hideMark/>
          </w:tcPr>
          <w:p w14:paraId="6A519451" w14:textId="77777777" w:rsidR="008D13BD" w:rsidRPr="005B6D13" w:rsidRDefault="008D13BD" w:rsidP="008D13BD">
            <w:pPr>
              <w:jc w:val="right"/>
              <w:cnfStyle w:val="000000000000" w:firstRow="0" w:lastRow="0" w:firstColumn="0" w:lastColumn="0" w:oddVBand="0" w:evenVBand="0" w:oddHBand="0" w:evenHBand="0" w:firstRowFirstColumn="0" w:firstRowLastColumn="0" w:lastRowFirstColumn="0" w:lastRowLastColumn="0"/>
              <w:rPr>
                <w:b/>
                <w:color w:val="000000"/>
              </w:rPr>
            </w:pPr>
            <w:r w:rsidRPr="005B6D13">
              <w:rPr>
                <w:b/>
                <w:color w:val="000000"/>
              </w:rPr>
              <w:t>1</w:t>
            </w:r>
            <w:r>
              <w:rPr>
                <w:b/>
                <w:color w:val="000000"/>
              </w:rPr>
              <w:t>,</w:t>
            </w:r>
            <w:r w:rsidRPr="005B6D13">
              <w:rPr>
                <w:b/>
                <w:color w:val="000000"/>
              </w:rPr>
              <w:t>500</w:t>
            </w:r>
          </w:p>
        </w:tc>
        <w:tc>
          <w:tcPr>
            <w:tcW w:w="1163" w:type="dxa"/>
            <w:noWrap/>
            <w:vAlign w:val="bottom"/>
            <w:hideMark/>
          </w:tcPr>
          <w:p w14:paraId="56B3D2DF" w14:textId="77777777" w:rsidR="008D13BD" w:rsidRPr="005B6D13" w:rsidRDefault="008D13BD" w:rsidP="008D13BD">
            <w:pPr>
              <w:jc w:val="right"/>
              <w:cnfStyle w:val="000000000000" w:firstRow="0" w:lastRow="0" w:firstColumn="0" w:lastColumn="0" w:oddVBand="0" w:evenVBand="0" w:oddHBand="0" w:evenHBand="0" w:firstRowFirstColumn="0" w:firstRowLastColumn="0" w:lastRowFirstColumn="0" w:lastRowLastColumn="0"/>
              <w:rPr>
                <w:b/>
                <w:color w:val="000000"/>
              </w:rPr>
            </w:pPr>
            <w:r w:rsidRPr="005B6D13">
              <w:rPr>
                <w:b/>
                <w:color w:val="000000"/>
              </w:rPr>
              <w:t>4</w:t>
            </w:r>
            <w:r>
              <w:rPr>
                <w:b/>
                <w:color w:val="000000"/>
              </w:rPr>
              <w:t>,</w:t>
            </w:r>
            <w:r w:rsidRPr="005B6D13">
              <w:rPr>
                <w:b/>
                <w:color w:val="000000"/>
              </w:rPr>
              <w:t>080</w:t>
            </w:r>
          </w:p>
        </w:tc>
        <w:tc>
          <w:tcPr>
            <w:tcW w:w="1356" w:type="dxa"/>
            <w:noWrap/>
            <w:vAlign w:val="bottom"/>
            <w:hideMark/>
          </w:tcPr>
          <w:p w14:paraId="4BADA0FC" w14:textId="77777777" w:rsidR="008D13BD" w:rsidRPr="005B6D13" w:rsidRDefault="008D13BD" w:rsidP="008D13BD">
            <w:pPr>
              <w:jc w:val="right"/>
              <w:cnfStyle w:val="000000000000" w:firstRow="0" w:lastRow="0" w:firstColumn="0" w:lastColumn="0" w:oddVBand="0" w:evenVBand="0" w:oddHBand="0" w:evenHBand="0" w:firstRowFirstColumn="0" w:firstRowLastColumn="0" w:lastRowFirstColumn="0" w:lastRowLastColumn="0"/>
              <w:rPr>
                <w:b/>
                <w:color w:val="000000"/>
              </w:rPr>
            </w:pPr>
            <w:r w:rsidRPr="005B6D13">
              <w:rPr>
                <w:b/>
                <w:color w:val="000000"/>
              </w:rPr>
              <w:t>3</w:t>
            </w:r>
            <w:r>
              <w:rPr>
                <w:b/>
                <w:color w:val="000000"/>
              </w:rPr>
              <w:t>,</w:t>
            </w:r>
            <w:r w:rsidRPr="005B6D13">
              <w:rPr>
                <w:b/>
                <w:color w:val="000000"/>
              </w:rPr>
              <w:t>860</w:t>
            </w:r>
          </w:p>
        </w:tc>
        <w:tc>
          <w:tcPr>
            <w:tcW w:w="1357" w:type="dxa"/>
            <w:noWrap/>
            <w:vAlign w:val="bottom"/>
            <w:hideMark/>
          </w:tcPr>
          <w:p w14:paraId="5F05B392" w14:textId="77777777" w:rsidR="008D13BD" w:rsidRPr="005B6D13" w:rsidRDefault="008D13BD" w:rsidP="008D13BD">
            <w:pPr>
              <w:jc w:val="right"/>
              <w:cnfStyle w:val="000000000000" w:firstRow="0" w:lastRow="0" w:firstColumn="0" w:lastColumn="0" w:oddVBand="0" w:evenVBand="0" w:oddHBand="0" w:evenHBand="0" w:firstRowFirstColumn="0" w:firstRowLastColumn="0" w:lastRowFirstColumn="0" w:lastRowLastColumn="0"/>
              <w:rPr>
                <w:b/>
                <w:color w:val="000000"/>
              </w:rPr>
            </w:pPr>
            <w:r w:rsidRPr="005B6D13">
              <w:rPr>
                <w:b/>
                <w:color w:val="000000"/>
              </w:rPr>
              <w:t>20</w:t>
            </w:r>
            <w:r>
              <w:rPr>
                <w:b/>
                <w:color w:val="000000"/>
              </w:rPr>
              <w:t>,</w:t>
            </w:r>
            <w:r w:rsidRPr="005B6D13">
              <w:rPr>
                <w:b/>
                <w:color w:val="000000"/>
              </w:rPr>
              <w:t>490</w:t>
            </w:r>
          </w:p>
        </w:tc>
      </w:tr>
      <w:tr w:rsidR="008D13BD" w:rsidRPr="002805F3" w14:paraId="44CE4C00" w14:textId="77777777" w:rsidTr="008D13BD">
        <w:trPr>
          <w:trHeight w:val="285"/>
        </w:trPr>
        <w:tc>
          <w:tcPr>
            <w:cnfStyle w:val="001000000000" w:firstRow="0" w:lastRow="0" w:firstColumn="1" w:lastColumn="0" w:oddVBand="0" w:evenVBand="0" w:oddHBand="0" w:evenHBand="0" w:firstRowFirstColumn="0" w:firstRowLastColumn="0" w:lastRowFirstColumn="0" w:lastRowLastColumn="0"/>
            <w:tcW w:w="1974" w:type="dxa"/>
            <w:shd w:val="clear" w:color="auto" w:fill="E6E4DE" w:themeFill="accent6"/>
            <w:noWrap/>
            <w:hideMark/>
          </w:tcPr>
          <w:p w14:paraId="7BFD26ED" w14:textId="77777777" w:rsidR="008D13BD" w:rsidRPr="00332466" w:rsidRDefault="008D13BD" w:rsidP="008D13BD">
            <w:pPr>
              <w:spacing w:after="0"/>
              <w:rPr>
                <w:b/>
                <w:color w:val="000000"/>
              </w:rPr>
            </w:pPr>
            <w:r w:rsidRPr="00332466">
              <w:rPr>
                <w:b/>
                <w:color w:val="000000"/>
              </w:rPr>
              <w:t>Induced</w:t>
            </w:r>
          </w:p>
        </w:tc>
        <w:tc>
          <w:tcPr>
            <w:tcW w:w="8139" w:type="dxa"/>
            <w:gridSpan w:val="6"/>
            <w:shd w:val="clear" w:color="auto" w:fill="E6E4DE" w:themeFill="accent6"/>
            <w:noWrap/>
            <w:hideMark/>
          </w:tcPr>
          <w:p w14:paraId="39CB3C1F"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p>
        </w:tc>
      </w:tr>
      <w:tr w:rsidR="008D13BD" w:rsidRPr="002805F3" w14:paraId="06178923"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1974" w:type="dxa"/>
            <w:noWrap/>
            <w:hideMark/>
          </w:tcPr>
          <w:p w14:paraId="39467491" w14:textId="77777777" w:rsidR="008D13BD" w:rsidRPr="002805F3" w:rsidRDefault="008D13BD" w:rsidP="008D13BD">
            <w:pPr>
              <w:spacing w:after="0"/>
              <w:rPr>
                <w:color w:val="000000"/>
              </w:rPr>
            </w:pPr>
            <w:r>
              <w:rPr>
                <w:color w:val="000000"/>
              </w:rPr>
              <w:t xml:space="preserve">N.&amp; N.E </w:t>
            </w:r>
            <w:r w:rsidRPr="002805F3">
              <w:rPr>
                <w:color w:val="000000"/>
              </w:rPr>
              <w:t xml:space="preserve">Lincolnshire </w:t>
            </w:r>
            <w:r>
              <w:rPr>
                <w:color w:val="000000"/>
              </w:rPr>
              <w:t>&amp;</w:t>
            </w:r>
            <w:r w:rsidRPr="002805F3">
              <w:rPr>
                <w:color w:val="000000"/>
              </w:rPr>
              <w:t xml:space="preserve"> Humber</w:t>
            </w:r>
          </w:p>
        </w:tc>
        <w:tc>
          <w:tcPr>
            <w:tcW w:w="1356" w:type="dxa"/>
            <w:noWrap/>
            <w:hideMark/>
          </w:tcPr>
          <w:p w14:paraId="5EF2ACF9"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720</w:t>
            </w:r>
          </w:p>
        </w:tc>
        <w:tc>
          <w:tcPr>
            <w:tcW w:w="1357" w:type="dxa"/>
            <w:noWrap/>
            <w:hideMark/>
          </w:tcPr>
          <w:p w14:paraId="1EE2C58B"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990</w:t>
            </w:r>
          </w:p>
        </w:tc>
        <w:tc>
          <w:tcPr>
            <w:tcW w:w="1550" w:type="dxa"/>
            <w:noWrap/>
            <w:hideMark/>
          </w:tcPr>
          <w:p w14:paraId="7CC12D59"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160</w:t>
            </w:r>
          </w:p>
        </w:tc>
        <w:tc>
          <w:tcPr>
            <w:tcW w:w="1163" w:type="dxa"/>
            <w:noWrap/>
            <w:hideMark/>
          </w:tcPr>
          <w:p w14:paraId="19F5B6F4"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780</w:t>
            </w:r>
          </w:p>
        </w:tc>
        <w:tc>
          <w:tcPr>
            <w:tcW w:w="1356" w:type="dxa"/>
            <w:noWrap/>
            <w:hideMark/>
          </w:tcPr>
          <w:p w14:paraId="02787FCB"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590</w:t>
            </w:r>
          </w:p>
        </w:tc>
        <w:tc>
          <w:tcPr>
            <w:tcW w:w="1357" w:type="dxa"/>
            <w:noWrap/>
            <w:hideMark/>
          </w:tcPr>
          <w:p w14:paraId="63CB375B"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3,240</w:t>
            </w:r>
          </w:p>
        </w:tc>
      </w:tr>
      <w:tr w:rsidR="008D13BD" w:rsidRPr="002805F3" w14:paraId="06D0E857"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1974" w:type="dxa"/>
            <w:noWrap/>
            <w:hideMark/>
          </w:tcPr>
          <w:p w14:paraId="4FF4BD7C" w14:textId="77777777" w:rsidR="008D13BD" w:rsidRPr="002805F3" w:rsidRDefault="008D13BD" w:rsidP="008D13BD">
            <w:pPr>
              <w:spacing w:after="0"/>
              <w:rPr>
                <w:color w:val="000000"/>
              </w:rPr>
            </w:pPr>
            <w:r>
              <w:rPr>
                <w:color w:val="000000"/>
              </w:rPr>
              <w:t xml:space="preserve">Elsewhere in </w:t>
            </w:r>
            <w:r w:rsidRPr="00023F68">
              <w:rPr>
                <w:color w:val="000000"/>
              </w:rPr>
              <w:t>Yorkshire and Humber</w:t>
            </w:r>
          </w:p>
        </w:tc>
        <w:tc>
          <w:tcPr>
            <w:tcW w:w="1356" w:type="dxa"/>
            <w:noWrap/>
            <w:hideMark/>
          </w:tcPr>
          <w:p w14:paraId="7B16199B"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470</w:t>
            </w:r>
          </w:p>
        </w:tc>
        <w:tc>
          <w:tcPr>
            <w:tcW w:w="1357" w:type="dxa"/>
            <w:noWrap/>
            <w:hideMark/>
          </w:tcPr>
          <w:p w14:paraId="19E14E2A"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700</w:t>
            </w:r>
          </w:p>
        </w:tc>
        <w:tc>
          <w:tcPr>
            <w:tcW w:w="1550" w:type="dxa"/>
            <w:noWrap/>
            <w:hideMark/>
          </w:tcPr>
          <w:p w14:paraId="738068A9"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110</w:t>
            </w:r>
          </w:p>
        </w:tc>
        <w:tc>
          <w:tcPr>
            <w:tcW w:w="1163" w:type="dxa"/>
            <w:noWrap/>
            <w:hideMark/>
          </w:tcPr>
          <w:p w14:paraId="203C1F92"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480</w:t>
            </w:r>
          </w:p>
        </w:tc>
        <w:tc>
          <w:tcPr>
            <w:tcW w:w="1356" w:type="dxa"/>
            <w:noWrap/>
            <w:hideMark/>
          </w:tcPr>
          <w:p w14:paraId="3D93E766"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450</w:t>
            </w:r>
          </w:p>
        </w:tc>
        <w:tc>
          <w:tcPr>
            <w:tcW w:w="1357" w:type="dxa"/>
            <w:noWrap/>
            <w:hideMark/>
          </w:tcPr>
          <w:p w14:paraId="6E211935"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2,210</w:t>
            </w:r>
          </w:p>
        </w:tc>
      </w:tr>
      <w:tr w:rsidR="008D13BD" w:rsidRPr="002805F3" w14:paraId="0E6F3593" w14:textId="77777777" w:rsidTr="008D13BD">
        <w:trPr>
          <w:trHeight w:val="255"/>
        </w:trPr>
        <w:tc>
          <w:tcPr>
            <w:cnfStyle w:val="001000000000" w:firstRow="0" w:lastRow="0" w:firstColumn="1" w:lastColumn="0" w:oddVBand="0" w:evenVBand="0" w:oddHBand="0" w:evenHBand="0" w:firstRowFirstColumn="0" w:firstRowLastColumn="0" w:lastRowFirstColumn="0" w:lastRowLastColumn="0"/>
            <w:tcW w:w="1974" w:type="dxa"/>
            <w:noWrap/>
            <w:hideMark/>
          </w:tcPr>
          <w:p w14:paraId="176DFC3E" w14:textId="77777777" w:rsidR="008D13BD" w:rsidRPr="002805F3" w:rsidRDefault="008D13BD" w:rsidP="008D13BD">
            <w:pPr>
              <w:spacing w:after="0"/>
              <w:rPr>
                <w:color w:val="000000"/>
              </w:rPr>
            </w:pPr>
            <w:r w:rsidRPr="002805F3">
              <w:rPr>
                <w:color w:val="000000"/>
              </w:rPr>
              <w:t xml:space="preserve">Outside </w:t>
            </w:r>
            <w:r>
              <w:rPr>
                <w:color w:val="000000"/>
              </w:rPr>
              <w:t>Yorkshire</w:t>
            </w:r>
          </w:p>
        </w:tc>
        <w:tc>
          <w:tcPr>
            <w:tcW w:w="1356" w:type="dxa"/>
            <w:noWrap/>
            <w:hideMark/>
          </w:tcPr>
          <w:p w14:paraId="7172978F"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760</w:t>
            </w:r>
          </w:p>
        </w:tc>
        <w:tc>
          <w:tcPr>
            <w:tcW w:w="1357" w:type="dxa"/>
            <w:noWrap/>
            <w:hideMark/>
          </w:tcPr>
          <w:p w14:paraId="542D3C43"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1,200</w:t>
            </w:r>
          </w:p>
        </w:tc>
        <w:tc>
          <w:tcPr>
            <w:tcW w:w="1550" w:type="dxa"/>
            <w:noWrap/>
            <w:hideMark/>
          </w:tcPr>
          <w:p w14:paraId="666DC528"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140</w:t>
            </w:r>
          </w:p>
        </w:tc>
        <w:tc>
          <w:tcPr>
            <w:tcW w:w="1163" w:type="dxa"/>
            <w:noWrap/>
            <w:hideMark/>
          </w:tcPr>
          <w:p w14:paraId="1C31822D"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1,190</w:t>
            </w:r>
          </w:p>
        </w:tc>
        <w:tc>
          <w:tcPr>
            <w:tcW w:w="1356" w:type="dxa"/>
            <w:noWrap/>
            <w:hideMark/>
          </w:tcPr>
          <w:p w14:paraId="325BA861"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400</w:t>
            </w:r>
          </w:p>
        </w:tc>
        <w:tc>
          <w:tcPr>
            <w:tcW w:w="1357" w:type="dxa"/>
            <w:noWrap/>
            <w:hideMark/>
          </w:tcPr>
          <w:p w14:paraId="01575547" w14:textId="77777777" w:rsidR="008D13BD" w:rsidRPr="002805F3" w:rsidRDefault="008D13BD" w:rsidP="008D13BD">
            <w:pPr>
              <w:spacing w:after="0"/>
              <w:ind w:right="69"/>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3,690</w:t>
            </w:r>
          </w:p>
        </w:tc>
      </w:tr>
      <w:tr w:rsidR="008D13BD" w:rsidRPr="002805F3" w14:paraId="1A46D37D" w14:textId="77777777" w:rsidTr="008D13BD">
        <w:trPr>
          <w:trHeight w:val="255"/>
        </w:trPr>
        <w:tc>
          <w:tcPr>
            <w:cnfStyle w:val="001000000000" w:firstRow="0" w:lastRow="0" w:firstColumn="1" w:lastColumn="0" w:oddVBand="0" w:evenVBand="0" w:oddHBand="0" w:evenHBand="0" w:firstRowFirstColumn="0" w:firstRowLastColumn="0" w:lastRowFirstColumn="0" w:lastRowLastColumn="0"/>
            <w:tcW w:w="10113" w:type="dxa"/>
            <w:gridSpan w:val="7"/>
            <w:noWrap/>
            <w:hideMark/>
          </w:tcPr>
          <w:p w14:paraId="5B670565" w14:textId="77777777" w:rsidR="008D13BD" w:rsidRPr="002805F3" w:rsidRDefault="008D13BD" w:rsidP="008D13BD">
            <w:pPr>
              <w:spacing w:after="0"/>
              <w:ind w:right="69"/>
              <w:jc w:val="right"/>
              <w:rPr>
                <w:color w:val="000000"/>
              </w:rPr>
            </w:pPr>
          </w:p>
        </w:tc>
      </w:tr>
      <w:tr w:rsidR="008D13BD" w:rsidRPr="002805F3" w14:paraId="2533F94A" w14:textId="77777777" w:rsidTr="008D13BD">
        <w:trPr>
          <w:trHeight w:val="255"/>
        </w:trPr>
        <w:tc>
          <w:tcPr>
            <w:cnfStyle w:val="001000000000" w:firstRow="0" w:lastRow="0" w:firstColumn="1" w:lastColumn="0" w:oddVBand="0" w:evenVBand="0" w:oddHBand="0" w:evenHBand="0" w:firstRowFirstColumn="0" w:firstRowLastColumn="0" w:lastRowFirstColumn="0" w:lastRowLastColumn="0"/>
            <w:tcW w:w="1974" w:type="dxa"/>
            <w:shd w:val="clear" w:color="auto" w:fill="E6E4DE" w:themeFill="accent6"/>
            <w:noWrap/>
            <w:hideMark/>
          </w:tcPr>
          <w:p w14:paraId="2A2C31D6" w14:textId="77777777" w:rsidR="008D13BD" w:rsidRPr="00332466" w:rsidRDefault="008D13BD" w:rsidP="008D13BD">
            <w:pPr>
              <w:spacing w:after="0"/>
              <w:rPr>
                <w:b/>
                <w:color w:val="000000"/>
              </w:rPr>
            </w:pPr>
            <w:r w:rsidRPr="00332466">
              <w:rPr>
                <w:b/>
                <w:color w:val="000000"/>
              </w:rPr>
              <w:t xml:space="preserve">Total </w:t>
            </w:r>
          </w:p>
        </w:tc>
        <w:tc>
          <w:tcPr>
            <w:tcW w:w="1356" w:type="dxa"/>
            <w:shd w:val="clear" w:color="auto" w:fill="E6E4DE" w:themeFill="accent6"/>
            <w:noWrap/>
            <w:hideMark/>
          </w:tcPr>
          <w:p w14:paraId="7C80A6E5" w14:textId="77777777" w:rsidR="008D13BD" w:rsidRPr="005B6D13" w:rsidRDefault="008D13BD" w:rsidP="008D13BD">
            <w:pPr>
              <w:jc w:val="right"/>
              <w:cnfStyle w:val="000000000000" w:firstRow="0" w:lastRow="0" w:firstColumn="0" w:lastColumn="0" w:oddVBand="0" w:evenVBand="0" w:oddHBand="0" w:evenHBand="0" w:firstRowFirstColumn="0" w:firstRowLastColumn="0" w:lastRowFirstColumn="0" w:lastRowLastColumn="0"/>
              <w:rPr>
                <w:b/>
                <w:color w:val="auto"/>
              </w:rPr>
            </w:pPr>
            <w:r w:rsidRPr="005B6D13">
              <w:rPr>
                <w:b/>
                <w:color w:val="auto"/>
              </w:rPr>
              <w:t xml:space="preserve"> 8,700 </w:t>
            </w:r>
          </w:p>
        </w:tc>
        <w:tc>
          <w:tcPr>
            <w:tcW w:w="1357" w:type="dxa"/>
            <w:shd w:val="clear" w:color="auto" w:fill="E6E4DE" w:themeFill="accent6"/>
            <w:noWrap/>
            <w:hideMark/>
          </w:tcPr>
          <w:p w14:paraId="6E8F9C52" w14:textId="77777777" w:rsidR="008D13BD" w:rsidRPr="005B6D13" w:rsidRDefault="0068446A" w:rsidP="008D13BD">
            <w:pPr>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 xml:space="preserve"> </w:t>
            </w:r>
            <w:r w:rsidR="00E9372D">
              <w:rPr>
                <w:b/>
                <w:color w:val="auto"/>
              </w:rPr>
              <w:t>15</w:t>
            </w:r>
            <w:r>
              <w:rPr>
                <w:b/>
                <w:color w:val="auto"/>
              </w:rPr>
              <w:t>,</w:t>
            </w:r>
            <w:r w:rsidR="00E9372D">
              <w:rPr>
                <w:b/>
                <w:color w:val="auto"/>
              </w:rPr>
              <w:t>260</w:t>
            </w:r>
            <w:r w:rsidR="008D13BD" w:rsidRPr="005B6D13">
              <w:rPr>
                <w:b/>
                <w:color w:val="auto"/>
              </w:rPr>
              <w:t xml:space="preserve"> </w:t>
            </w:r>
          </w:p>
        </w:tc>
        <w:tc>
          <w:tcPr>
            <w:tcW w:w="1550" w:type="dxa"/>
            <w:shd w:val="clear" w:color="auto" w:fill="E6E4DE" w:themeFill="accent6"/>
            <w:noWrap/>
            <w:hideMark/>
          </w:tcPr>
          <w:p w14:paraId="166CDCD1" w14:textId="77777777" w:rsidR="008D13BD" w:rsidRPr="005B6D13" w:rsidRDefault="008D13BD" w:rsidP="008D13BD">
            <w:pPr>
              <w:jc w:val="right"/>
              <w:cnfStyle w:val="000000000000" w:firstRow="0" w:lastRow="0" w:firstColumn="0" w:lastColumn="0" w:oddVBand="0" w:evenVBand="0" w:oddHBand="0" w:evenHBand="0" w:firstRowFirstColumn="0" w:firstRowLastColumn="0" w:lastRowFirstColumn="0" w:lastRowLastColumn="0"/>
              <w:rPr>
                <w:b/>
                <w:color w:val="auto"/>
              </w:rPr>
            </w:pPr>
            <w:r w:rsidRPr="005B6D13">
              <w:rPr>
                <w:b/>
                <w:color w:val="auto"/>
              </w:rPr>
              <w:t xml:space="preserve"> 6,010 </w:t>
            </w:r>
          </w:p>
        </w:tc>
        <w:tc>
          <w:tcPr>
            <w:tcW w:w="1163" w:type="dxa"/>
            <w:shd w:val="clear" w:color="auto" w:fill="E6E4DE" w:themeFill="accent6"/>
            <w:noWrap/>
            <w:hideMark/>
          </w:tcPr>
          <w:p w14:paraId="69600E79" w14:textId="77777777" w:rsidR="008D13BD" w:rsidRPr="005B6D13" w:rsidRDefault="008D13BD" w:rsidP="008D13BD">
            <w:pPr>
              <w:jc w:val="right"/>
              <w:cnfStyle w:val="000000000000" w:firstRow="0" w:lastRow="0" w:firstColumn="0" w:lastColumn="0" w:oddVBand="0" w:evenVBand="0" w:oddHBand="0" w:evenHBand="0" w:firstRowFirstColumn="0" w:firstRowLastColumn="0" w:lastRowFirstColumn="0" w:lastRowLastColumn="0"/>
              <w:rPr>
                <w:b/>
                <w:color w:val="auto"/>
              </w:rPr>
            </w:pPr>
            <w:r w:rsidRPr="005B6D13">
              <w:rPr>
                <w:b/>
                <w:color w:val="auto"/>
              </w:rPr>
              <w:t xml:space="preserve"> 8,760 </w:t>
            </w:r>
          </w:p>
        </w:tc>
        <w:tc>
          <w:tcPr>
            <w:tcW w:w="1356" w:type="dxa"/>
            <w:shd w:val="clear" w:color="auto" w:fill="E6E4DE" w:themeFill="accent6"/>
            <w:noWrap/>
            <w:hideMark/>
          </w:tcPr>
          <w:p w14:paraId="25181BEA" w14:textId="77777777" w:rsidR="008D13BD" w:rsidRPr="005B6D13" w:rsidRDefault="008D13BD" w:rsidP="008D13BD">
            <w:pPr>
              <w:jc w:val="right"/>
              <w:cnfStyle w:val="000000000000" w:firstRow="0" w:lastRow="0" w:firstColumn="0" w:lastColumn="0" w:oddVBand="0" w:evenVBand="0" w:oddHBand="0" w:evenHBand="0" w:firstRowFirstColumn="0" w:firstRowLastColumn="0" w:lastRowFirstColumn="0" w:lastRowLastColumn="0"/>
              <w:rPr>
                <w:b/>
                <w:color w:val="auto"/>
              </w:rPr>
            </w:pPr>
            <w:r w:rsidRPr="005B6D13">
              <w:rPr>
                <w:b/>
                <w:color w:val="auto"/>
              </w:rPr>
              <w:t xml:space="preserve"> 10,130 </w:t>
            </w:r>
          </w:p>
        </w:tc>
        <w:tc>
          <w:tcPr>
            <w:tcW w:w="1357" w:type="dxa"/>
            <w:shd w:val="clear" w:color="auto" w:fill="E6E4DE" w:themeFill="accent6"/>
            <w:noWrap/>
            <w:hideMark/>
          </w:tcPr>
          <w:p w14:paraId="28F39F53" w14:textId="77777777" w:rsidR="008D13BD" w:rsidRPr="005B6D13" w:rsidRDefault="008D13BD" w:rsidP="008D13BD">
            <w:pPr>
              <w:jc w:val="right"/>
              <w:cnfStyle w:val="000000000000" w:firstRow="0" w:lastRow="0" w:firstColumn="0" w:lastColumn="0" w:oddVBand="0" w:evenVBand="0" w:oddHBand="0" w:evenHBand="0" w:firstRowFirstColumn="0" w:firstRowLastColumn="0" w:lastRowFirstColumn="0" w:lastRowLastColumn="0"/>
              <w:rPr>
                <w:b/>
                <w:color w:val="auto"/>
              </w:rPr>
            </w:pPr>
            <w:r w:rsidRPr="005B6D13">
              <w:rPr>
                <w:b/>
                <w:color w:val="auto"/>
              </w:rPr>
              <w:t xml:space="preserve"> 48,860 </w:t>
            </w:r>
          </w:p>
        </w:tc>
      </w:tr>
    </w:tbl>
    <w:p w14:paraId="55EF3FF5" w14:textId="77777777" w:rsidR="008D13BD" w:rsidRDefault="008D13BD" w:rsidP="008D13BD">
      <w:pPr>
        <w:pStyle w:val="TableSource"/>
      </w:pPr>
      <w:r w:rsidRPr="002805F3">
        <w:t>Source: Atkins 2013. Atkins Ref: Survey –A9-A11. Figures rounded.</w:t>
      </w:r>
    </w:p>
    <w:p w14:paraId="56757D0F" w14:textId="77777777" w:rsidR="00783C06" w:rsidRPr="00A74673" w:rsidRDefault="00783C06" w:rsidP="00783C06">
      <w:pPr>
        <w:jc w:val="both"/>
        <w:rPr>
          <w:lang w:eastAsia="en-GB"/>
        </w:rPr>
      </w:pPr>
      <w:r>
        <w:rPr>
          <w:lang w:eastAsia="en-GB"/>
        </w:rPr>
        <w:t xml:space="preserve">Figure </w:t>
      </w:r>
      <w:r w:rsidR="00B63AE0">
        <w:rPr>
          <w:lang w:eastAsia="en-GB"/>
        </w:rPr>
        <w:t>3-1</w:t>
      </w:r>
      <w:r>
        <w:rPr>
          <w:lang w:eastAsia="en-GB"/>
        </w:rPr>
        <w:t xml:space="preserve"> presents the employment trends for the five key sectors since 2009. The food processing sector has seen a reduction in employment, reflecting reduced demand in adverse macroeconomic conditions.  Despite this, by and large, employment has remained fairly stable across the key sectors since 2010, with significant gains in employment in the </w:t>
      </w:r>
      <w:r w:rsidR="003D7BD5">
        <w:rPr>
          <w:lang w:eastAsia="en-GB"/>
        </w:rPr>
        <w:t>visitor economy, services and retail sector</w:t>
      </w:r>
      <w:r>
        <w:rPr>
          <w:lang w:eastAsia="en-GB"/>
        </w:rPr>
        <w:t xml:space="preserve">.   </w:t>
      </w:r>
    </w:p>
    <w:p w14:paraId="744B873B" w14:textId="77777777" w:rsidR="00783C06" w:rsidRDefault="00783C06" w:rsidP="00783C06">
      <w:pPr>
        <w:pStyle w:val="Caption"/>
        <w:jc w:val="both"/>
        <w:rPr>
          <w:noProof/>
          <w:lang w:eastAsia="en-GB"/>
        </w:rPr>
      </w:pPr>
      <w:r>
        <w:rPr>
          <w:noProof/>
          <w:lang w:eastAsia="en-GB"/>
        </w:rPr>
        <w:t xml:space="preserve">Figure </w:t>
      </w:r>
      <w:fldSimple w:instr=" STYLEREF 1 \s  \* MERGEFORMAT ">
        <w:r w:rsidR="00E95E1A">
          <w:rPr>
            <w:noProof/>
            <w:lang w:eastAsia="en-GB"/>
          </w:rPr>
          <w:t>3</w:t>
        </w:r>
      </w:fldSimple>
      <w:r>
        <w:rPr>
          <w:noProof/>
          <w:lang w:eastAsia="en-GB"/>
        </w:rPr>
        <w:t>-</w:t>
      </w:r>
      <w:fldSimple w:instr=" SEQ Figure \* ARABIC \s 1  \* MERGEFORMAT ">
        <w:r w:rsidR="00E95E1A">
          <w:rPr>
            <w:noProof/>
            <w:lang w:eastAsia="en-GB"/>
          </w:rPr>
          <w:t>1</w:t>
        </w:r>
      </w:fldSimple>
      <w:r>
        <w:rPr>
          <w:noProof/>
          <w:lang w:eastAsia="en-GB"/>
        </w:rPr>
        <w:tab/>
        <w:t>Key Sector Employment (2009 - 2013)</w:t>
      </w:r>
    </w:p>
    <w:p w14:paraId="108FDA06" w14:textId="77777777" w:rsidR="00783C06" w:rsidRDefault="008D7250" w:rsidP="00783C06">
      <w:pPr>
        <w:jc w:val="both"/>
        <w:rPr>
          <w:lang w:eastAsia="en-GB"/>
        </w:rPr>
      </w:pPr>
      <w:r>
        <w:rPr>
          <w:noProof/>
          <w:lang w:eastAsia="en-GB"/>
        </w:rPr>
        <w:drawing>
          <wp:inline distT="0" distB="0" distL="0" distR="0" wp14:anchorId="18249668" wp14:editId="4EAABFC3">
            <wp:extent cx="6037365" cy="3218213"/>
            <wp:effectExtent l="0" t="0" r="0" b="0"/>
            <wp:docPr id="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9ABC7C2" w14:textId="77777777" w:rsidR="008D7250" w:rsidRDefault="00783C06">
      <w:pPr>
        <w:jc w:val="both"/>
        <w:rPr>
          <w:lang w:eastAsia="en-GB"/>
        </w:rPr>
      </w:pPr>
      <w:r>
        <w:rPr>
          <w:lang w:eastAsia="en-GB"/>
        </w:rPr>
        <w:t>Source: IDBR 2013 – Atkins Ref: IDBR/BNO</w:t>
      </w:r>
    </w:p>
    <w:p w14:paraId="4E1B446D" w14:textId="77777777" w:rsidR="008D13BD" w:rsidRPr="002805F3" w:rsidRDefault="008D13BD" w:rsidP="008D13BD">
      <w:pPr>
        <w:pStyle w:val="Heading3"/>
        <w:numPr>
          <w:ilvl w:val="2"/>
          <w:numId w:val="5"/>
        </w:numPr>
      </w:pPr>
      <w:bookmarkStart w:id="554" w:name="_Toc384034565"/>
      <w:r w:rsidRPr="002805F3">
        <w:t xml:space="preserve">Contribution </w:t>
      </w:r>
      <w:r>
        <w:t>t</w:t>
      </w:r>
      <w:r w:rsidRPr="002805F3">
        <w:t>o National Exchequer</w:t>
      </w:r>
      <w:bookmarkEnd w:id="554"/>
    </w:p>
    <w:p w14:paraId="071CF99F" w14:textId="77777777" w:rsidR="008D13BD" w:rsidRPr="002805F3" w:rsidRDefault="008D13BD" w:rsidP="008D13BD">
      <w:pPr>
        <w:pStyle w:val="BodyText"/>
        <w:jc w:val="both"/>
      </w:pPr>
      <w:r w:rsidRPr="002805F3">
        <w:t xml:space="preserve">In addition the impact in terms of output and employment, the key sectors also make a significant contribution to the national exchequer in the form of taxes and </w:t>
      </w:r>
      <w:r>
        <w:t>national insurance contributions</w:t>
      </w:r>
      <w:r w:rsidRPr="002805F3">
        <w:t>. Indicative estimates of this contribution are provided below.</w:t>
      </w:r>
    </w:p>
    <w:p w14:paraId="7DA0EB13" w14:textId="77777777" w:rsidR="008D13BD" w:rsidRPr="002805F3" w:rsidRDefault="008D13BD" w:rsidP="008D13BD">
      <w:pPr>
        <w:pStyle w:val="BodyText"/>
        <w:jc w:val="both"/>
        <w:rPr>
          <w:b/>
        </w:rPr>
      </w:pPr>
      <w:r w:rsidRPr="002805F3">
        <w:rPr>
          <w:b/>
        </w:rPr>
        <w:t>Income Tax and National Insurance</w:t>
      </w:r>
    </w:p>
    <w:p w14:paraId="21673F73" w14:textId="77777777" w:rsidR="008D13BD" w:rsidRPr="002805F3" w:rsidRDefault="008D13BD" w:rsidP="008D13BD">
      <w:pPr>
        <w:pStyle w:val="BodyText"/>
        <w:jc w:val="both"/>
      </w:pPr>
      <w:r w:rsidRPr="002805F3">
        <w:t xml:space="preserve">The total revenue attributable to wages, both within and outside </w:t>
      </w:r>
      <w:r>
        <w:t>North East Lincolnshire</w:t>
      </w:r>
      <w:r w:rsidRPr="002805F3">
        <w:t xml:space="preserve"> has been calculated </w:t>
      </w:r>
      <w:r>
        <w:t>based on our estimates</w:t>
      </w:r>
      <w:r w:rsidRPr="002805F3">
        <w:t xml:space="preserve"> </w:t>
      </w:r>
      <w:r>
        <w:t xml:space="preserve">of </w:t>
      </w:r>
      <w:r w:rsidRPr="002805F3">
        <w:t>average annual earnings</w:t>
      </w:r>
      <w:r>
        <w:t xml:space="preserve"> which have been sourced from the business survey</w:t>
      </w:r>
      <w:r w:rsidRPr="002805F3">
        <w:t xml:space="preserve">. The table below summarises the estimates of the income tax and national insurance contribution which amount to a total of approximately £136 million from </w:t>
      </w:r>
      <w:r>
        <w:t>income tax and £75</w:t>
      </w:r>
      <w:r w:rsidR="000C0C3C">
        <w:t xml:space="preserve"> </w:t>
      </w:r>
      <w:r>
        <w:t>million from national i</w:t>
      </w:r>
      <w:r w:rsidRPr="002805F3">
        <w:t>nsurance</w:t>
      </w:r>
      <w:r>
        <w:t xml:space="preserve"> contributions (see Table 3.5)</w:t>
      </w:r>
      <w:r w:rsidRPr="002805F3">
        <w:t>.</w:t>
      </w:r>
    </w:p>
    <w:p w14:paraId="10F9E8E2" w14:textId="77777777" w:rsidR="008D13BD" w:rsidRDefault="008D13BD" w:rsidP="008D13BD">
      <w:pPr>
        <w:pStyle w:val="Caption"/>
      </w:pPr>
      <w:r>
        <w:t xml:space="preserve">Table </w:t>
      </w:r>
      <w:fldSimple w:instr=" STYLEREF 1 \s  \* MERGEFORMAT ">
        <w:r w:rsidR="00E95E1A">
          <w:rPr>
            <w:noProof/>
          </w:rPr>
          <w:t>3</w:t>
        </w:r>
      </w:fldSimple>
      <w:r>
        <w:t>-</w:t>
      </w:r>
      <w:fldSimple w:instr=" SEQ Table \* ARABIC \s 1  \* MERGEFORMAT ">
        <w:r w:rsidR="00E95E1A">
          <w:rPr>
            <w:noProof/>
          </w:rPr>
          <w:t>5</w:t>
        </w:r>
      </w:fldSimple>
      <w:r>
        <w:tab/>
        <w:t>Income &amp; National Insurance Contribution</w:t>
      </w:r>
    </w:p>
    <w:tbl>
      <w:tblPr>
        <w:tblStyle w:val="Atkins14pt"/>
        <w:tblW w:w="7864" w:type="dxa"/>
        <w:tblLook w:val="04A0" w:firstRow="1" w:lastRow="0" w:firstColumn="1" w:lastColumn="0" w:noHBand="0" w:noVBand="1"/>
      </w:tblPr>
      <w:tblGrid>
        <w:gridCol w:w="2215"/>
        <w:gridCol w:w="1750"/>
        <w:gridCol w:w="1962"/>
        <w:gridCol w:w="1937"/>
      </w:tblGrid>
      <w:tr w:rsidR="008D13BD" w:rsidRPr="002805F3" w14:paraId="5CDC44ED" w14:textId="77777777" w:rsidTr="008D13BD">
        <w:trPr>
          <w:cnfStyle w:val="100000000000" w:firstRow="1" w:lastRow="0" w:firstColumn="0" w:lastColumn="0" w:oddVBand="0" w:evenVBand="0" w:oddHBand="0" w:evenHBand="0" w:firstRowFirstColumn="0" w:firstRowLastColumn="0" w:lastRowFirstColumn="0" w:lastRowLastColumn="0"/>
          <w:trHeight w:val="257"/>
        </w:trPr>
        <w:tc>
          <w:tcPr>
            <w:cnfStyle w:val="001000000100" w:firstRow="0" w:lastRow="0" w:firstColumn="1" w:lastColumn="0" w:oddVBand="0" w:evenVBand="0" w:oddHBand="0" w:evenHBand="0" w:firstRowFirstColumn="1" w:firstRowLastColumn="0" w:lastRowFirstColumn="0" w:lastRowLastColumn="0"/>
            <w:tcW w:w="2215" w:type="dxa"/>
            <w:shd w:val="clear" w:color="auto" w:fill="BED600" w:themeFill="accent1"/>
            <w:noWrap/>
            <w:hideMark/>
          </w:tcPr>
          <w:p w14:paraId="5E67F23A" w14:textId="77777777" w:rsidR="008D13BD" w:rsidRPr="002805F3" w:rsidRDefault="008D13BD" w:rsidP="008D13BD">
            <w:pPr>
              <w:rPr>
                <w:color w:val="000000"/>
              </w:rPr>
            </w:pPr>
          </w:p>
        </w:tc>
        <w:tc>
          <w:tcPr>
            <w:tcW w:w="1750" w:type="dxa"/>
            <w:shd w:val="clear" w:color="auto" w:fill="BED600" w:themeFill="accent1"/>
            <w:noWrap/>
            <w:hideMark/>
          </w:tcPr>
          <w:p w14:paraId="54C489E3" w14:textId="77777777" w:rsidR="008D13BD" w:rsidRPr="002805F3" w:rsidRDefault="008D13BD" w:rsidP="008D13BD">
            <w:pPr>
              <w:cnfStyle w:val="100000000000" w:firstRow="1" w:lastRow="0" w:firstColumn="0" w:lastColumn="0" w:oddVBand="0" w:evenVBand="0" w:oddHBand="0" w:evenHBand="0" w:firstRowFirstColumn="0" w:firstRowLastColumn="0" w:lastRowFirstColumn="0" w:lastRowLastColumn="0"/>
              <w:rPr>
                <w:color w:val="000000"/>
              </w:rPr>
            </w:pPr>
            <w:r w:rsidRPr="002805F3">
              <w:rPr>
                <w:color w:val="000000"/>
              </w:rPr>
              <w:t>Wages</w:t>
            </w:r>
          </w:p>
        </w:tc>
        <w:tc>
          <w:tcPr>
            <w:tcW w:w="1962" w:type="dxa"/>
            <w:shd w:val="clear" w:color="auto" w:fill="BED600" w:themeFill="accent1"/>
            <w:noWrap/>
            <w:hideMark/>
          </w:tcPr>
          <w:p w14:paraId="12EABC1C" w14:textId="77777777" w:rsidR="008D13BD" w:rsidRPr="002805F3" w:rsidRDefault="008D13BD" w:rsidP="008D13BD">
            <w:pPr>
              <w:cnfStyle w:val="100000000000" w:firstRow="1" w:lastRow="0" w:firstColumn="0" w:lastColumn="0" w:oddVBand="0" w:evenVBand="0" w:oddHBand="0" w:evenHBand="0" w:firstRowFirstColumn="0" w:firstRowLastColumn="0" w:lastRowFirstColumn="0" w:lastRowLastColumn="0"/>
              <w:rPr>
                <w:color w:val="000000"/>
              </w:rPr>
            </w:pPr>
            <w:r w:rsidRPr="002805F3">
              <w:rPr>
                <w:color w:val="000000"/>
              </w:rPr>
              <w:t>Income Tax</w:t>
            </w:r>
          </w:p>
        </w:tc>
        <w:tc>
          <w:tcPr>
            <w:tcW w:w="1937" w:type="dxa"/>
            <w:shd w:val="clear" w:color="auto" w:fill="BED600" w:themeFill="accent1"/>
            <w:noWrap/>
            <w:hideMark/>
          </w:tcPr>
          <w:p w14:paraId="523F2E33" w14:textId="77777777" w:rsidR="008D13BD" w:rsidRPr="002805F3" w:rsidRDefault="008D13BD" w:rsidP="008D13BD">
            <w:pPr>
              <w:cnfStyle w:val="100000000000" w:firstRow="1" w:lastRow="0" w:firstColumn="0" w:lastColumn="0" w:oddVBand="0" w:evenVBand="0" w:oddHBand="0" w:evenHBand="0" w:firstRowFirstColumn="0" w:firstRowLastColumn="0" w:lastRowFirstColumn="0" w:lastRowLastColumn="0"/>
              <w:rPr>
                <w:color w:val="000000"/>
              </w:rPr>
            </w:pPr>
            <w:r w:rsidRPr="002805F3">
              <w:rPr>
                <w:color w:val="000000"/>
              </w:rPr>
              <w:t>National Insurance</w:t>
            </w:r>
          </w:p>
        </w:tc>
      </w:tr>
      <w:tr w:rsidR="008D13BD" w:rsidRPr="002805F3" w14:paraId="01DC1A3A" w14:textId="77777777" w:rsidTr="008D13BD">
        <w:trPr>
          <w:trHeight w:val="257"/>
        </w:trPr>
        <w:tc>
          <w:tcPr>
            <w:cnfStyle w:val="001000000000" w:firstRow="0" w:lastRow="0" w:firstColumn="1" w:lastColumn="0" w:oddVBand="0" w:evenVBand="0" w:oddHBand="0" w:evenHBand="0" w:firstRowFirstColumn="0" w:firstRowLastColumn="0" w:lastRowFirstColumn="0" w:lastRowLastColumn="0"/>
            <w:tcW w:w="2215" w:type="dxa"/>
            <w:noWrap/>
            <w:hideMark/>
          </w:tcPr>
          <w:p w14:paraId="094D0F3E" w14:textId="77777777" w:rsidR="008D13BD" w:rsidRPr="002805F3" w:rsidRDefault="008D13BD" w:rsidP="008D13BD">
            <w:pPr>
              <w:spacing w:after="120"/>
              <w:rPr>
                <w:color w:val="000000"/>
              </w:rPr>
            </w:pPr>
            <w:r>
              <w:rPr>
                <w:color w:val="000000"/>
              </w:rPr>
              <w:t>Direct Employees</w:t>
            </w:r>
          </w:p>
        </w:tc>
        <w:tc>
          <w:tcPr>
            <w:tcW w:w="1750" w:type="dxa"/>
            <w:noWrap/>
            <w:hideMark/>
          </w:tcPr>
          <w:p w14:paraId="6C4E7A83" w14:textId="77777777" w:rsidR="008D13BD" w:rsidRPr="002805F3" w:rsidRDefault="008D13BD" w:rsidP="008D13BD">
            <w:pPr>
              <w:spacing w:after="120"/>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£470,545,280</w:t>
            </w:r>
          </w:p>
        </w:tc>
        <w:tc>
          <w:tcPr>
            <w:tcW w:w="1962" w:type="dxa"/>
            <w:noWrap/>
            <w:hideMark/>
          </w:tcPr>
          <w:p w14:paraId="19BEEE40" w14:textId="77777777" w:rsidR="008D13BD" w:rsidRPr="002805F3" w:rsidRDefault="008D13BD" w:rsidP="008D13BD">
            <w:pPr>
              <w:spacing w:after="120"/>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£94,109,056</w:t>
            </w:r>
          </w:p>
        </w:tc>
        <w:tc>
          <w:tcPr>
            <w:tcW w:w="1937" w:type="dxa"/>
            <w:noWrap/>
            <w:hideMark/>
          </w:tcPr>
          <w:p w14:paraId="4CC6CE10" w14:textId="77777777" w:rsidR="008D13BD" w:rsidRPr="002805F3" w:rsidRDefault="008D13BD" w:rsidP="008D13BD">
            <w:pPr>
              <w:spacing w:after="120"/>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£51,760,000</w:t>
            </w:r>
          </w:p>
        </w:tc>
      </w:tr>
      <w:tr w:rsidR="008D13BD" w:rsidRPr="002805F3" w14:paraId="419CDC19" w14:textId="77777777" w:rsidTr="008D13BD">
        <w:trPr>
          <w:trHeight w:val="257"/>
        </w:trPr>
        <w:tc>
          <w:tcPr>
            <w:cnfStyle w:val="001000000000" w:firstRow="0" w:lastRow="0" w:firstColumn="1" w:lastColumn="0" w:oddVBand="0" w:evenVBand="0" w:oddHBand="0" w:evenHBand="0" w:firstRowFirstColumn="0" w:firstRowLastColumn="0" w:lastRowFirstColumn="0" w:lastRowLastColumn="0"/>
            <w:tcW w:w="2215" w:type="dxa"/>
            <w:noWrap/>
            <w:hideMark/>
          </w:tcPr>
          <w:p w14:paraId="73E6D173" w14:textId="77777777" w:rsidR="008D13BD" w:rsidRPr="002805F3" w:rsidRDefault="008D13BD" w:rsidP="008D13BD">
            <w:pPr>
              <w:spacing w:after="120"/>
              <w:rPr>
                <w:color w:val="000000"/>
              </w:rPr>
            </w:pPr>
            <w:r w:rsidRPr="002805F3">
              <w:rPr>
                <w:color w:val="000000"/>
              </w:rPr>
              <w:t>Indirect</w:t>
            </w:r>
          </w:p>
        </w:tc>
        <w:tc>
          <w:tcPr>
            <w:tcW w:w="1750" w:type="dxa"/>
            <w:noWrap/>
            <w:hideMark/>
          </w:tcPr>
          <w:p w14:paraId="78FE1353" w14:textId="77777777" w:rsidR="008D13BD" w:rsidRPr="002805F3" w:rsidRDefault="008D13BD" w:rsidP="008D13BD">
            <w:pPr>
              <w:spacing w:after="120"/>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£77,567,787</w:t>
            </w:r>
          </w:p>
        </w:tc>
        <w:tc>
          <w:tcPr>
            <w:tcW w:w="1962" w:type="dxa"/>
            <w:noWrap/>
            <w:hideMark/>
          </w:tcPr>
          <w:p w14:paraId="4638534F" w14:textId="77777777" w:rsidR="008D13BD" w:rsidRPr="002805F3" w:rsidRDefault="008D13BD" w:rsidP="008D13BD">
            <w:pPr>
              <w:spacing w:after="120"/>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£15,513,557</w:t>
            </w:r>
          </w:p>
        </w:tc>
        <w:tc>
          <w:tcPr>
            <w:tcW w:w="1937" w:type="dxa"/>
            <w:noWrap/>
            <w:hideMark/>
          </w:tcPr>
          <w:p w14:paraId="79E0D6C9" w14:textId="77777777" w:rsidR="008D13BD" w:rsidRPr="002805F3" w:rsidRDefault="008D13BD" w:rsidP="008D13BD">
            <w:pPr>
              <w:spacing w:after="120"/>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£8,532,000</w:t>
            </w:r>
          </w:p>
        </w:tc>
      </w:tr>
      <w:tr w:rsidR="008D13BD" w:rsidRPr="002805F3" w14:paraId="65CAB32D" w14:textId="77777777" w:rsidTr="008D13BD">
        <w:trPr>
          <w:trHeight w:val="257"/>
        </w:trPr>
        <w:tc>
          <w:tcPr>
            <w:cnfStyle w:val="001000000000" w:firstRow="0" w:lastRow="0" w:firstColumn="1" w:lastColumn="0" w:oddVBand="0" w:evenVBand="0" w:oddHBand="0" w:evenHBand="0" w:firstRowFirstColumn="0" w:firstRowLastColumn="0" w:lastRowFirstColumn="0" w:lastRowLastColumn="0"/>
            <w:tcW w:w="2215" w:type="dxa"/>
            <w:noWrap/>
            <w:hideMark/>
          </w:tcPr>
          <w:p w14:paraId="39B48752" w14:textId="77777777" w:rsidR="008D13BD" w:rsidRPr="002805F3" w:rsidRDefault="008D13BD" w:rsidP="008D13BD">
            <w:pPr>
              <w:spacing w:after="120"/>
              <w:rPr>
                <w:color w:val="000000"/>
              </w:rPr>
            </w:pPr>
            <w:r w:rsidRPr="002805F3">
              <w:rPr>
                <w:color w:val="000000"/>
              </w:rPr>
              <w:t>Indirect Y</w:t>
            </w:r>
            <w:r>
              <w:rPr>
                <w:color w:val="000000"/>
              </w:rPr>
              <w:t>orkshire &amp; Humber</w:t>
            </w:r>
          </w:p>
        </w:tc>
        <w:tc>
          <w:tcPr>
            <w:tcW w:w="1750" w:type="dxa"/>
            <w:noWrap/>
            <w:hideMark/>
          </w:tcPr>
          <w:p w14:paraId="5DB81F44" w14:textId="77777777" w:rsidR="008D13BD" w:rsidRPr="002805F3" w:rsidRDefault="008D13BD" w:rsidP="008D13BD">
            <w:pPr>
              <w:spacing w:after="120"/>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£54,811,307</w:t>
            </w:r>
          </w:p>
        </w:tc>
        <w:tc>
          <w:tcPr>
            <w:tcW w:w="1962" w:type="dxa"/>
            <w:noWrap/>
            <w:hideMark/>
          </w:tcPr>
          <w:p w14:paraId="7B9462AB" w14:textId="77777777" w:rsidR="008D13BD" w:rsidRPr="002805F3" w:rsidRDefault="008D13BD" w:rsidP="008D13BD">
            <w:pPr>
              <w:spacing w:after="120"/>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£10,962,261</w:t>
            </w:r>
          </w:p>
        </w:tc>
        <w:tc>
          <w:tcPr>
            <w:tcW w:w="1937" w:type="dxa"/>
            <w:noWrap/>
            <w:hideMark/>
          </w:tcPr>
          <w:p w14:paraId="069A3AB4" w14:textId="77777777" w:rsidR="008D13BD" w:rsidRPr="002805F3" w:rsidRDefault="008D13BD" w:rsidP="008D13BD">
            <w:pPr>
              <w:spacing w:after="120"/>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£6,029,000</w:t>
            </w:r>
          </w:p>
        </w:tc>
      </w:tr>
      <w:tr w:rsidR="008D13BD" w:rsidRPr="002805F3" w14:paraId="78CCEB32" w14:textId="77777777" w:rsidTr="008D13BD">
        <w:trPr>
          <w:trHeight w:val="257"/>
        </w:trPr>
        <w:tc>
          <w:tcPr>
            <w:cnfStyle w:val="001000000000" w:firstRow="0" w:lastRow="0" w:firstColumn="1" w:lastColumn="0" w:oddVBand="0" w:evenVBand="0" w:oddHBand="0" w:evenHBand="0" w:firstRowFirstColumn="0" w:firstRowLastColumn="0" w:lastRowFirstColumn="0" w:lastRowLastColumn="0"/>
            <w:tcW w:w="2215" w:type="dxa"/>
            <w:tcBorders>
              <w:bottom w:val="single" w:sz="2" w:space="0" w:color="000000" w:themeColor="text1"/>
            </w:tcBorders>
            <w:noWrap/>
            <w:hideMark/>
          </w:tcPr>
          <w:p w14:paraId="2C48B07F" w14:textId="77777777" w:rsidR="008D13BD" w:rsidRPr="002805F3" w:rsidRDefault="008D13BD" w:rsidP="008D13BD">
            <w:pPr>
              <w:spacing w:after="120"/>
              <w:rPr>
                <w:color w:val="000000"/>
              </w:rPr>
            </w:pPr>
            <w:r w:rsidRPr="002805F3">
              <w:rPr>
                <w:color w:val="000000"/>
              </w:rPr>
              <w:t xml:space="preserve">Indirect Outside </w:t>
            </w:r>
            <w:r>
              <w:rPr>
                <w:color w:val="000000"/>
              </w:rPr>
              <w:t xml:space="preserve">N. And N.E </w:t>
            </w:r>
            <w:r w:rsidRPr="002805F3">
              <w:rPr>
                <w:color w:val="000000"/>
              </w:rPr>
              <w:t>L</w:t>
            </w:r>
            <w:r>
              <w:rPr>
                <w:color w:val="000000"/>
              </w:rPr>
              <w:t xml:space="preserve">incolnshire &amp; Humber </w:t>
            </w:r>
          </w:p>
        </w:tc>
        <w:tc>
          <w:tcPr>
            <w:tcW w:w="1750" w:type="dxa"/>
            <w:tcBorders>
              <w:bottom w:val="single" w:sz="2" w:space="0" w:color="000000" w:themeColor="text1"/>
            </w:tcBorders>
            <w:noWrap/>
            <w:hideMark/>
          </w:tcPr>
          <w:p w14:paraId="7BA7C83B" w14:textId="77777777" w:rsidR="008D13BD" w:rsidRPr="002805F3" w:rsidRDefault="008D13BD" w:rsidP="008D13BD">
            <w:pPr>
              <w:spacing w:after="120"/>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£79,280,640</w:t>
            </w:r>
          </w:p>
        </w:tc>
        <w:tc>
          <w:tcPr>
            <w:tcW w:w="1962" w:type="dxa"/>
            <w:tcBorders>
              <w:bottom w:val="single" w:sz="2" w:space="0" w:color="000000" w:themeColor="text1"/>
            </w:tcBorders>
            <w:noWrap/>
            <w:hideMark/>
          </w:tcPr>
          <w:p w14:paraId="6EB9864D" w14:textId="77777777" w:rsidR="008D13BD" w:rsidRPr="002805F3" w:rsidRDefault="008D13BD" w:rsidP="008D13BD">
            <w:pPr>
              <w:spacing w:after="120"/>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£15,856,128</w:t>
            </w:r>
          </w:p>
        </w:tc>
        <w:tc>
          <w:tcPr>
            <w:tcW w:w="1937" w:type="dxa"/>
            <w:tcBorders>
              <w:bottom w:val="single" w:sz="2" w:space="0" w:color="000000" w:themeColor="text1"/>
            </w:tcBorders>
            <w:noWrap/>
            <w:hideMark/>
          </w:tcPr>
          <w:p w14:paraId="5E623660" w14:textId="77777777" w:rsidR="008D13BD" w:rsidRPr="002805F3" w:rsidRDefault="008D13BD" w:rsidP="008D13BD">
            <w:pPr>
              <w:spacing w:after="120"/>
              <w:jc w:val="right"/>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£8,721,000</w:t>
            </w:r>
          </w:p>
        </w:tc>
      </w:tr>
      <w:tr w:rsidR="008D13BD" w:rsidRPr="002805F3" w14:paraId="0182B411" w14:textId="77777777" w:rsidTr="008D13BD">
        <w:trPr>
          <w:trHeight w:val="257"/>
        </w:trPr>
        <w:tc>
          <w:tcPr>
            <w:cnfStyle w:val="001000000000" w:firstRow="0" w:lastRow="0" w:firstColumn="1" w:lastColumn="0" w:oddVBand="0" w:evenVBand="0" w:oddHBand="0" w:evenHBand="0" w:firstRowFirstColumn="0" w:firstRowLastColumn="0" w:lastRowFirstColumn="0" w:lastRowLastColumn="0"/>
            <w:tcW w:w="2215" w:type="dxa"/>
            <w:shd w:val="clear" w:color="auto" w:fill="D9D9D9" w:themeFill="background1" w:themeFillShade="D9"/>
            <w:noWrap/>
            <w:hideMark/>
          </w:tcPr>
          <w:p w14:paraId="6867D3B3" w14:textId="77777777" w:rsidR="008D13BD" w:rsidRPr="00496E42" w:rsidRDefault="008D13BD" w:rsidP="008D13BD">
            <w:pPr>
              <w:spacing w:after="120"/>
              <w:rPr>
                <w:b/>
                <w:color w:val="000000"/>
              </w:rPr>
            </w:pPr>
            <w:r w:rsidRPr="00496E42">
              <w:rPr>
                <w:b/>
                <w:color w:val="000000"/>
              </w:rPr>
              <w:t>Total</w:t>
            </w:r>
          </w:p>
        </w:tc>
        <w:tc>
          <w:tcPr>
            <w:tcW w:w="1750" w:type="dxa"/>
            <w:shd w:val="clear" w:color="auto" w:fill="D9D9D9" w:themeFill="background1" w:themeFillShade="D9"/>
            <w:noWrap/>
            <w:vAlign w:val="bottom"/>
            <w:hideMark/>
          </w:tcPr>
          <w:p w14:paraId="723161A7" w14:textId="77777777" w:rsidR="008D13BD" w:rsidRPr="00496E42" w:rsidRDefault="008D13BD" w:rsidP="008D13BD">
            <w:pPr>
              <w:jc w:val="right"/>
              <w:cnfStyle w:val="000000000000" w:firstRow="0" w:lastRow="0" w:firstColumn="0" w:lastColumn="0" w:oddVBand="0" w:evenVBand="0" w:oddHBand="0" w:evenHBand="0" w:firstRowFirstColumn="0" w:firstRowLastColumn="0" w:lastRowFirstColumn="0" w:lastRowLastColumn="0"/>
              <w:rPr>
                <w:b/>
                <w:color w:val="000000"/>
              </w:rPr>
            </w:pPr>
            <w:r w:rsidRPr="00496E42">
              <w:rPr>
                <w:b/>
                <w:color w:val="000000"/>
              </w:rPr>
              <w:t>£682,205,014</w:t>
            </w:r>
          </w:p>
        </w:tc>
        <w:tc>
          <w:tcPr>
            <w:tcW w:w="1962" w:type="dxa"/>
            <w:shd w:val="clear" w:color="auto" w:fill="D9D9D9" w:themeFill="background1" w:themeFillShade="D9"/>
            <w:noWrap/>
            <w:vAlign w:val="bottom"/>
            <w:hideMark/>
          </w:tcPr>
          <w:p w14:paraId="6B7C2586" w14:textId="77777777" w:rsidR="008D13BD" w:rsidRPr="00496E42" w:rsidRDefault="008D13BD" w:rsidP="008D13BD">
            <w:pPr>
              <w:jc w:val="right"/>
              <w:cnfStyle w:val="000000000000" w:firstRow="0" w:lastRow="0" w:firstColumn="0" w:lastColumn="0" w:oddVBand="0" w:evenVBand="0" w:oddHBand="0" w:evenHBand="0" w:firstRowFirstColumn="0" w:firstRowLastColumn="0" w:lastRowFirstColumn="0" w:lastRowLastColumn="0"/>
              <w:rPr>
                <w:b/>
                <w:color w:val="000000"/>
              </w:rPr>
            </w:pPr>
            <w:r w:rsidRPr="00496E42">
              <w:rPr>
                <w:b/>
                <w:color w:val="000000"/>
              </w:rPr>
              <w:t>£136,441,002</w:t>
            </w:r>
          </w:p>
        </w:tc>
        <w:tc>
          <w:tcPr>
            <w:tcW w:w="1937" w:type="dxa"/>
            <w:shd w:val="clear" w:color="auto" w:fill="D9D9D9" w:themeFill="background1" w:themeFillShade="D9"/>
            <w:noWrap/>
            <w:vAlign w:val="bottom"/>
            <w:hideMark/>
          </w:tcPr>
          <w:p w14:paraId="14B86837" w14:textId="77777777" w:rsidR="008D13BD" w:rsidRPr="00496E42" w:rsidRDefault="008D13BD" w:rsidP="008D13BD">
            <w:pPr>
              <w:jc w:val="right"/>
              <w:cnfStyle w:val="000000000000" w:firstRow="0" w:lastRow="0" w:firstColumn="0" w:lastColumn="0" w:oddVBand="0" w:evenVBand="0" w:oddHBand="0" w:evenHBand="0" w:firstRowFirstColumn="0" w:firstRowLastColumn="0" w:lastRowFirstColumn="0" w:lastRowLastColumn="0"/>
              <w:rPr>
                <w:b/>
                <w:color w:val="000000"/>
              </w:rPr>
            </w:pPr>
            <w:r w:rsidRPr="00496E42">
              <w:rPr>
                <w:b/>
                <w:color w:val="000000"/>
              </w:rPr>
              <w:t>£75,042,000</w:t>
            </w:r>
          </w:p>
        </w:tc>
      </w:tr>
    </w:tbl>
    <w:p w14:paraId="0E42987E" w14:textId="77777777" w:rsidR="008D13BD" w:rsidRPr="002805F3" w:rsidRDefault="008D13BD" w:rsidP="008D13BD">
      <w:pPr>
        <w:pStyle w:val="TableSource"/>
      </w:pPr>
      <w:r w:rsidRPr="002805F3">
        <w:t xml:space="preserve">Source: Atkins 2013. Atkins Ref: Survey –A12/D14. </w:t>
      </w:r>
    </w:p>
    <w:p w14:paraId="2BE0C29D" w14:textId="77777777" w:rsidR="008D13BD" w:rsidRPr="002805F3" w:rsidRDefault="008D13BD" w:rsidP="008D13BD">
      <w:pPr>
        <w:pStyle w:val="BodyText"/>
        <w:jc w:val="both"/>
        <w:rPr>
          <w:b/>
        </w:rPr>
      </w:pPr>
      <w:r w:rsidRPr="002805F3">
        <w:rPr>
          <w:b/>
        </w:rPr>
        <w:t>Corporation Tax</w:t>
      </w:r>
    </w:p>
    <w:p w14:paraId="6896BFC9" w14:textId="77777777" w:rsidR="008D13BD" w:rsidRPr="002805F3" w:rsidRDefault="008D13BD" w:rsidP="008D13BD">
      <w:pPr>
        <w:pStyle w:val="BodyText"/>
        <w:jc w:val="both"/>
      </w:pPr>
      <w:r>
        <w:t>Table 3.6</w:t>
      </w:r>
      <w:r w:rsidRPr="002805F3">
        <w:t xml:space="preserve"> summarises the corporation tax c</w:t>
      </w:r>
      <w:r>
        <w:t>ontribution of the key sectors which we calculate amounts to approximately £1</w:t>
      </w:r>
      <w:r w:rsidR="002C1B79">
        <w:t>05</w:t>
      </w:r>
      <w:r w:rsidRPr="002805F3">
        <w:t xml:space="preserve"> million.</w:t>
      </w:r>
      <w:r>
        <w:t xml:space="preserve"> Together the five key sectors contribute a total of approximately</w:t>
      </w:r>
      <w:r w:rsidRPr="002805F3">
        <w:t xml:space="preserve"> £4</w:t>
      </w:r>
      <w:r>
        <w:t>67</w:t>
      </w:r>
      <w:r w:rsidRPr="002805F3">
        <w:t xml:space="preserve"> million</w:t>
      </w:r>
      <w:r>
        <w:t xml:space="preserve"> to the National Exchequer.</w:t>
      </w:r>
    </w:p>
    <w:p w14:paraId="7A4873CB" w14:textId="77777777" w:rsidR="008D13BD" w:rsidRDefault="008D13BD" w:rsidP="008D13BD">
      <w:pPr>
        <w:pStyle w:val="Caption"/>
      </w:pPr>
      <w:r>
        <w:t xml:space="preserve">Table </w:t>
      </w:r>
      <w:fldSimple w:instr=" STYLEREF 1 \s  \* MERGEFORMAT ">
        <w:r w:rsidR="00E95E1A">
          <w:rPr>
            <w:noProof/>
          </w:rPr>
          <w:t>3</w:t>
        </w:r>
      </w:fldSimple>
      <w:r>
        <w:t>-</w:t>
      </w:r>
      <w:fldSimple w:instr=" SEQ Table \* ARABIC \s 1  \* MERGEFORMAT ">
        <w:r w:rsidR="00E95E1A">
          <w:rPr>
            <w:noProof/>
          </w:rPr>
          <w:t>6</w:t>
        </w:r>
      </w:fldSimple>
      <w:r>
        <w:tab/>
        <w:t>Corporation Tax Contribution</w:t>
      </w:r>
    </w:p>
    <w:tbl>
      <w:tblPr>
        <w:tblStyle w:val="Atkins14pt"/>
        <w:tblW w:w="5291" w:type="dxa"/>
        <w:tblLayout w:type="fixed"/>
        <w:tblLook w:val="04A0" w:firstRow="1" w:lastRow="0" w:firstColumn="1" w:lastColumn="0" w:noHBand="0" w:noVBand="1"/>
      </w:tblPr>
      <w:tblGrid>
        <w:gridCol w:w="3402"/>
        <w:gridCol w:w="1889"/>
      </w:tblGrid>
      <w:tr w:rsidR="008D13BD" w:rsidRPr="002805F3" w14:paraId="5C9034A0" w14:textId="77777777" w:rsidTr="008D13BD">
        <w:trPr>
          <w:cnfStyle w:val="100000000000" w:firstRow="1" w:lastRow="0" w:firstColumn="0" w:lastColumn="0" w:oddVBand="0" w:evenVBand="0" w:oddHBand="0" w:evenHBand="0" w:firstRowFirstColumn="0" w:firstRowLastColumn="0" w:lastRowFirstColumn="0" w:lastRowLastColumn="0"/>
          <w:trHeight w:val="251"/>
        </w:trPr>
        <w:tc>
          <w:tcPr>
            <w:cnfStyle w:val="001000000100" w:firstRow="0" w:lastRow="0" w:firstColumn="1" w:lastColumn="0" w:oddVBand="0" w:evenVBand="0" w:oddHBand="0" w:evenHBand="0" w:firstRowFirstColumn="1" w:firstRowLastColumn="0" w:lastRowFirstColumn="0" w:lastRowLastColumn="0"/>
            <w:tcW w:w="3402" w:type="dxa"/>
            <w:shd w:val="clear" w:color="auto" w:fill="BED600" w:themeFill="accent1"/>
          </w:tcPr>
          <w:p w14:paraId="488F3F50" w14:textId="77777777" w:rsidR="008D13BD" w:rsidRPr="001E7178" w:rsidRDefault="008D13BD" w:rsidP="008D13BD">
            <w:pPr>
              <w:spacing w:after="120"/>
              <w:rPr>
                <w:color w:val="000000"/>
              </w:rPr>
            </w:pPr>
            <w:r w:rsidRPr="001E7178">
              <w:rPr>
                <w:color w:val="000000"/>
              </w:rPr>
              <w:t>Sector</w:t>
            </w:r>
          </w:p>
        </w:tc>
        <w:tc>
          <w:tcPr>
            <w:tcW w:w="1889" w:type="dxa"/>
            <w:shd w:val="clear" w:color="auto" w:fill="BED600" w:themeFill="accent1"/>
          </w:tcPr>
          <w:p w14:paraId="3A7CB09C" w14:textId="77777777" w:rsidR="008D13BD" w:rsidRPr="001E7178" w:rsidRDefault="008D13BD" w:rsidP="008D13BD">
            <w:pPr>
              <w:spacing w:after="120"/>
              <w:cnfStyle w:val="100000000000" w:firstRow="1" w:lastRow="0" w:firstColumn="0" w:lastColumn="0" w:oddVBand="0" w:evenVBand="0" w:oddHBand="0" w:evenHBand="0" w:firstRowFirstColumn="0" w:firstRowLastColumn="0" w:lastRowFirstColumn="0" w:lastRowLastColumn="0"/>
              <w:rPr>
                <w:color w:val="000000"/>
              </w:rPr>
            </w:pPr>
            <w:r>
              <w:rPr>
                <w:color w:val="000000"/>
              </w:rPr>
              <w:t>Contribution (£)</w:t>
            </w:r>
          </w:p>
        </w:tc>
      </w:tr>
      <w:tr w:rsidR="008D13BD" w:rsidRPr="002805F3" w14:paraId="316BB389" w14:textId="77777777" w:rsidTr="008D13BD">
        <w:trPr>
          <w:trHeight w:val="251"/>
        </w:trPr>
        <w:tc>
          <w:tcPr>
            <w:cnfStyle w:val="001000000000" w:firstRow="0" w:lastRow="0" w:firstColumn="1" w:lastColumn="0" w:oddVBand="0" w:evenVBand="0" w:oddHBand="0" w:evenHBand="0" w:firstRowFirstColumn="0" w:firstRowLastColumn="0" w:lastRowFirstColumn="0" w:lastRowLastColumn="0"/>
            <w:tcW w:w="3402" w:type="dxa"/>
          </w:tcPr>
          <w:p w14:paraId="233FC3CE" w14:textId="77777777" w:rsidR="008D13BD" w:rsidRPr="001E7178" w:rsidRDefault="008D13BD" w:rsidP="008D13BD">
            <w:pPr>
              <w:spacing w:after="120"/>
              <w:rPr>
                <w:color w:val="000000"/>
              </w:rPr>
            </w:pPr>
            <w:r w:rsidRPr="001E7178">
              <w:rPr>
                <w:color w:val="000000"/>
              </w:rPr>
              <w:t>Renewables</w:t>
            </w:r>
          </w:p>
        </w:tc>
        <w:tc>
          <w:tcPr>
            <w:tcW w:w="1889" w:type="dxa"/>
            <w:vAlign w:val="bottom"/>
          </w:tcPr>
          <w:p w14:paraId="60477BF8" w14:textId="77777777" w:rsidR="008D13BD" w:rsidRDefault="003C738A" w:rsidP="008D13B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£25,776,557</w:t>
            </w:r>
          </w:p>
        </w:tc>
      </w:tr>
      <w:tr w:rsidR="008D13BD" w:rsidRPr="002805F3" w14:paraId="3A71F3E4" w14:textId="77777777" w:rsidTr="008D13BD">
        <w:trPr>
          <w:trHeight w:val="251"/>
        </w:trPr>
        <w:tc>
          <w:tcPr>
            <w:cnfStyle w:val="001000000000" w:firstRow="0" w:lastRow="0" w:firstColumn="1" w:lastColumn="0" w:oddVBand="0" w:evenVBand="0" w:oddHBand="0" w:evenHBand="0" w:firstRowFirstColumn="0" w:firstRowLastColumn="0" w:lastRowFirstColumn="0" w:lastRowLastColumn="0"/>
            <w:tcW w:w="3402" w:type="dxa"/>
          </w:tcPr>
          <w:p w14:paraId="0BD34B77" w14:textId="77777777" w:rsidR="008D13BD" w:rsidRPr="001E7178" w:rsidRDefault="008D13BD" w:rsidP="008D13BD">
            <w:pPr>
              <w:spacing w:after="120"/>
              <w:rPr>
                <w:color w:val="000000"/>
              </w:rPr>
            </w:pPr>
            <w:r w:rsidRPr="001E7178">
              <w:rPr>
                <w:color w:val="000000"/>
              </w:rPr>
              <w:t>Ports &amp; Logistics</w:t>
            </w:r>
          </w:p>
        </w:tc>
        <w:tc>
          <w:tcPr>
            <w:tcW w:w="1889" w:type="dxa"/>
            <w:vAlign w:val="bottom"/>
          </w:tcPr>
          <w:p w14:paraId="4402CCA7" w14:textId="77777777" w:rsidR="008D13BD" w:rsidRDefault="003C738A" w:rsidP="003C738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£42,702</w:t>
            </w:r>
            <w:r w:rsidR="008D13BD">
              <w:rPr>
                <w:color w:val="000000"/>
              </w:rPr>
              <w:t>,</w:t>
            </w:r>
            <w:r>
              <w:rPr>
                <w:color w:val="000000"/>
              </w:rPr>
              <w:t>525</w:t>
            </w:r>
          </w:p>
        </w:tc>
      </w:tr>
      <w:tr w:rsidR="008D13BD" w:rsidRPr="002805F3" w14:paraId="438AB2D2" w14:textId="77777777" w:rsidTr="008D13BD">
        <w:trPr>
          <w:trHeight w:val="251"/>
        </w:trPr>
        <w:tc>
          <w:tcPr>
            <w:cnfStyle w:val="001000000000" w:firstRow="0" w:lastRow="0" w:firstColumn="1" w:lastColumn="0" w:oddVBand="0" w:evenVBand="0" w:oddHBand="0" w:evenHBand="0" w:firstRowFirstColumn="0" w:firstRowLastColumn="0" w:lastRowFirstColumn="0" w:lastRowLastColumn="0"/>
            <w:tcW w:w="3402" w:type="dxa"/>
          </w:tcPr>
          <w:p w14:paraId="40A647C5" w14:textId="77777777" w:rsidR="008D13BD" w:rsidRPr="001E7178" w:rsidRDefault="008D13BD" w:rsidP="008D13BD">
            <w:pPr>
              <w:spacing w:after="120"/>
              <w:rPr>
                <w:color w:val="000000"/>
              </w:rPr>
            </w:pPr>
            <w:r w:rsidRPr="001E7178">
              <w:rPr>
                <w:color w:val="000000"/>
              </w:rPr>
              <w:t>Food manufacturing</w:t>
            </w:r>
          </w:p>
        </w:tc>
        <w:tc>
          <w:tcPr>
            <w:tcW w:w="1889" w:type="dxa"/>
            <w:vAlign w:val="bottom"/>
          </w:tcPr>
          <w:p w14:paraId="461C3785" w14:textId="77777777" w:rsidR="008D13BD" w:rsidRDefault="008D13BD" w:rsidP="008D13B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£13,723,44</w:t>
            </w:r>
            <w:r w:rsidR="003C738A">
              <w:rPr>
                <w:color w:val="000000"/>
              </w:rPr>
              <w:t>5</w:t>
            </w:r>
          </w:p>
        </w:tc>
      </w:tr>
      <w:tr w:rsidR="008D13BD" w:rsidRPr="002805F3" w14:paraId="7B55FF2D" w14:textId="77777777" w:rsidTr="008D13BD">
        <w:trPr>
          <w:trHeight w:val="251"/>
        </w:trPr>
        <w:tc>
          <w:tcPr>
            <w:cnfStyle w:val="001000000000" w:firstRow="0" w:lastRow="0" w:firstColumn="1" w:lastColumn="0" w:oddVBand="0" w:evenVBand="0" w:oddHBand="0" w:evenHBand="0" w:firstRowFirstColumn="0" w:firstRowLastColumn="0" w:lastRowFirstColumn="0" w:lastRowLastColumn="0"/>
            <w:tcW w:w="3402" w:type="dxa"/>
          </w:tcPr>
          <w:p w14:paraId="3AFB0366" w14:textId="77777777" w:rsidR="008D13BD" w:rsidRPr="001E7178" w:rsidRDefault="008D13BD" w:rsidP="008D13BD">
            <w:pPr>
              <w:spacing w:after="120"/>
              <w:rPr>
                <w:color w:val="000000"/>
              </w:rPr>
            </w:pPr>
            <w:r w:rsidRPr="001E7178">
              <w:rPr>
                <w:color w:val="000000"/>
              </w:rPr>
              <w:t>Chemicals &amp; process industries</w:t>
            </w:r>
          </w:p>
        </w:tc>
        <w:tc>
          <w:tcPr>
            <w:tcW w:w="1889" w:type="dxa"/>
            <w:vAlign w:val="bottom"/>
          </w:tcPr>
          <w:p w14:paraId="4ABE231D" w14:textId="77777777" w:rsidR="008D13BD" w:rsidRDefault="008D13BD" w:rsidP="008D13B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£14,058,247</w:t>
            </w:r>
          </w:p>
        </w:tc>
      </w:tr>
      <w:tr w:rsidR="008D13BD" w:rsidRPr="002805F3" w14:paraId="770FD559" w14:textId="77777777" w:rsidTr="008D13BD">
        <w:trPr>
          <w:trHeight w:val="251"/>
        </w:trPr>
        <w:tc>
          <w:tcPr>
            <w:cnfStyle w:val="001000000000" w:firstRow="0" w:lastRow="0" w:firstColumn="1" w:lastColumn="0" w:oddVBand="0" w:evenVBand="0" w:oddHBand="0" w:evenHBand="0" w:firstRowFirstColumn="0" w:firstRowLastColumn="0" w:lastRowFirstColumn="0" w:lastRowLastColumn="0"/>
            <w:tcW w:w="3402" w:type="dxa"/>
            <w:tcBorders>
              <w:bottom w:val="single" w:sz="2" w:space="0" w:color="000000" w:themeColor="text1"/>
            </w:tcBorders>
          </w:tcPr>
          <w:p w14:paraId="2D2B53EA" w14:textId="77777777" w:rsidR="008D13BD" w:rsidRPr="001E7178" w:rsidRDefault="008D13BD" w:rsidP="008D13BD">
            <w:pPr>
              <w:spacing w:after="120"/>
              <w:rPr>
                <w:color w:val="000000"/>
              </w:rPr>
            </w:pPr>
            <w:r w:rsidRPr="001E7178">
              <w:rPr>
                <w:color w:val="000000"/>
              </w:rPr>
              <w:t>Visitor Economy &amp; Retail</w:t>
            </w:r>
          </w:p>
        </w:tc>
        <w:tc>
          <w:tcPr>
            <w:tcW w:w="1889" w:type="dxa"/>
            <w:tcBorders>
              <w:bottom w:val="single" w:sz="2" w:space="0" w:color="000000" w:themeColor="text1"/>
            </w:tcBorders>
            <w:vAlign w:val="bottom"/>
          </w:tcPr>
          <w:p w14:paraId="723F0781" w14:textId="77777777" w:rsidR="008D13BD" w:rsidRDefault="008D13BD" w:rsidP="008D13B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£9,576,063</w:t>
            </w:r>
          </w:p>
        </w:tc>
      </w:tr>
      <w:tr w:rsidR="008D13BD" w:rsidRPr="002805F3" w14:paraId="147F2FDB" w14:textId="77777777" w:rsidTr="008D13BD">
        <w:trPr>
          <w:trHeight w:val="399"/>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3578B058" w14:textId="77777777" w:rsidR="008D13BD" w:rsidRPr="00496E42" w:rsidRDefault="008D13BD" w:rsidP="008D13BD">
            <w:pPr>
              <w:spacing w:after="120"/>
              <w:rPr>
                <w:b/>
                <w:color w:val="000000"/>
              </w:rPr>
            </w:pPr>
            <w:r w:rsidRPr="00496E42">
              <w:rPr>
                <w:b/>
                <w:color w:val="000000"/>
              </w:rPr>
              <w:t>Total</w:t>
            </w:r>
          </w:p>
        </w:tc>
        <w:tc>
          <w:tcPr>
            <w:tcW w:w="1889" w:type="dxa"/>
            <w:shd w:val="clear" w:color="auto" w:fill="D9D9D9" w:themeFill="background1" w:themeFillShade="D9"/>
            <w:vAlign w:val="bottom"/>
          </w:tcPr>
          <w:p w14:paraId="7211E0EE" w14:textId="77777777" w:rsidR="008D13BD" w:rsidRPr="00496E42" w:rsidRDefault="008D13BD" w:rsidP="008D13BD">
            <w:pPr>
              <w:jc w:val="right"/>
              <w:cnfStyle w:val="000000000000" w:firstRow="0" w:lastRow="0" w:firstColumn="0" w:lastColumn="0" w:oddVBand="0" w:evenVBand="0" w:oddHBand="0" w:evenHBand="0" w:firstRowFirstColumn="0" w:firstRowLastColumn="0" w:lastRowFirstColumn="0" w:lastRowLastColumn="0"/>
              <w:rPr>
                <w:b/>
                <w:color w:val="000000"/>
              </w:rPr>
            </w:pPr>
            <w:r w:rsidRPr="00496E42">
              <w:rPr>
                <w:b/>
                <w:color w:val="000000"/>
              </w:rPr>
              <w:t>£</w:t>
            </w:r>
            <w:r w:rsidR="002C1B79">
              <w:rPr>
                <w:b/>
                <w:color w:val="000000"/>
              </w:rPr>
              <w:t>105,836,837</w:t>
            </w:r>
          </w:p>
          <w:p w14:paraId="32EEF6CF" w14:textId="77777777" w:rsidR="008D13BD" w:rsidRPr="00496E42" w:rsidRDefault="008D13BD" w:rsidP="008D13BD">
            <w:pPr>
              <w:jc w:val="right"/>
              <w:cnfStyle w:val="000000000000" w:firstRow="0" w:lastRow="0" w:firstColumn="0" w:lastColumn="0" w:oddVBand="0" w:evenVBand="0" w:oddHBand="0" w:evenHBand="0" w:firstRowFirstColumn="0" w:firstRowLastColumn="0" w:lastRowFirstColumn="0" w:lastRowLastColumn="0"/>
              <w:rPr>
                <w:b/>
                <w:color w:val="000000"/>
              </w:rPr>
            </w:pPr>
          </w:p>
        </w:tc>
      </w:tr>
    </w:tbl>
    <w:p w14:paraId="6E5B9110" w14:textId="77777777" w:rsidR="008D13BD" w:rsidRDefault="008D13BD" w:rsidP="008D13BD">
      <w:pPr>
        <w:pStyle w:val="TableSource"/>
      </w:pPr>
      <w:r w:rsidRPr="002805F3">
        <w:t>Source: Atkins 2013. Atkins Ref: Survey –A12/I23</w:t>
      </w:r>
    </w:p>
    <w:p w14:paraId="49D90EF8" w14:textId="77777777" w:rsidR="008D13BD" w:rsidRDefault="008D13BD" w:rsidP="008D13BD">
      <w:pPr>
        <w:pStyle w:val="Heading2"/>
        <w:numPr>
          <w:ilvl w:val="1"/>
          <w:numId w:val="5"/>
        </w:numPr>
      </w:pPr>
      <w:bookmarkStart w:id="555" w:name="_Toc395103915"/>
      <w:r>
        <w:t>Size and Type of Business</w:t>
      </w:r>
      <w:bookmarkEnd w:id="555"/>
    </w:p>
    <w:p w14:paraId="2720192F" w14:textId="77777777" w:rsidR="008D13BD" w:rsidRDefault="008D13BD" w:rsidP="008D13BD">
      <w:pPr>
        <w:pStyle w:val="BodyText"/>
        <w:jc w:val="both"/>
        <w:rPr>
          <w:szCs w:val="22"/>
        </w:rPr>
      </w:pPr>
      <w:r>
        <w:rPr>
          <w:szCs w:val="22"/>
        </w:rPr>
        <w:t xml:space="preserve">Analysis of secondary data enables a reasonable assessment of the size range of businesses with each key sector to be made relative to Borough averages. Table 3.7 indicates that the </w:t>
      </w:r>
      <w:r>
        <w:rPr>
          <w:i/>
          <w:szCs w:val="22"/>
        </w:rPr>
        <w:t>Food Manufacturing</w:t>
      </w:r>
      <w:r>
        <w:rPr>
          <w:szCs w:val="22"/>
        </w:rPr>
        <w:t xml:space="preserve"> and </w:t>
      </w:r>
      <w:r w:rsidRPr="00220431">
        <w:rPr>
          <w:i/>
          <w:szCs w:val="22"/>
        </w:rPr>
        <w:t xml:space="preserve">Chemicals and Process </w:t>
      </w:r>
      <w:r>
        <w:rPr>
          <w:i/>
          <w:szCs w:val="22"/>
        </w:rPr>
        <w:t xml:space="preserve">sectors </w:t>
      </w:r>
      <w:r>
        <w:rPr>
          <w:szCs w:val="22"/>
        </w:rPr>
        <w:t>are typically over-represented by larger businesses (over 250 employees) relative to the average for North East Lincolnshire. Despite this, the tables makes it clear that SMEs are fundamental to the lifeblood of all key sectors in the Borough.</w:t>
      </w:r>
    </w:p>
    <w:p w14:paraId="1572F8CB" w14:textId="77777777" w:rsidR="008D13BD" w:rsidRDefault="008D13BD" w:rsidP="008D13BD">
      <w:pPr>
        <w:pStyle w:val="Caption"/>
      </w:pPr>
      <w:r>
        <w:t xml:space="preserve">Table </w:t>
      </w:r>
      <w:fldSimple w:instr=" STYLEREF 1 \s  \* MERGEFORMAT ">
        <w:r w:rsidR="00E95E1A">
          <w:rPr>
            <w:noProof/>
          </w:rPr>
          <w:t>3</w:t>
        </w:r>
      </w:fldSimple>
      <w:r>
        <w:t>-</w:t>
      </w:r>
      <w:fldSimple w:instr=" SEQ Table \* ARABIC \s 1  \* MERGEFORMAT ">
        <w:r w:rsidR="00E95E1A">
          <w:rPr>
            <w:noProof/>
          </w:rPr>
          <w:t>7</w:t>
        </w:r>
      </w:fldSimple>
      <w:r>
        <w:tab/>
        <w:t>Size of Business</w:t>
      </w:r>
    </w:p>
    <w:tbl>
      <w:tblPr>
        <w:tblStyle w:val="Atkins14pt"/>
        <w:tblW w:w="7674" w:type="dxa"/>
        <w:tblLook w:val="04A0" w:firstRow="1" w:lastRow="0" w:firstColumn="1" w:lastColumn="0" w:noHBand="0" w:noVBand="1"/>
      </w:tblPr>
      <w:tblGrid>
        <w:gridCol w:w="1418"/>
        <w:gridCol w:w="1089"/>
        <w:gridCol w:w="1214"/>
        <w:gridCol w:w="1120"/>
        <w:gridCol w:w="960"/>
        <w:gridCol w:w="1435"/>
        <w:gridCol w:w="1147"/>
      </w:tblGrid>
      <w:tr w:rsidR="008D13BD" w:rsidRPr="00220431" w14:paraId="49EC6F6F" w14:textId="77777777" w:rsidTr="008D13B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18" w:type="dxa"/>
            <w:shd w:val="clear" w:color="auto" w:fill="BED600" w:themeFill="accent1"/>
            <w:noWrap/>
            <w:hideMark/>
          </w:tcPr>
          <w:p w14:paraId="76BF399E" w14:textId="77777777" w:rsidR="008D13BD" w:rsidRPr="00220431" w:rsidRDefault="008D13BD" w:rsidP="008D13BD">
            <w:pPr>
              <w:spacing w:after="0"/>
              <w:rPr>
                <w:color w:val="000000"/>
              </w:rPr>
            </w:pPr>
            <w:r>
              <w:rPr>
                <w:color w:val="000000"/>
              </w:rPr>
              <w:t>Business Size</w:t>
            </w:r>
          </w:p>
        </w:tc>
        <w:tc>
          <w:tcPr>
            <w:tcW w:w="1089" w:type="dxa"/>
            <w:shd w:val="clear" w:color="auto" w:fill="BED600" w:themeFill="accent1"/>
            <w:noWrap/>
            <w:hideMark/>
          </w:tcPr>
          <w:p w14:paraId="2112533E" w14:textId="77777777" w:rsidR="008D13BD" w:rsidRPr="00220431" w:rsidRDefault="008D13BD" w:rsidP="008D13BD">
            <w:pPr>
              <w:spacing w:after="0"/>
              <w:cnfStyle w:val="100000000000" w:firstRow="1" w:lastRow="0" w:firstColumn="0" w:lastColumn="0" w:oddVBand="0" w:evenVBand="0" w:oddHBand="0" w:evenHBand="0" w:firstRowFirstColumn="0" w:firstRowLastColumn="0" w:lastRowFirstColumn="0" w:lastRowLastColumn="0"/>
              <w:rPr>
                <w:color w:val="000000"/>
              </w:rPr>
            </w:pPr>
            <w:r>
              <w:rPr>
                <w:color w:val="000000"/>
              </w:rPr>
              <w:t>Ports &amp; Logistics</w:t>
            </w:r>
          </w:p>
        </w:tc>
        <w:tc>
          <w:tcPr>
            <w:tcW w:w="960" w:type="dxa"/>
            <w:shd w:val="clear" w:color="auto" w:fill="BED600" w:themeFill="accent1"/>
            <w:noWrap/>
            <w:hideMark/>
          </w:tcPr>
          <w:p w14:paraId="57103A47" w14:textId="77777777" w:rsidR="008D13BD" w:rsidRPr="00220431" w:rsidRDefault="008D13BD" w:rsidP="008D13BD">
            <w:pPr>
              <w:spacing w:after="0"/>
              <w:cnfStyle w:val="100000000000" w:firstRow="1" w:lastRow="0" w:firstColumn="0" w:lastColumn="0" w:oddVBand="0" w:evenVBand="0" w:oddHBand="0" w:evenHBand="0" w:firstRowFirstColumn="0" w:firstRowLastColumn="0" w:lastRowFirstColumn="0" w:lastRowLastColumn="0"/>
              <w:rPr>
                <w:color w:val="000000"/>
              </w:rPr>
            </w:pPr>
            <w:r>
              <w:rPr>
                <w:color w:val="000000"/>
              </w:rPr>
              <w:t>Renewables &amp; Energy</w:t>
            </w:r>
          </w:p>
        </w:tc>
        <w:tc>
          <w:tcPr>
            <w:tcW w:w="1120" w:type="dxa"/>
            <w:shd w:val="clear" w:color="auto" w:fill="BED600" w:themeFill="accent1"/>
            <w:noWrap/>
            <w:hideMark/>
          </w:tcPr>
          <w:p w14:paraId="24989DF2" w14:textId="77777777" w:rsidR="008D13BD" w:rsidRPr="00220431" w:rsidRDefault="008D13BD" w:rsidP="008D13BD">
            <w:pPr>
              <w:spacing w:after="0"/>
              <w:cnfStyle w:val="100000000000" w:firstRow="1" w:lastRow="0" w:firstColumn="0" w:lastColumn="0" w:oddVBand="0" w:evenVBand="0" w:oddHBand="0" w:evenHBand="0" w:firstRowFirstColumn="0" w:firstRowLastColumn="0" w:lastRowFirstColumn="0" w:lastRowLastColumn="0"/>
              <w:rPr>
                <w:color w:val="000000"/>
              </w:rPr>
            </w:pPr>
            <w:r w:rsidRPr="00220431">
              <w:rPr>
                <w:color w:val="000000"/>
              </w:rPr>
              <w:t>Chemicals &amp; Process Industries</w:t>
            </w:r>
          </w:p>
        </w:tc>
        <w:tc>
          <w:tcPr>
            <w:tcW w:w="960" w:type="dxa"/>
            <w:shd w:val="clear" w:color="auto" w:fill="BED600" w:themeFill="accent1"/>
            <w:noWrap/>
            <w:hideMark/>
          </w:tcPr>
          <w:p w14:paraId="0DF012D3" w14:textId="77777777" w:rsidR="008D13BD" w:rsidRPr="00220431" w:rsidRDefault="008D13BD" w:rsidP="008D13BD">
            <w:pPr>
              <w:spacing w:after="0"/>
              <w:cnfStyle w:val="100000000000" w:firstRow="1" w:lastRow="0" w:firstColumn="0" w:lastColumn="0" w:oddVBand="0" w:evenVBand="0" w:oddHBand="0" w:evenHBand="0" w:firstRowFirstColumn="0" w:firstRowLastColumn="0" w:lastRowFirstColumn="0" w:lastRowLastColumn="0"/>
              <w:rPr>
                <w:color w:val="000000"/>
              </w:rPr>
            </w:pPr>
            <w:r>
              <w:rPr>
                <w:color w:val="000000"/>
              </w:rPr>
              <w:t>Visitor Economy</w:t>
            </w:r>
          </w:p>
        </w:tc>
        <w:tc>
          <w:tcPr>
            <w:tcW w:w="1167" w:type="dxa"/>
            <w:shd w:val="clear" w:color="auto" w:fill="BED600" w:themeFill="accent1"/>
            <w:noWrap/>
            <w:hideMark/>
          </w:tcPr>
          <w:p w14:paraId="4E0EEE2F" w14:textId="77777777" w:rsidR="008D13BD" w:rsidRPr="00220431" w:rsidRDefault="008D13BD" w:rsidP="008D13BD">
            <w:pPr>
              <w:spacing w:after="0"/>
              <w:cnfStyle w:val="100000000000" w:firstRow="1" w:lastRow="0" w:firstColumn="0" w:lastColumn="0" w:oddVBand="0" w:evenVBand="0" w:oddHBand="0" w:evenHBand="0" w:firstRowFirstColumn="0" w:firstRowLastColumn="0" w:lastRowFirstColumn="0" w:lastRowLastColumn="0"/>
              <w:rPr>
                <w:color w:val="000000"/>
              </w:rPr>
            </w:pPr>
            <w:r>
              <w:rPr>
                <w:color w:val="000000"/>
              </w:rPr>
              <w:t>Food Manufacturing</w:t>
            </w:r>
          </w:p>
        </w:tc>
        <w:tc>
          <w:tcPr>
            <w:tcW w:w="960" w:type="dxa"/>
            <w:shd w:val="clear" w:color="auto" w:fill="BED600" w:themeFill="accent1"/>
            <w:noWrap/>
            <w:hideMark/>
          </w:tcPr>
          <w:p w14:paraId="2DD4707E" w14:textId="77777777" w:rsidR="008D13BD" w:rsidRPr="00220431" w:rsidRDefault="008D13BD" w:rsidP="008D13BD">
            <w:pPr>
              <w:spacing w:after="0"/>
              <w:cnfStyle w:val="100000000000" w:firstRow="1" w:lastRow="0" w:firstColumn="0" w:lastColumn="0" w:oddVBand="0" w:evenVBand="0" w:oddHBand="0" w:evenHBand="0" w:firstRowFirstColumn="0" w:firstRowLastColumn="0" w:lastRowFirstColumn="0" w:lastRowLastColumn="0"/>
              <w:rPr>
                <w:color w:val="000000"/>
              </w:rPr>
            </w:pPr>
            <w:r>
              <w:rPr>
                <w:color w:val="000000"/>
              </w:rPr>
              <w:t>All NEL businesses</w:t>
            </w:r>
          </w:p>
        </w:tc>
      </w:tr>
      <w:tr w:rsidR="008D13BD" w:rsidRPr="00220431" w14:paraId="2D9DB1DA"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E7BD11D" w14:textId="77777777" w:rsidR="008D13BD" w:rsidRPr="00220431" w:rsidRDefault="008D13BD" w:rsidP="008D13BD">
            <w:pPr>
              <w:spacing w:after="0"/>
              <w:rPr>
                <w:color w:val="000000"/>
              </w:rPr>
            </w:pPr>
            <w:r w:rsidRPr="00220431">
              <w:rPr>
                <w:color w:val="000000"/>
              </w:rPr>
              <w:t>a. 0-10</w:t>
            </w:r>
          </w:p>
        </w:tc>
        <w:tc>
          <w:tcPr>
            <w:tcW w:w="1089" w:type="dxa"/>
            <w:noWrap/>
            <w:hideMark/>
          </w:tcPr>
          <w:p w14:paraId="3F120C91" w14:textId="77777777" w:rsidR="008D13BD" w:rsidRPr="00220431" w:rsidRDefault="002C1B79"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62.6</w:t>
            </w:r>
            <w:r w:rsidR="008D13BD" w:rsidRPr="00220431">
              <w:rPr>
                <w:color w:val="000000"/>
              </w:rPr>
              <w:t>%</w:t>
            </w:r>
          </w:p>
        </w:tc>
        <w:tc>
          <w:tcPr>
            <w:tcW w:w="960" w:type="dxa"/>
            <w:noWrap/>
            <w:hideMark/>
          </w:tcPr>
          <w:p w14:paraId="3278F802"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86.8%</w:t>
            </w:r>
          </w:p>
        </w:tc>
        <w:tc>
          <w:tcPr>
            <w:tcW w:w="1120" w:type="dxa"/>
            <w:noWrap/>
            <w:hideMark/>
          </w:tcPr>
          <w:p w14:paraId="65CF3CB1"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51.4%</w:t>
            </w:r>
          </w:p>
        </w:tc>
        <w:tc>
          <w:tcPr>
            <w:tcW w:w="960" w:type="dxa"/>
            <w:noWrap/>
            <w:hideMark/>
          </w:tcPr>
          <w:p w14:paraId="5A583594"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72.6%</w:t>
            </w:r>
          </w:p>
        </w:tc>
        <w:tc>
          <w:tcPr>
            <w:tcW w:w="1167" w:type="dxa"/>
            <w:noWrap/>
            <w:hideMark/>
          </w:tcPr>
          <w:p w14:paraId="050C6275"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63.6%</w:t>
            </w:r>
          </w:p>
        </w:tc>
        <w:tc>
          <w:tcPr>
            <w:tcW w:w="960" w:type="dxa"/>
            <w:noWrap/>
            <w:hideMark/>
          </w:tcPr>
          <w:p w14:paraId="4729E75D"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76.4%</w:t>
            </w:r>
          </w:p>
        </w:tc>
      </w:tr>
      <w:tr w:rsidR="008D13BD" w:rsidRPr="00220431" w14:paraId="54D32687"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5BCD496" w14:textId="77777777" w:rsidR="008D13BD" w:rsidRPr="00220431" w:rsidRDefault="008D13BD" w:rsidP="008D13BD">
            <w:pPr>
              <w:spacing w:after="0"/>
              <w:rPr>
                <w:color w:val="000000"/>
              </w:rPr>
            </w:pPr>
            <w:r w:rsidRPr="00220431">
              <w:rPr>
                <w:color w:val="000000"/>
              </w:rPr>
              <w:t>b. 11-20</w:t>
            </w:r>
          </w:p>
        </w:tc>
        <w:tc>
          <w:tcPr>
            <w:tcW w:w="1089" w:type="dxa"/>
            <w:noWrap/>
            <w:hideMark/>
          </w:tcPr>
          <w:p w14:paraId="0834308C"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15.2%</w:t>
            </w:r>
          </w:p>
        </w:tc>
        <w:tc>
          <w:tcPr>
            <w:tcW w:w="960" w:type="dxa"/>
            <w:noWrap/>
            <w:hideMark/>
          </w:tcPr>
          <w:p w14:paraId="55372B39"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6.2%</w:t>
            </w:r>
          </w:p>
        </w:tc>
        <w:tc>
          <w:tcPr>
            <w:tcW w:w="1120" w:type="dxa"/>
            <w:noWrap/>
            <w:hideMark/>
          </w:tcPr>
          <w:p w14:paraId="408204AC"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10.8%</w:t>
            </w:r>
          </w:p>
        </w:tc>
        <w:tc>
          <w:tcPr>
            <w:tcW w:w="960" w:type="dxa"/>
            <w:noWrap/>
            <w:hideMark/>
          </w:tcPr>
          <w:p w14:paraId="56FA0197"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12.6%</w:t>
            </w:r>
          </w:p>
        </w:tc>
        <w:tc>
          <w:tcPr>
            <w:tcW w:w="1167" w:type="dxa"/>
            <w:noWrap/>
            <w:hideMark/>
          </w:tcPr>
          <w:p w14:paraId="501BE628"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8.0%</w:t>
            </w:r>
          </w:p>
        </w:tc>
        <w:tc>
          <w:tcPr>
            <w:tcW w:w="960" w:type="dxa"/>
            <w:noWrap/>
            <w:hideMark/>
          </w:tcPr>
          <w:p w14:paraId="59596060"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10.2%</w:t>
            </w:r>
          </w:p>
        </w:tc>
      </w:tr>
      <w:tr w:rsidR="008D13BD" w:rsidRPr="00220431" w14:paraId="0332D309"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379F936" w14:textId="77777777" w:rsidR="008D13BD" w:rsidRPr="00220431" w:rsidRDefault="008D13BD" w:rsidP="008D13BD">
            <w:pPr>
              <w:spacing w:after="0"/>
              <w:rPr>
                <w:color w:val="000000"/>
              </w:rPr>
            </w:pPr>
            <w:r w:rsidRPr="00220431">
              <w:rPr>
                <w:color w:val="000000"/>
              </w:rPr>
              <w:t>c. 21-50</w:t>
            </w:r>
          </w:p>
        </w:tc>
        <w:tc>
          <w:tcPr>
            <w:tcW w:w="1089" w:type="dxa"/>
            <w:noWrap/>
            <w:hideMark/>
          </w:tcPr>
          <w:p w14:paraId="395A633C" w14:textId="77777777" w:rsidR="008D13BD" w:rsidRPr="00220431" w:rsidRDefault="002C1B79"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12.2</w:t>
            </w:r>
            <w:r w:rsidR="008D13BD" w:rsidRPr="00220431">
              <w:rPr>
                <w:color w:val="000000"/>
              </w:rPr>
              <w:t>%</w:t>
            </w:r>
          </w:p>
        </w:tc>
        <w:tc>
          <w:tcPr>
            <w:tcW w:w="960" w:type="dxa"/>
            <w:noWrap/>
            <w:hideMark/>
          </w:tcPr>
          <w:p w14:paraId="5B9DCDBC"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5.1%</w:t>
            </w:r>
          </w:p>
        </w:tc>
        <w:tc>
          <w:tcPr>
            <w:tcW w:w="1120" w:type="dxa"/>
            <w:noWrap/>
            <w:hideMark/>
          </w:tcPr>
          <w:p w14:paraId="4FEA9670"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13.5%</w:t>
            </w:r>
          </w:p>
        </w:tc>
        <w:tc>
          <w:tcPr>
            <w:tcW w:w="960" w:type="dxa"/>
            <w:noWrap/>
            <w:hideMark/>
          </w:tcPr>
          <w:p w14:paraId="759A2B2A"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10.8%</w:t>
            </w:r>
          </w:p>
        </w:tc>
        <w:tc>
          <w:tcPr>
            <w:tcW w:w="1167" w:type="dxa"/>
            <w:noWrap/>
            <w:hideMark/>
          </w:tcPr>
          <w:p w14:paraId="3676DA5A"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12.5%</w:t>
            </w:r>
          </w:p>
        </w:tc>
        <w:tc>
          <w:tcPr>
            <w:tcW w:w="960" w:type="dxa"/>
            <w:noWrap/>
            <w:hideMark/>
          </w:tcPr>
          <w:p w14:paraId="08A37E59"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8.4%</w:t>
            </w:r>
          </w:p>
        </w:tc>
      </w:tr>
      <w:tr w:rsidR="008D13BD" w:rsidRPr="00220431" w14:paraId="17CBA1EF"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FD6A44F" w14:textId="77777777" w:rsidR="008D13BD" w:rsidRPr="00220431" w:rsidRDefault="008D13BD" w:rsidP="008D13BD">
            <w:pPr>
              <w:spacing w:after="0"/>
              <w:rPr>
                <w:color w:val="000000"/>
              </w:rPr>
            </w:pPr>
            <w:r w:rsidRPr="00220431">
              <w:rPr>
                <w:color w:val="000000"/>
              </w:rPr>
              <w:t>e. 51-100</w:t>
            </w:r>
          </w:p>
        </w:tc>
        <w:tc>
          <w:tcPr>
            <w:tcW w:w="1089" w:type="dxa"/>
            <w:noWrap/>
            <w:hideMark/>
          </w:tcPr>
          <w:p w14:paraId="786A52B3" w14:textId="77777777" w:rsidR="008D13BD" w:rsidRPr="00220431" w:rsidRDefault="002C1B79"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5.2</w:t>
            </w:r>
            <w:r w:rsidR="008D13BD" w:rsidRPr="00220431">
              <w:rPr>
                <w:color w:val="000000"/>
              </w:rPr>
              <w:t>%</w:t>
            </w:r>
          </w:p>
        </w:tc>
        <w:tc>
          <w:tcPr>
            <w:tcW w:w="960" w:type="dxa"/>
            <w:noWrap/>
            <w:hideMark/>
          </w:tcPr>
          <w:p w14:paraId="21F3925E"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0.7%</w:t>
            </w:r>
          </w:p>
        </w:tc>
        <w:tc>
          <w:tcPr>
            <w:tcW w:w="1120" w:type="dxa"/>
            <w:noWrap/>
            <w:hideMark/>
          </w:tcPr>
          <w:p w14:paraId="1842E503"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8.1%</w:t>
            </w:r>
          </w:p>
        </w:tc>
        <w:tc>
          <w:tcPr>
            <w:tcW w:w="960" w:type="dxa"/>
            <w:noWrap/>
            <w:hideMark/>
          </w:tcPr>
          <w:p w14:paraId="595854CB"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3.0%</w:t>
            </w:r>
          </w:p>
        </w:tc>
        <w:tc>
          <w:tcPr>
            <w:tcW w:w="1167" w:type="dxa"/>
            <w:noWrap/>
            <w:hideMark/>
          </w:tcPr>
          <w:p w14:paraId="2CB9CC22"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3.4%</w:t>
            </w:r>
          </w:p>
        </w:tc>
        <w:tc>
          <w:tcPr>
            <w:tcW w:w="960" w:type="dxa"/>
            <w:noWrap/>
            <w:hideMark/>
          </w:tcPr>
          <w:p w14:paraId="6ED90CC4"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2.8%</w:t>
            </w:r>
          </w:p>
        </w:tc>
      </w:tr>
      <w:tr w:rsidR="008D13BD" w:rsidRPr="00220431" w14:paraId="0AEE604F"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A10027F" w14:textId="77777777" w:rsidR="008D13BD" w:rsidRPr="00220431" w:rsidRDefault="008D13BD" w:rsidP="008D13BD">
            <w:pPr>
              <w:spacing w:after="0"/>
              <w:rPr>
                <w:color w:val="000000"/>
              </w:rPr>
            </w:pPr>
            <w:r w:rsidRPr="00220431">
              <w:rPr>
                <w:color w:val="000000"/>
              </w:rPr>
              <w:t>f. 101-250</w:t>
            </w:r>
          </w:p>
        </w:tc>
        <w:tc>
          <w:tcPr>
            <w:tcW w:w="1089" w:type="dxa"/>
            <w:noWrap/>
            <w:hideMark/>
          </w:tcPr>
          <w:p w14:paraId="533CB693" w14:textId="77777777" w:rsidR="008D13BD" w:rsidRPr="00220431" w:rsidRDefault="002C1B79"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w:t>
            </w:r>
            <w:r w:rsidR="008D13BD" w:rsidRPr="00220431">
              <w:rPr>
                <w:color w:val="000000"/>
              </w:rPr>
              <w:t>%</w:t>
            </w:r>
          </w:p>
        </w:tc>
        <w:tc>
          <w:tcPr>
            <w:tcW w:w="960" w:type="dxa"/>
            <w:noWrap/>
            <w:hideMark/>
          </w:tcPr>
          <w:p w14:paraId="5B3509BB"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0.7%</w:t>
            </w:r>
          </w:p>
        </w:tc>
        <w:tc>
          <w:tcPr>
            <w:tcW w:w="1120" w:type="dxa"/>
            <w:noWrap/>
            <w:hideMark/>
          </w:tcPr>
          <w:p w14:paraId="1CC32D18"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10.8%</w:t>
            </w:r>
          </w:p>
        </w:tc>
        <w:tc>
          <w:tcPr>
            <w:tcW w:w="960" w:type="dxa"/>
            <w:noWrap/>
            <w:hideMark/>
          </w:tcPr>
          <w:p w14:paraId="06A5A340"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0.8%</w:t>
            </w:r>
          </w:p>
        </w:tc>
        <w:tc>
          <w:tcPr>
            <w:tcW w:w="1167" w:type="dxa"/>
            <w:noWrap/>
            <w:hideMark/>
          </w:tcPr>
          <w:p w14:paraId="1B748433"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3.4%</w:t>
            </w:r>
          </w:p>
        </w:tc>
        <w:tc>
          <w:tcPr>
            <w:tcW w:w="960" w:type="dxa"/>
            <w:noWrap/>
            <w:hideMark/>
          </w:tcPr>
          <w:p w14:paraId="600069F9"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1.5%</w:t>
            </w:r>
          </w:p>
        </w:tc>
      </w:tr>
      <w:tr w:rsidR="008D13BD" w:rsidRPr="00220431" w14:paraId="2EE4F138"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5F16AEC" w14:textId="77777777" w:rsidR="008D13BD" w:rsidRPr="00220431" w:rsidRDefault="008D13BD" w:rsidP="008D13BD">
            <w:pPr>
              <w:spacing w:after="0"/>
              <w:rPr>
                <w:color w:val="000000"/>
              </w:rPr>
            </w:pPr>
            <w:r>
              <w:rPr>
                <w:color w:val="000000"/>
              </w:rPr>
              <w:t>g. 250+</w:t>
            </w:r>
          </w:p>
        </w:tc>
        <w:tc>
          <w:tcPr>
            <w:tcW w:w="1089" w:type="dxa"/>
            <w:noWrap/>
            <w:vAlign w:val="bottom"/>
            <w:hideMark/>
          </w:tcPr>
          <w:p w14:paraId="499FD0BA" w14:textId="77777777" w:rsidR="008D13BD" w:rsidRDefault="008D13BD" w:rsidP="008D13B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0.8%</w:t>
            </w:r>
          </w:p>
        </w:tc>
        <w:tc>
          <w:tcPr>
            <w:tcW w:w="960" w:type="dxa"/>
            <w:noWrap/>
            <w:vAlign w:val="bottom"/>
            <w:hideMark/>
          </w:tcPr>
          <w:p w14:paraId="1317461E" w14:textId="77777777" w:rsidR="008D13BD" w:rsidRDefault="008D13BD" w:rsidP="008D13B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0.5%</w:t>
            </w:r>
          </w:p>
        </w:tc>
        <w:tc>
          <w:tcPr>
            <w:tcW w:w="1120" w:type="dxa"/>
            <w:noWrap/>
            <w:vAlign w:val="bottom"/>
            <w:hideMark/>
          </w:tcPr>
          <w:p w14:paraId="7EE99881" w14:textId="77777777" w:rsidR="008D13BD" w:rsidRDefault="008D13BD" w:rsidP="008D13B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5.4%</w:t>
            </w:r>
          </w:p>
        </w:tc>
        <w:tc>
          <w:tcPr>
            <w:tcW w:w="960" w:type="dxa"/>
            <w:noWrap/>
            <w:vAlign w:val="bottom"/>
            <w:hideMark/>
          </w:tcPr>
          <w:p w14:paraId="628C8220" w14:textId="77777777" w:rsidR="008D13BD" w:rsidRDefault="008D13BD" w:rsidP="008D13B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0.3%</w:t>
            </w:r>
          </w:p>
        </w:tc>
        <w:tc>
          <w:tcPr>
            <w:tcW w:w="1167" w:type="dxa"/>
            <w:noWrap/>
            <w:vAlign w:val="bottom"/>
            <w:hideMark/>
          </w:tcPr>
          <w:p w14:paraId="4368E9CE" w14:textId="77777777" w:rsidR="008D13BD" w:rsidRDefault="008D13BD" w:rsidP="008D13B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9.1%</w:t>
            </w:r>
          </w:p>
        </w:tc>
        <w:tc>
          <w:tcPr>
            <w:tcW w:w="960" w:type="dxa"/>
            <w:noWrap/>
            <w:hideMark/>
          </w:tcPr>
          <w:p w14:paraId="2ADE580F"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0.</w:t>
            </w:r>
            <w:r>
              <w:rPr>
                <w:color w:val="000000"/>
              </w:rPr>
              <w:t>8</w:t>
            </w:r>
            <w:r w:rsidRPr="00220431">
              <w:rPr>
                <w:color w:val="000000"/>
              </w:rPr>
              <w:t>%</w:t>
            </w:r>
          </w:p>
        </w:tc>
      </w:tr>
      <w:tr w:rsidR="008D13BD" w:rsidRPr="00220431" w14:paraId="701DC25C"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006CCE9" w14:textId="77777777" w:rsidR="008D13BD" w:rsidRPr="00220431" w:rsidRDefault="008D13BD" w:rsidP="008D13BD">
            <w:pPr>
              <w:spacing w:after="0"/>
              <w:rPr>
                <w:color w:val="000000"/>
              </w:rPr>
            </w:pPr>
            <w:r w:rsidRPr="00220431">
              <w:rPr>
                <w:color w:val="000000"/>
              </w:rPr>
              <w:t>Total</w:t>
            </w:r>
          </w:p>
        </w:tc>
        <w:tc>
          <w:tcPr>
            <w:tcW w:w="1089" w:type="dxa"/>
            <w:noWrap/>
            <w:hideMark/>
          </w:tcPr>
          <w:p w14:paraId="3FEFB8C6"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100.0%</w:t>
            </w:r>
          </w:p>
        </w:tc>
        <w:tc>
          <w:tcPr>
            <w:tcW w:w="960" w:type="dxa"/>
            <w:noWrap/>
            <w:hideMark/>
          </w:tcPr>
          <w:p w14:paraId="6A904B42"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100.0%</w:t>
            </w:r>
          </w:p>
        </w:tc>
        <w:tc>
          <w:tcPr>
            <w:tcW w:w="1120" w:type="dxa"/>
            <w:noWrap/>
            <w:hideMark/>
          </w:tcPr>
          <w:p w14:paraId="3CA4202F"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100.0%</w:t>
            </w:r>
          </w:p>
        </w:tc>
        <w:tc>
          <w:tcPr>
            <w:tcW w:w="960" w:type="dxa"/>
            <w:noWrap/>
            <w:hideMark/>
          </w:tcPr>
          <w:p w14:paraId="7F73728D"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100.0%</w:t>
            </w:r>
          </w:p>
        </w:tc>
        <w:tc>
          <w:tcPr>
            <w:tcW w:w="1167" w:type="dxa"/>
            <w:noWrap/>
            <w:hideMark/>
          </w:tcPr>
          <w:p w14:paraId="0AFE965E"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100.0%</w:t>
            </w:r>
          </w:p>
        </w:tc>
        <w:tc>
          <w:tcPr>
            <w:tcW w:w="960" w:type="dxa"/>
            <w:noWrap/>
            <w:hideMark/>
          </w:tcPr>
          <w:p w14:paraId="63DB5376" w14:textId="77777777" w:rsidR="008D13BD" w:rsidRPr="00220431"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220431">
              <w:rPr>
                <w:color w:val="000000"/>
              </w:rPr>
              <w:t>100.0%</w:t>
            </w:r>
          </w:p>
        </w:tc>
      </w:tr>
    </w:tbl>
    <w:p w14:paraId="40B64439" w14:textId="77777777" w:rsidR="008D13BD" w:rsidRDefault="008D13BD" w:rsidP="008D13BD">
      <w:pPr>
        <w:pStyle w:val="BodyText"/>
        <w:jc w:val="both"/>
        <w:rPr>
          <w:szCs w:val="22"/>
        </w:rPr>
      </w:pPr>
      <w:r>
        <w:rPr>
          <w:szCs w:val="22"/>
        </w:rPr>
        <w:t>Source: IDBR 2012</w:t>
      </w:r>
    </w:p>
    <w:p w14:paraId="2B6421D7" w14:textId="77777777" w:rsidR="008D13BD" w:rsidRPr="002805F3" w:rsidRDefault="008D13BD" w:rsidP="008D13BD">
      <w:pPr>
        <w:pStyle w:val="BodyText"/>
        <w:jc w:val="both"/>
        <w:rPr>
          <w:szCs w:val="22"/>
        </w:rPr>
      </w:pPr>
      <w:r w:rsidRPr="002805F3">
        <w:rPr>
          <w:szCs w:val="22"/>
        </w:rPr>
        <w:t xml:space="preserve">As </w:t>
      </w:r>
      <w:r>
        <w:rPr>
          <w:szCs w:val="22"/>
        </w:rPr>
        <w:t xml:space="preserve">indicated by </w:t>
      </w:r>
      <w:r w:rsidR="00781CD3">
        <w:rPr>
          <w:szCs w:val="22"/>
        </w:rPr>
        <w:fldChar w:fldCharType="begin"/>
      </w:r>
      <w:r>
        <w:rPr>
          <w:szCs w:val="22"/>
        </w:rPr>
        <w:instrText xml:space="preserve"> REF _Ref387408183 \h </w:instrText>
      </w:r>
      <w:r w:rsidR="00781CD3">
        <w:rPr>
          <w:szCs w:val="22"/>
        </w:rPr>
      </w:r>
      <w:r w:rsidR="00781CD3">
        <w:rPr>
          <w:szCs w:val="22"/>
        </w:rPr>
        <w:fldChar w:fldCharType="separate"/>
      </w:r>
      <w:r w:rsidR="00E95E1A">
        <w:rPr>
          <w:noProof/>
          <w:lang w:eastAsia="en-GB"/>
        </w:rPr>
        <w:t>Figure 3-2</w:t>
      </w:r>
      <w:r w:rsidR="00781CD3">
        <w:rPr>
          <w:szCs w:val="22"/>
        </w:rPr>
        <w:fldChar w:fldCharType="end"/>
      </w:r>
      <w:r w:rsidRPr="002805F3">
        <w:rPr>
          <w:szCs w:val="22"/>
        </w:rPr>
        <w:t xml:space="preserve">, </w:t>
      </w:r>
      <w:r>
        <w:rPr>
          <w:szCs w:val="22"/>
        </w:rPr>
        <w:t>a</w:t>
      </w:r>
      <w:r w:rsidRPr="002805F3">
        <w:rPr>
          <w:szCs w:val="22"/>
        </w:rPr>
        <w:t xml:space="preserve"> high proportion of firms in all sectors are </w:t>
      </w:r>
      <w:r>
        <w:rPr>
          <w:szCs w:val="22"/>
        </w:rPr>
        <w:t>stand-alone operations.  The main exception to this is found in the ports and logistics sector were only 50% of businesses are single-site operations.  The dominance of single site business units reinforces the importance of SME</w:t>
      </w:r>
      <w:r w:rsidRPr="002805F3">
        <w:rPr>
          <w:szCs w:val="22"/>
        </w:rPr>
        <w:t xml:space="preserve"> </w:t>
      </w:r>
      <w:r>
        <w:rPr>
          <w:szCs w:val="22"/>
        </w:rPr>
        <w:t xml:space="preserve">activity in all of the key sectors.  It is expected that this pattern would be replicated across other sectors of the NEL economy.  </w:t>
      </w:r>
    </w:p>
    <w:p w14:paraId="3B72F47F" w14:textId="77777777" w:rsidR="008D13BD" w:rsidRPr="002805F3" w:rsidRDefault="008D13BD" w:rsidP="008D13BD">
      <w:pPr>
        <w:pStyle w:val="Caption"/>
      </w:pPr>
      <w:bookmarkStart w:id="556" w:name="_Ref387408183"/>
      <w:r>
        <w:rPr>
          <w:noProof/>
          <w:lang w:eastAsia="en-GB"/>
        </w:rPr>
        <w:t xml:space="preserve">Figure </w:t>
      </w:r>
      <w:fldSimple w:instr=" STYLEREF 1 \s  \* MERGEFORMAT ">
        <w:r w:rsidR="00E95E1A">
          <w:rPr>
            <w:noProof/>
            <w:lang w:eastAsia="en-GB"/>
          </w:rPr>
          <w:t>3</w:t>
        </w:r>
      </w:fldSimple>
      <w:r>
        <w:rPr>
          <w:noProof/>
          <w:lang w:eastAsia="en-GB"/>
        </w:rPr>
        <w:t>-</w:t>
      </w:r>
      <w:fldSimple w:instr=" SEQ Figure \* ARABIC \s 1  \* MERGEFORMAT ">
        <w:r w:rsidR="00E95E1A">
          <w:rPr>
            <w:noProof/>
            <w:lang w:eastAsia="en-GB"/>
          </w:rPr>
          <w:t>2</w:t>
        </w:r>
      </w:fldSimple>
      <w:bookmarkEnd w:id="556"/>
      <w:r>
        <w:rPr>
          <w:noProof/>
          <w:lang w:eastAsia="en-GB"/>
        </w:rPr>
        <w:tab/>
        <w:t>Type of Business</w:t>
      </w:r>
      <w:r w:rsidR="008D7250">
        <w:rPr>
          <w:noProof/>
          <w:lang w:eastAsia="en-GB"/>
        </w:rPr>
        <w:drawing>
          <wp:inline distT="0" distB="0" distL="0" distR="0" wp14:anchorId="078B8D96" wp14:editId="0FC35CA2">
            <wp:extent cx="5943600" cy="3661410"/>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41A793D" w14:textId="77777777" w:rsidR="008D13BD" w:rsidRDefault="008D13BD" w:rsidP="008D13BD">
      <w:pPr>
        <w:pStyle w:val="TableSource"/>
      </w:pPr>
      <w:r w:rsidRPr="002805F3">
        <w:t>Source: Hill Taylor and Atkins 2013. Atkins Ref: Survey –A13</w:t>
      </w:r>
    </w:p>
    <w:p w14:paraId="46A9EF7A" w14:textId="77777777" w:rsidR="003D7BD5" w:rsidRDefault="003D7BD5" w:rsidP="003D7BD5">
      <w:pPr>
        <w:jc w:val="both"/>
      </w:pPr>
      <w:r>
        <w:t>The chart below indicates that the key sectors in NEL proved resilient to the recession, with the number of firms between 2009 and 2013 remaining reasonably stable, a result also indicated by previous research</w:t>
      </w:r>
      <w:r>
        <w:rPr>
          <w:rStyle w:val="FootnoteReference"/>
        </w:rPr>
        <w:footnoteReference w:id="6"/>
      </w:r>
      <w:r>
        <w:t xml:space="preserve">.   </w:t>
      </w:r>
    </w:p>
    <w:p w14:paraId="0054FEC1" w14:textId="77777777" w:rsidR="00B63AE0" w:rsidRDefault="00B63AE0">
      <w:pPr>
        <w:spacing w:after="200" w:line="276" w:lineRule="auto"/>
        <w:rPr>
          <w:b/>
          <w:bCs/>
          <w:noProof/>
          <w:szCs w:val="18"/>
          <w:lang w:eastAsia="en-GB"/>
        </w:rPr>
      </w:pPr>
      <w:r>
        <w:rPr>
          <w:noProof/>
          <w:lang w:eastAsia="en-GB"/>
        </w:rPr>
        <w:br w:type="page"/>
      </w:r>
    </w:p>
    <w:p w14:paraId="57BDE703" w14:textId="77777777" w:rsidR="003D7BD5" w:rsidRDefault="003D7BD5" w:rsidP="003D7BD5">
      <w:pPr>
        <w:pStyle w:val="Caption"/>
        <w:jc w:val="both"/>
      </w:pPr>
      <w:r>
        <w:rPr>
          <w:noProof/>
          <w:lang w:eastAsia="en-GB"/>
        </w:rPr>
        <w:t xml:space="preserve">Figure </w:t>
      </w:r>
      <w:fldSimple w:instr=" STYLEREF 1 \s  \* MERGEFORMAT ">
        <w:r w:rsidR="00E95E1A">
          <w:rPr>
            <w:noProof/>
            <w:lang w:eastAsia="en-GB"/>
          </w:rPr>
          <w:t>3</w:t>
        </w:r>
      </w:fldSimple>
      <w:r>
        <w:rPr>
          <w:noProof/>
          <w:lang w:eastAsia="en-GB"/>
        </w:rPr>
        <w:t>-</w:t>
      </w:r>
      <w:fldSimple w:instr=" SEQ Figure \* ARABIC \s 1  \* MERGEFORMAT ">
        <w:r w:rsidR="00E95E1A">
          <w:rPr>
            <w:noProof/>
            <w:lang w:eastAsia="en-GB"/>
          </w:rPr>
          <w:t>3</w:t>
        </w:r>
      </w:fldSimple>
      <w:r>
        <w:rPr>
          <w:noProof/>
          <w:lang w:eastAsia="en-GB"/>
        </w:rPr>
        <w:tab/>
        <w:t>Key Sector Firms (2009 - 2013)</w:t>
      </w:r>
    </w:p>
    <w:p w14:paraId="2B544113" w14:textId="77777777" w:rsidR="003D7BD5" w:rsidRDefault="008D7250" w:rsidP="003D7BD5">
      <w:pPr>
        <w:jc w:val="both"/>
        <w:rPr>
          <w:b/>
        </w:rPr>
      </w:pPr>
      <w:r>
        <w:rPr>
          <w:b/>
          <w:noProof/>
          <w:lang w:eastAsia="en-GB"/>
        </w:rPr>
        <w:drawing>
          <wp:inline distT="0" distB="0" distL="0" distR="0" wp14:anchorId="54C55B9D" wp14:editId="325868AF">
            <wp:extent cx="6187044" cy="2933205"/>
            <wp:effectExtent l="0" t="0" r="0" b="0"/>
            <wp:docPr id="3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A5135BD" w14:textId="77777777" w:rsidR="008D7250" w:rsidRDefault="003D7BD5">
      <w:r>
        <w:rPr>
          <w:lang w:eastAsia="en-GB"/>
        </w:rPr>
        <w:t>Source: IDBR 2013 – Atkins Ref: IDBRanl/BNO</w:t>
      </w:r>
    </w:p>
    <w:p w14:paraId="78878A91" w14:textId="77777777" w:rsidR="008D13BD" w:rsidRPr="002805F3" w:rsidRDefault="008D13BD" w:rsidP="008D13BD">
      <w:pPr>
        <w:pStyle w:val="Heading2"/>
        <w:numPr>
          <w:ilvl w:val="1"/>
          <w:numId w:val="5"/>
        </w:numPr>
      </w:pPr>
      <w:bookmarkStart w:id="557" w:name="_Toc395103916"/>
      <w:r w:rsidRPr="002805F3">
        <w:t>Supply Chain</w:t>
      </w:r>
      <w:r>
        <w:t xml:space="preserve"> Impacts</w:t>
      </w:r>
      <w:bookmarkEnd w:id="557"/>
    </w:p>
    <w:p w14:paraId="02DBE6FF" w14:textId="77777777" w:rsidR="008D13BD" w:rsidRDefault="008D13BD" w:rsidP="008D13BD">
      <w:pPr>
        <w:pStyle w:val="BodyText"/>
      </w:pPr>
      <w:r>
        <w:t xml:space="preserve">The business survey enabled us to understand better linkages between the key sectors and other sectors of the economy.  This can be most directly demonstrated through an analysis of supply chain patterns.  As part of the survey, businesses were asked to quantify approximately how much they spend on their supply chain purchased with details provided on the broad type of goods and services bought as well as the geographical origin of these purchases. </w:t>
      </w:r>
    </w:p>
    <w:p w14:paraId="4939841A" w14:textId="77777777" w:rsidR="008D13BD" w:rsidRDefault="008D13BD" w:rsidP="008D13BD">
      <w:pPr>
        <w:pStyle w:val="BodyText"/>
      </w:pPr>
      <w:r>
        <w:t>Table 3.8 indicates that a significant proportion of supply purchases were on:</w:t>
      </w:r>
    </w:p>
    <w:p w14:paraId="3E8DAD85" w14:textId="77777777" w:rsidR="008D13BD" w:rsidRDefault="008D13BD" w:rsidP="008D13BD">
      <w:pPr>
        <w:pStyle w:val="ListBulletLast"/>
        <w:numPr>
          <w:ilvl w:val="0"/>
          <w:numId w:val="1"/>
        </w:numPr>
      </w:pPr>
      <w:r>
        <w:t>Energy and utilities.</w:t>
      </w:r>
    </w:p>
    <w:p w14:paraId="5C468A27" w14:textId="77777777" w:rsidR="008D13BD" w:rsidRDefault="008D13BD" w:rsidP="008D13BD">
      <w:pPr>
        <w:pStyle w:val="ListBulletLast"/>
        <w:numPr>
          <w:ilvl w:val="0"/>
          <w:numId w:val="1"/>
        </w:numPr>
      </w:pPr>
      <w:r>
        <w:t>Manufactured components and products.</w:t>
      </w:r>
    </w:p>
    <w:p w14:paraId="192ED4E9" w14:textId="77777777" w:rsidR="008D13BD" w:rsidRDefault="008D13BD" w:rsidP="008D13BD">
      <w:pPr>
        <w:pStyle w:val="ListBulletLast"/>
        <w:numPr>
          <w:ilvl w:val="0"/>
          <w:numId w:val="1"/>
        </w:numPr>
      </w:pPr>
      <w:r>
        <w:t>Financial and insurance services.</w:t>
      </w:r>
    </w:p>
    <w:p w14:paraId="34AAA0D9" w14:textId="77777777" w:rsidR="008D13BD" w:rsidRDefault="008D13BD" w:rsidP="008D13BD">
      <w:pPr>
        <w:pStyle w:val="ListBulletLast"/>
        <w:numPr>
          <w:ilvl w:val="0"/>
          <w:numId w:val="1"/>
        </w:numPr>
      </w:pPr>
      <w:r>
        <w:t>Professional and business services.</w:t>
      </w:r>
    </w:p>
    <w:p w14:paraId="10E97323" w14:textId="77777777" w:rsidR="008D13BD" w:rsidRDefault="008D13BD" w:rsidP="008D13BD">
      <w:pPr>
        <w:pStyle w:val="ListBulletLast"/>
        <w:numPr>
          <w:ilvl w:val="0"/>
          <w:numId w:val="1"/>
        </w:numPr>
      </w:pPr>
      <w:r>
        <w:t xml:space="preserve">Wholesale retail. </w:t>
      </w:r>
    </w:p>
    <w:p w14:paraId="66F2B212" w14:textId="77777777" w:rsidR="008D13BD" w:rsidRDefault="008D13BD" w:rsidP="008D13BD">
      <w:pPr>
        <w:pStyle w:val="BodyText"/>
      </w:pPr>
      <w:r>
        <w:t>The key exceptions to this were, as would be expected, lower spending on manufacturing by the visitor economy businesses which were compensated by higher spending on catering and food.</w:t>
      </w:r>
    </w:p>
    <w:p w14:paraId="07A64AC3" w14:textId="77777777" w:rsidR="008D7250" w:rsidRDefault="008D13BD">
      <w:pPr>
        <w:pStyle w:val="BodyText"/>
      </w:pPr>
      <w:r>
        <w:t>The scale of expenditure on these goods and services indicates the potential value of capturing as much of the supply chain as possible locally.  Table 3.9 demonstrates the extent to which each sector sources its supply chain from within the sub-region.  It shows particularly strong linkages in the visitor economy with less local capture of the supply chain value most evident in the specialist chemicals and process industries sector.  The table also shows that, as expected, the ports and logistics sector is characterised by the most geographically dispersed customer base.</w:t>
      </w:r>
    </w:p>
    <w:p w14:paraId="118ED5BD" w14:textId="77777777" w:rsidR="00863243" w:rsidRDefault="00863243">
      <w:pPr>
        <w:spacing w:after="200" w:line="276" w:lineRule="auto"/>
        <w:rPr>
          <w:b/>
          <w:bCs/>
          <w:szCs w:val="18"/>
        </w:rPr>
      </w:pPr>
      <w:r>
        <w:br w:type="page"/>
      </w:r>
    </w:p>
    <w:p w14:paraId="2FAA5E4C" w14:textId="77777777" w:rsidR="008D13BD" w:rsidRDefault="008D13BD" w:rsidP="008D13BD">
      <w:pPr>
        <w:pStyle w:val="Caption"/>
      </w:pPr>
      <w:r>
        <w:t xml:space="preserve">Table </w:t>
      </w:r>
      <w:fldSimple w:instr=" STYLEREF 1 \s  \* MERGEFORMAT ">
        <w:r w:rsidR="00E95E1A">
          <w:rPr>
            <w:noProof/>
          </w:rPr>
          <w:t>3</w:t>
        </w:r>
      </w:fldSimple>
      <w:r>
        <w:t>-</w:t>
      </w:r>
      <w:fldSimple w:instr=" SEQ Table \* ARABIC \s 1  \* MERGEFORMAT ">
        <w:r w:rsidR="00E95E1A">
          <w:rPr>
            <w:noProof/>
          </w:rPr>
          <w:t>8</w:t>
        </w:r>
      </w:fldSimple>
      <w:r>
        <w:tab/>
        <w:t xml:space="preserve">Types of Goods &amp; Services Purchased </w:t>
      </w:r>
    </w:p>
    <w:tbl>
      <w:tblPr>
        <w:tblStyle w:val="Atkins14pt"/>
        <w:tblW w:w="10060" w:type="dxa"/>
        <w:tblLook w:val="04A0" w:firstRow="1" w:lastRow="0" w:firstColumn="1" w:lastColumn="0" w:noHBand="0" w:noVBand="1"/>
      </w:tblPr>
      <w:tblGrid>
        <w:gridCol w:w="3261"/>
        <w:gridCol w:w="1427"/>
        <w:gridCol w:w="1282"/>
        <w:gridCol w:w="1611"/>
        <w:gridCol w:w="1243"/>
        <w:gridCol w:w="1236"/>
      </w:tblGrid>
      <w:tr w:rsidR="008D13BD" w:rsidRPr="002805F3" w14:paraId="6C04BB59" w14:textId="77777777" w:rsidTr="008D13B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61" w:type="dxa"/>
            <w:shd w:val="clear" w:color="auto" w:fill="BED600" w:themeFill="accent1"/>
            <w:noWrap/>
            <w:hideMark/>
          </w:tcPr>
          <w:p w14:paraId="35F04AA6" w14:textId="77777777" w:rsidR="008D13BD" w:rsidRPr="00DC3863" w:rsidRDefault="008D13BD" w:rsidP="008D13BD">
            <w:pPr>
              <w:spacing w:after="0"/>
              <w:rPr>
                <w:color w:val="000000"/>
              </w:rPr>
            </w:pPr>
            <w:r>
              <w:rPr>
                <w:color w:val="000000"/>
              </w:rPr>
              <w:t>Supply Chain Element</w:t>
            </w:r>
          </w:p>
        </w:tc>
        <w:tc>
          <w:tcPr>
            <w:tcW w:w="1427" w:type="dxa"/>
            <w:shd w:val="clear" w:color="auto" w:fill="BED600" w:themeFill="accent1"/>
            <w:noWrap/>
            <w:hideMark/>
          </w:tcPr>
          <w:p w14:paraId="5E6C8F41" w14:textId="77777777" w:rsidR="008D13BD" w:rsidRPr="00DC3863" w:rsidRDefault="008D13BD" w:rsidP="008D13BD">
            <w:pPr>
              <w:spacing w:after="0"/>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Renewables</w:t>
            </w:r>
          </w:p>
        </w:tc>
        <w:tc>
          <w:tcPr>
            <w:tcW w:w="1282" w:type="dxa"/>
            <w:shd w:val="clear" w:color="auto" w:fill="BED600" w:themeFill="accent1"/>
            <w:noWrap/>
            <w:hideMark/>
          </w:tcPr>
          <w:p w14:paraId="05C09F5C" w14:textId="77777777" w:rsidR="008D13BD" w:rsidRPr="00DC3863" w:rsidRDefault="008D13BD" w:rsidP="008D13BD">
            <w:pPr>
              <w:spacing w:after="0"/>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Ports &amp; Logistics</w:t>
            </w:r>
          </w:p>
        </w:tc>
        <w:tc>
          <w:tcPr>
            <w:tcW w:w="1611" w:type="dxa"/>
            <w:shd w:val="clear" w:color="auto" w:fill="BED600" w:themeFill="accent1"/>
            <w:noWrap/>
            <w:hideMark/>
          </w:tcPr>
          <w:p w14:paraId="49AE51BB" w14:textId="77777777" w:rsidR="008D13BD" w:rsidRPr="00DC3863" w:rsidRDefault="008D13BD" w:rsidP="008D13BD">
            <w:pPr>
              <w:spacing w:after="0"/>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Food manufacturing</w:t>
            </w:r>
          </w:p>
        </w:tc>
        <w:tc>
          <w:tcPr>
            <w:tcW w:w="1243" w:type="dxa"/>
            <w:shd w:val="clear" w:color="auto" w:fill="BED600" w:themeFill="accent1"/>
            <w:noWrap/>
            <w:hideMark/>
          </w:tcPr>
          <w:p w14:paraId="3F824D73" w14:textId="77777777" w:rsidR="008D13BD" w:rsidRPr="00DC3863" w:rsidRDefault="008D13BD" w:rsidP="008D13BD">
            <w:pPr>
              <w:spacing w:after="0"/>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Chemicals &amp; process industries</w:t>
            </w:r>
          </w:p>
        </w:tc>
        <w:tc>
          <w:tcPr>
            <w:tcW w:w="1236" w:type="dxa"/>
            <w:shd w:val="clear" w:color="auto" w:fill="BED600" w:themeFill="accent1"/>
            <w:noWrap/>
            <w:hideMark/>
          </w:tcPr>
          <w:p w14:paraId="04E1F871" w14:textId="77777777" w:rsidR="008D13BD" w:rsidRPr="00DC3863" w:rsidRDefault="008D13BD" w:rsidP="008D13BD">
            <w:pPr>
              <w:spacing w:after="0"/>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Visitor Economy &amp; Retail</w:t>
            </w:r>
          </w:p>
        </w:tc>
      </w:tr>
      <w:tr w:rsidR="008D13BD" w:rsidRPr="002805F3" w14:paraId="1075D48B"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C943D4C" w14:textId="77777777" w:rsidR="008D13BD" w:rsidRPr="00DC3863" w:rsidRDefault="008D13BD" w:rsidP="008D13BD">
            <w:pPr>
              <w:spacing w:after="0"/>
              <w:rPr>
                <w:color w:val="000000"/>
              </w:rPr>
            </w:pPr>
            <w:r w:rsidRPr="00DC3863">
              <w:rPr>
                <w:color w:val="000000"/>
              </w:rPr>
              <w:t>Energy &amp; utilities</w:t>
            </w:r>
          </w:p>
        </w:tc>
        <w:tc>
          <w:tcPr>
            <w:tcW w:w="1427" w:type="dxa"/>
            <w:noWrap/>
            <w:hideMark/>
          </w:tcPr>
          <w:p w14:paraId="2E0038BE"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17.3%</w:t>
            </w:r>
          </w:p>
        </w:tc>
        <w:tc>
          <w:tcPr>
            <w:tcW w:w="1282" w:type="dxa"/>
            <w:noWrap/>
            <w:hideMark/>
          </w:tcPr>
          <w:p w14:paraId="598DAA56"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17.0%</w:t>
            </w:r>
          </w:p>
        </w:tc>
        <w:tc>
          <w:tcPr>
            <w:tcW w:w="1611" w:type="dxa"/>
            <w:noWrap/>
            <w:hideMark/>
          </w:tcPr>
          <w:p w14:paraId="2ACC92DD"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19.0%</w:t>
            </w:r>
          </w:p>
        </w:tc>
        <w:tc>
          <w:tcPr>
            <w:tcW w:w="1243" w:type="dxa"/>
            <w:noWrap/>
            <w:hideMark/>
          </w:tcPr>
          <w:p w14:paraId="052AF82A"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15.0%</w:t>
            </w:r>
          </w:p>
        </w:tc>
        <w:tc>
          <w:tcPr>
            <w:tcW w:w="1236" w:type="dxa"/>
            <w:noWrap/>
            <w:hideMark/>
          </w:tcPr>
          <w:p w14:paraId="5C7F087F"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17.9%</w:t>
            </w:r>
          </w:p>
        </w:tc>
      </w:tr>
      <w:tr w:rsidR="008D13BD" w:rsidRPr="002805F3" w14:paraId="6B902312"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13679B43" w14:textId="77777777" w:rsidR="008D13BD" w:rsidRPr="00DC3863" w:rsidRDefault="008D13BD" w:rsidP="008D13BD">
            <w:pPr>
              <w:spacing w:after="0"/>
              <w:rPr>
                <w:color w:val="000000"/>
              </w:rPr>
            </w:pPr>
            <w:r w:rsidRPr="00DC3863">
              <w:rPr>
                <w:color w:val="000000"/>
              </w:rPr>
              <w:t>Manufactured components &amp; products</w:t>
            </w:r>
          </w:p>
        </w:tc>
        <w:tc>
          <w:tcPr>
            <w:tcW w:w="1427" w:type="dxa"/>
            <w:noWrap/>
            <w:hideMark/>
          </w:tcPr>
          <w:p w14:paraId="08BC06C0"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14.3%</w:t>
            </w:r>
          </w:p>
        </w:tc>
        <w:tc>
          <w:tcPr>
            <w:tcW w:w="1282" w:type="dxa"/>
            <w:noWrap/>
            <w:hideMark/>
          </w:tcPr>
          <w:p w14:paraId="305BAA13"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13.0%</w:t>
            </w:r>
          </w:p>
        </w:tc>
        <w:tc>
          <w:tcPr>
            <w:tcW w:w="1611" w:type="dxa"/>
            <w:noWrap/>
            <w:hideMark/>
          </w:tcPr>
          <w:p w14:paraId="479868D4"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7.9%</w:t>
            </w:r>
          </w:p>
        </w:tc>
        <w:tc>
          <w:tcPr>
            <w:tcW w:w="1243" w:type="dxa"/>
            <w:noWrap/>
            <w:hideMark/>
          </w:tcPr>
          <w:p w14:paraId="3CFA6342"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11.5%</w:t>
            </w:r>
          </w:p>
        </w:tc>
        <w:tc>
          <w:tcPr>
            <w:tcW w:w="1236" w:type="dxa"/>
            <w:noWrap/>
            <w:hideMark/>
          </w:tcPr>
          <w:p w14:paraId="6CBEB770"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6.1%</w:t>
            </w:r>
          </w:p>
        </w:tc>
      </w:tr>
      <w:tr w:rsidR="008D13BD" w:rsidRPr="002805F3" w14:paraId="7E6241D9"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139E4C39" w14:textId="77777777" w:rsidR="008D13BD" w:rsidRPr="00DC3863" w:rsidRDefault="008D13BD" w:rsidP="008D13BD">
            <w:pPr>
              <w:spacing w:after="0"/>
              <w:rPr>
                <w:color w:val="000000"/>
              </w:rPr>
            </w:pPr>
            <w:r w:rsidRPr="00DC3863">
              <w:rPr>
                <w:color w:val="000000"/>
              </w:rPr>
              <w:t>Financial &amp; insurance services</w:t>
            </w:r>
          </w:p>
        </w:tc>
        <w:tc>
          <w:tcPr>
            <w:tcW w:w="1427" w:type="dxa"/>
            <w:noWrap/>
            <w:hideMark/>
          </w:tcPr>
          <w:p w14:paraId="3ADEE2BA"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17.3%</w:t>
            </w:r>
          </w:p>
        </w:tc>
        <w:tc>
          <w:tcPr>
            <w:tcW w:w="1282" w:type="dxa"/>
            <w:noWrap/>
            <w:hideMark/>
          </w:tcPr>
          <w:p w14:paraId="13ACC002"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15.2%</w:t>
            </w:r>
          </w:p>
        </w:tc>
        <w:tc>
          <w:tcPr>
            <w:tcW w:w="1611" w:type="dxa"/>
            <w:noWrap/>
            <w:hideMark/>
          </w:tcPr>
          <w:p w14:paraId="654EB64F"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17.8%</w:t>
            </w:r>
          </w:p>
        </w:tc>
        <w:tc>
          <w:tcPr>
            <w:tcW w:w="1243" w:type="dxa"/>
            <w:noWrap/>
            <w:hideMark/>
          </w:tcPr>
          <w:p w14:paraId="17B4EDA3"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14.2%</w:t>
            </w:r>
          </w:p>
        </w:tc>
        <w:tc>
          <w:tcPr>
            <w:tcW w:w="1236" w:type="dxa"/>
            <w:noWrap/>
            <w:hideMark/>
          </w:tcPr>
          <w:p w14:paraId="130D4023"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16.6%</w:t>
            </w:r>
          </w:p>
        </w:tc>
      </w:tr>
      <w:tr w:rsidR="008D13BD" w:rsidRPr="002805F3" w14:paraId="0DC67AAB"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1A851872" w14:textId="77777777" w:rsidR="008D13BD" w:rsidRPr="00DC3863" w:rsidRDefault="008D13BD" w:rsidP="008D13BD">
            <w:pPr>
              <w:spacing w:after="0"/>
              <w:rPr>
                <w:color w:val="000000"/>
              </w:rPr>
            </w:pPr>
            <w:r w:rsidRPr="00DC3863">
              <w:rPr>
                <w:color w:val="000000"/>
              </w:rPr>
              <w:t>Business or professional services;</w:t>
            </w:r>
          </w:p>
        </w:tc>
        <w:tc>
          <w:tcPr>
            <w:tcW w:w="1427" w:type="dxa"/>
            <w:noWrap/>
            <w:hideMark/>
          </w:tcPr>
          <w:p w14:paraId="7F079591"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9.2%</w:t>
            </w:r>
          </w:p>
        </w:tc>
        <w:tc>
          <w:tcPr>
            <w:tcW w:w="1282" w:type="dxa"/>
            <w:noWrap/>
            <w:hideMark/>
          </w:tcPr>
          <w:p w14:paraId="6101D8CE"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11.8%</w:t>
            </w:r>
          </w:p>
        </w:tc>
        <w:tc>
          <w:tcPr>
            <w:tcW w:w="1611" w:type="dxa"/>
            <w:noWrap/>
            <w:hideMark/>
          </w:tcPr>
          <w:p w14:paraId="1EE73DDD"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9.1%</w:t>
            </w:r>
          </w:p>
        </w:tc>
        <w:tc>
          <w:tcPr>
            <w:tcW w:w="1243" w:type="dxa"/>
            <w:noWrap/>
            <w:hideMark/>
          </w:tcPr>
          <w:p w14:paraId="283D17C3"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10.6%</w:t>
            </w:r>
          </w:p>
        </w:tc>
        <w:tc>
          <w:tcPr>
            <w:tcW w:w="1236" w:type="dxa"/>
            <w:noWrap/>
            <w:hideMark/>
          </w:tcPr>
          <w:p w14:paraId="4AC54A76"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7.8%</w:t>
            </w:r>
          </w:p>
        </w:tc>
      </w:tr>
      <w:tr w:rsidR="008D13BD" w:rsidRPr="002805F3" w14:paraId="01AFA9E1"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125CB7E2" w14:textId="77777777" w:rsidR="008D13BD" w:rsidRPr="00DC3863" w:rsidRDefault="008D13BD" w:rsidP="008D13BD">
            <w:pPr>
              <w:spacing w:after="0"/>
              <w:rPr>
                <w:color w:val="000000"/>
              </w:rPr>
            </w:pPr>
            <w:r w:rsidRPr="00DC3863">
              <w:rPr>
                <w:color w:val="000000"/>
              </w:rPr>
              <w:t>Real estate services</w:t>
            </w:r>
          </w:p>
        </w:tc>
        <w:tc>
          <w:tcPr>
            <w:tcW w:w="1427" w:type="dxa"/>
            <w:noWrap/>
            <w:hideMark/>
          </w:tcPr>
          <w:p w14:paraId="0A0710B4"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1.0%</w:t>
            </w:r>
          </w:p>
        </w:tc>
        <w:tc>
          <w:tcPr>
            <w:tcW w:w="1282" w:type="dxa"/>
            <w:noWrap/>
            <w:hideMark/>
          </w:tcPr>
          <w:p w14:paraId="4C187453"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2.2%</w:t>
            </w:r>
          </w:p>
        </w:tc>
        <w:tc>
          <w:tcPr>
            <w:tcW w:w="1611" w:type="dxa"/>
            <w:noWrap/>
            <w:hideMark/>
          </w:tcPr>
          <w:p w14:paraId="61337110"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1.2%</w:t>
            </w:r>
          </w:p>
        </w:tc>
        <w:tc>
          <w:tcPr>
            <w:tcW w:w="1243" w:type="dxa"/>
            <w:noWrap/>
            <w:hideMark/>
          </w:tcPr>
          <w:p w14:paraId="0D8555A5"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3.5%</w:t>
            </w:r>
          </w:p>
        </w:tc>
        <w:tc>
          <w:tcPr>
            <w:tcW w:w="1236" w:type="dxa"/>
            <w:noWrap/>
            <w:hideMark/>
          </w:tcPr>
          <w:p w14:paraId="4F3364D2"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0.2%</w:t>
            </w:r>
          </w:p>
        </w:tc>
      </w:tr>
      <w:tr w:rsidR="008D13BD" w:rsidRPr="002805F3" w14:paraId="2A5B59C1"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4B14CB32" w14:textId="77777777" w:rsidR="008D13BD" w:rsidRPr="00DC3863" w:rsidRDefault="008D13BD" w:rsidP="008D13BD">
            <w:pPr>
              <w:spacing w:after="0"/>
              <w:rPr>
                <w:color w:val="000000"/>
              </w:rPr>
            </w:pPr>
            <w:r w:rsidRPr="00DC3863">
              <w:rPr>
                <w:color w:val="000000"/>
              </w:rPr>
              <w:t>Construction services</w:t>
            </w:r>
          </w:p>
        </w:tc>
        <w:tc>
          <w:tcPr>
            <w:tcW w:w="1427" w:type="dxa"/>
            <w:noWrap/>
            <w:hideMark/>
          </w:tcPr>
          <w:p w14:paraId="77C40851"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6.1%</w:t>
            </w:r>
          </w:p>
        </w:tc>
        <w:tc>
          <w:tcPr>
            <w:tcW w:w="1282" w:type="dxa"/>
            <w:noWrap/>
            <w:hideMark/>
          </w:tcPr>
          <w:p w14:paraId="36800363"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2.5%</w:t>
            </w:r>
          </w:p>
        </w:tc>
        <w:tc>
          <w:tcPr>
            <w:tcW w:w="1611" w:type="dxa"/>
            <w:noWrap/>
            <w:hideMark/>
          </w:tcPr>
          <w:p w14:paraId="680EBF75"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2.0%</w:t>
            </w:r>
          </w:p>
        </w:tc>
        <w:tc>
          <w:tcPr>
            <w:tcW w:w="1243" w:type="dxa"/>
            <w:noWrap/>
            <w:hideMark/>
          </w:tcPr>
          <w:p w14:paraId="18D3EB2F"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4.4%</w:t>
            </w:r>
          </w:p>
        </w:tc>
        <w:tc>
          <w:tcPr>
            <w:tcW w:w="1236" w:type="dxa"/>
            <w:noWrap/>
            <w:hideMark/>
          </w:tcPr>
          <w:p w14:paraId="14F23155"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2.0%</w:t>
            </w:r>
          </w:p>
        </w:tc>
      </w:tr>
      <w:tr w:rsidR="008D13BD" w:rsidRPr="002805F3" w14:paraId="5C104CBA"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D8F0CB8" w14:textId="77777777" w:rsidR="008D13BD" w:rsidRPr="00DC3863" w:rsidRDefault="008D13BD" w:rsidP="008D13BD">
            <w:pPr>
              <w:spacing w:after="0"/>
              <w:rPr>
                <w:color w:val="000000"/>
              </w:rPr>
            </w:pPr>
            <w:r w:rsidRPr="00DC3863">
              <w:rPr>
                <w:color w:val="000000"/>
              </w:rPr>
              <w:t>Wholesale retail goods</w:t>
            </w:r>
          </w:p>
        </w:tc>
        <w:tc>
          <w:tcPr>
            <w:tcW w:w="1427" w:type="dxa"/>
            <w:noWrap/>
            <w:hideMark/>
          </w:tcPr>
          <w:p w14:paraId="43E7ACE2"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8.2%</w:t>
            </w:r>
          </w:p>
        </w:tc>
        <w:tc>
          <w:tcPr>
            <w:tcW w:w="1282" w:type="dxa"/>
            <w:noWrap/>
            <w:hideMark/>
          </w:tcPr>
          <w:p w14:paraId="29E0433A"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6.5%</w:t>
            </w:r>
          </w:p>
        </w:tc>
        <w:tc>
          <w:tcPr>
            <w:tcW w:w="1611" w:type="dxa"/>
            <w:noWrap/>
            <w:hideMark/>
          </w:tcPr>
          <w:p w14:paraId="1B7FDBD8"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10.3%</w:t>
            </w:r>
          </w:p>
        </w:tc>
        <w:tc>
          <w:tcPr>
            <w:tcW w:w="1243" w:type="dxa"/>
            <w:noWrap/>
            <w:hideMark/>
          </w:tcPr>
          <w:p w14:paraId="1321A3CB"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8.8%</w:t>
            </w:r>
          </w:p>
        </w:tc>
        <w:tc>
          <w:tcPr>
            <w:tcW w:w="1236" w:type="dxa"/>
            <w:noWrap/>
            <w:hideMark/>
          </w:tcPr>
          <w:p w14:paraId="0C9570AD"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14.9%</w:t>
            </w:r>
          </w:p>
        </w:tc>
      </w:tr>
      <w:tr w:rsidR="008D13BD" w:rsidRPr="002805F3" w14:paraId="5840CC46"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85C5807" w14:textId="77777777" w:rsidR="008D13BD" w:rsidRPr="00DC3863" w:rsidRDefault="008D13BD" w:rsidP="008D13BD">
            <w:pPr>
              <w:spacing w:after="0"/>
              <w:rPr>
                <w:color w:val="000000"/>
              </w:rPr>
            </w:pPr>
            <w:r w:rsidRPr="00DC3863">
              <w:rPr>
                <w:color w:val="000000"/>
              </w:rPr>
              <w:t>Retail services (high street)</w:t>
            </w:r>
          </w:p>
        </w:tc>
        <w:tc>
          <w:tcPr>
            <w:tcW w:w="1427" w:type="dxa"/>
            <w:noWrap/>
            <w:hideMark/>
          </w:tcPr>
          <w:p w14:paraId="09AA0A4B"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1.0%</w:t>
            </w:r>
          </w:p>
        </w:tc>
        <w:tc>
          <w:tcPr>
            <w:tcW w:w="1282" w:type="dxa"/>
            <w:noWrap/>
            <w:hideMark/>
          </w:tcPr>
          <w:p w14:paraId="5B599B90"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0.6%</w:t>
            </w:r>
          </w:p>
        </w:tc>
        <w:tc>
          <w:tcPr>
            <w:tcW w:w="1611" w:type="dxa"/>
            <w:noWrap/>
            <w:hideMark/>
          </w:tcPr>
          <w:p w14:paraId="17B1C59F"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0.0%</w:t>
            </w:r>
          </w:p>
        </w:tc>
        <w:tc>
          <w:tcPr>
            <w:tcW w:w="1243" w:type="dxa"/>
            <w:noWrap/>
            <w:hideMark/>
          </w:tcPr>
          <w:p w14:paraId="19F7243B"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0.9%</w:t>
            </w:r>
          </w:p>
        </w:tc>
        <w:tc>
          <w:tcPr>
            <w:tcW w:w="1236" w:type="dxa"/>
            <w:noWrap/>
            <w:hideMark/>
          </w:tcPr>
          <w:p w14:paraId="39359924"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1.7%</w:t>
            </w:r>
          </w:p>
        </w:tc>
      </w:tr>
      <w:tr w:rsidR="008D13BD" w:rsidRPr="002805F3" w14:paraId="48E82E87"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48E97D3C" w14:textId="77777777" w:rsidR="008D13BD" w:rsidRPr="00DC3863" w:rsidRDefault="008D13BD" w:rsidP="008D13BD">
            <w:pPr>
              <w:spacing w:after="0"/>
              <w:rPr>
                <w:color w:val="000000"/>
              </w:rPr>
            </w:pPr>
            <w:r w:rsidRPr="00DC3863">
              <w:rPr>
                <w:color w:val="000000"/>
              </w:rPr>
              <w:t>Retail - other retail goods &amp; services</w:t>
            </w:r>
          </w:p>
        </w:tc>
        <w:tc>
          <w:tcPr>
            <w:tcW w:w="1427" w:type="dxa"/>
            <w:noWrap/>
            <w:hideMark/>
          </w:tcPr>
          <w:p w14:paraId="40763E8A"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2.0%</w:t>
            </w:r>
          </w:p>
        </w:tc>
        <w:tc>
          <w:tcPr>
            <w:tcW w:w="1282" w:type="dxa"/>
            <w:noWrap/>
            <w:hideMark/>
          </w:tcPr>
          <w:p w14:paraId="134A0283"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1.2%</w:t>
            </w:r>
          </w:p>
        </w:tc>
        <w:tc>
          <w:tcPr>
            <w:tcW w:w="1611" w:type="dxa"/>
            <w:noWrap/>
            <w:hideMark/>
          </w:tcPr>
          <w:p w14:paraId="194F0EEB"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1.2%</w:t>
            </w:r>
          </w:p>
        </w:tc>
        <w:tc>
          <w:tcPr>
            <w:tcW w:w="1243" w:type="dxa"/>
            <w:noWrap/>
            <w:hideMark/>
          </w:tcPr>
          <w:p w14:paraId="08FC111C"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0.9%</w:t>
            </w:r>
          </w:p>
        </w:tc>
        <w:tc>
          <w:tcPr>
            <w:tcW w:w="1236" w:type="dxa"/>
            <w:noWrap/>
            <w:hideMark/>
          </w:tcPr>
          <w:p w14:paraId="49291A71"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1.9%</w:t>
            </w:r>
          </w:p>
        </w:tc>
      </w:tr>
      <w:tr w:rsidR="008D13BD" w:rsidRPr="002805F3" w14:paraId="1411C9AC"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E4DC3D8" w14:textId="77777777" w:rsidR="008D13BD" w:rsidRPr="00DC3863" w:rsidRDefault="008D13BD" w:rsidP="008D13BD">
            <w:pPr>
              <w:spacing w:after="0"/>
              <w:rPr>
                <w:color w:val="000000"/>
              </w:rPr>
            </w:pPr>
            <w:r w:rsidRPr="00DC3863">
              <w:rPr>
                <w:color w:val="000000"/>
              </w:rPr>
              <w:t>Catering and food</w:t>
            </w:r>
          </w:p>
        </w:tc>
        <w:tc>
          <w:tcPr>
            <w:tcW w:w="1427" w:type="dxa"/>
            <w:noWrap/>
            <w:hideMark/>
          </w:tcPr>
          <w:p w14:paraId="585EDDEE"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2.0%</w:t>
            </w:r>
          </w:p>
        </w:tc>
        <w:tc>
          <w:tcPr>
            <w:tcW w:w="1282" w:type="dxa"/>
            <w:noWrap/>
            <w:hideMark/>
          </w:tcPr>
          <w:p w14:paraId="4A74D099"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2.8%</w:t>
            </w:r>
          </w:p>
        </w:tc>
        <w:tc>
          <w:tcPr>
            <w:tcW w:w="1611" w:type="dxa"/>
            <w:noWrap/>
            <w:hideMark/>
          </w:tcPr>
          <w:p w14:paraId="7E734EF3"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15.0%</w:t>
            </w:r>
          </w:p>
        </w:tc>
        <w:tc>
          <w:tcPr>
            <w:tcW w:w="1243" w:type="dxa"/>
            <w:noWrap/>
            <w:hideMark/>
          </w:tcPr>
          <w:p w14:paraId="28A8CA86"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3.5%</w:t>
            </w:r>
          </w:p>
        </w:tc>
        <w:tc>
          <w:tcPr>
            <w:tcW w:w="1236" w:type="dxa"/>
            <w:noWrap/>
            <w:hideMark/>
          </w:tcPr>
          <w:p w14:paraId="6E6E2F19"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14.0%</w:t>
            </w:r>
          </w:p>
        </w:tc>
      </w:tr>
      <w:tr w:rsidR="008D13BD" w:rsidRPr="002805F3" w14:paraId="1CC3262F"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9727B11" w14:textId="77777777" w:rsidR="008D13BD" w:rsidRPr="00DC3863" w:rsidRDefault="008D13BD" w:rsidP="008D13BD">
            <w:pPr>
              <w:spacing w:after="0"/>
              <w:rPr>
                <w:color w:val="000000"/>
              </w:rPr>
            </w:pPr>
            <w:r w:rsidRPr="00DC3863">
              <w:rPr>
                <w:color w:val="000000"/>
              </w:rPr>
              <w:t>Education &amp; research</w:t>
            </w:r>
          </w:p>
        </w:tc>
        <w:tc>
          <w:tcPr>
            <w:tcW w:w="1427" w:type="dxa"/>
            <w:noWrap/>
            <w:hideMark/>
          </w:tcPr>
          <w:p w14:paraId="07E7FBC5"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6.1%</w:t>
            </w:r>
          </w:p>
        </w:tc>
        <w:tc>
          <w:tcPr>
            <w:tcW w:w="1282" w:type="dxa"/>
            <w:noWrap/>
            <w:hideMark/>
          </w:tcPr>
          <w:p w14:paraId="69B257B5"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5.9%</w:t>
            </w:r>
          </w:p>
        </w:tc>
        <w:tc>
          <w:tcPr>
            <w:tcW w:w="1611" w:type="dxa"/>
            <w:noWrap/>
            <w:hideMark/>
          </w:tcPr>
          <w:p w14:paraId="79DB9BDC"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3.2%</w:t>
            </w:r>
          </w:p>
        </w:tc>
        <w:tc>
          <w:tcPr>
            <w:tcW w:w="1243" w:type="dxa"/>
            <w:noWrap/>
            <w:hideMark/>
          </w:tcPr>
          <w:p w14:paraId="78F73058"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5.3%</w:t>
            </w:r>
          </w:p>
        </w:tc>
        <w:tc>
          <w:tcPr>
            <w:tcW w:w="1236" w:type="dxa"/>
            <w:noWrap/>
            <w:hideMark/>
          </w:tcPr>
          <w:p w14:paraId="3E068FB0"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2.8%</w:t>
            </w:r>
          </w:p>
        </w:tc>
      </w:tr>
      <w:tr w:rsidR="008D13BD" w:rsidRPr="002805F3" w14:paraId="542A1B42"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59CAB59" w14:textId="77777777" w:rsidR="008D13BD" w:rsidRPr="00DC3863" w:rsidRDefault="008D13BD" w:rsidP="008D13BD">
            <w:pPr>
              <w:spacing w:after="0"/>
              <w:rPr>
                <w:color w:val="000000"/>
              </w:rPr>
            </w:pPr>
            <w:r w:rsidRPr="00DC3863">
              <w:rPr>
                <w:color w:val="000000"/>
              </w:rPr>
              <w:t>Public sector services</w:t>
            </w:r>
          </w:p>
        </w:tc>
        <w:tc>
          <w:tcPr>
            <w:tcW w:w="1427" w:type="dxa"/>
            <w:noWrap/>
            <w:hideMark/>
          </w:tcPr>
          <w:p w14:paraId="666639BD"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3.1%</w:t>
            </w:r>
          </w:p>
        </w:tc>
        <w:tc>
          <w:tcPr>
            <w:tcW w:w="1282" w:type="dxa"/>
            <w:noWrap/>
            <w:hideMark/>
          </w:tcPr>
          <w:p w14:paraId="7AC201A4"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1.5%</w:t>
            </w:r>
          </w:p>
        </w:tc>
        <w:tc>
          <w:tcPr>
            <w:tcW w:w="1611" w:type="dxa"/>
            <w:noWrap/>
            <w:hideMark/>
          </w:tcPr>
          <w:p w14:paraId="7FC5E5B0"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1.2%</w:t>
            </w:r>
          </w:p>
        </w:tc>
        <w:tc>
          <w:tcPr>
            <w:tcW w:w="1243" w:type="dxa"/>
            <w:noWrap/>
            <w:hideMark/>
          </w:tcPr>
          <w:p w14:paraId="66098D8B"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1.8%</w:t>
            </w:r>
          </w:p>
        </w:tc>
        <w:tc>
          <w:tcPr>
            <w:tcW w:w="1236" w:type="dxa"/>
            <w:noWrap/>
            <w:hideMark/>
          </w:tcPr>
          <w:p w14:paraId="1787EA09"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1.9%</w:t>
            </w:r>
          </w:p>
        </w:tc>
      </w:tr>
      <w:tr w:rsidR="008D13BD" w:rsidRPr="002805F3" w14:paraId="29AA223C"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6E649175" w14:textId="77777777" w:rsidR="008D13BD" w:rsidRPr="00DC3863" w:rsidRDefault="008D13BD" w:rsidP="008D13BD">
            <w:pPr>
              <w:spacing w:after="0"/>
              <w:rPr>
                <w:color w:val="000000"/>
              </w:rPr>
            </w:pPr>
            <w:r w:rsidRPr="00DC3863">
              <w:rPr>
                <w:color w:val="000000"/>
              </w:rPr>
              <w:t>Leisure and tourism services</w:t>
            </w:r>
          </w:p>
        </w:tc>
        <w:tc>
          <w:tcPr>
            <w:tcW w:w="1427" w:type="dxa"/>
            <w:noWrap/>
            <w:hideMark/>
          </w:tcPr>
          <w:p w14:paraId="232D3795"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0.0%</w:t>
            </w:r>
          </w:p>
        </w:tc>
        <w:tc>
          <w:tcPr>
            <w:tcW w:w="1282" w:type="dxa"/>
            <w:noWrap/>
            <w:hideMark/>
          </w:tcPr>
          <w:p w14:paraId="18BA0F32"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0.6%</w:t>
            </w:r>
          </w:p>
        </w:tc>
        <w:tc>
          <w:tcPr>
            <w:tcW w:w="1611" w:type="dxa"/>
            <w:noWrap/>
            <w:hideMark/>
          </w:tcPr>
          <w:p w14:paraId="34E5B041"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1.2%</w:t>
            </w:r>
          </w:p>
        </w:tc>
        <w:tc>
          <w:tcPr>
            <w:tcW w:w="1243" w:type="dxa"/>
            <w:noWrap/>
            <w:hideMark/>
          </w:tcPr>
          <w:p w14:paraId="6AA78534"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0.0%</w:t>
            </w:r>
          </w:p>
        </w:tc>
        <w:tc>
          <w:tcPr>
            <w:tcW w:w="1236" w:type="dxa"/>
            <w:noWrap/>
            <w:hideMark/>
          </w:tcPr>
          <w:p w14:paraId="37AE02B1"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6.0%</w:t>
            </w:r>
          </w:p>
        </w:tc>
      </w:tr>
      <w:tr w:rsidR="008D13BD" w:rsidRPr="002805F3" w14:paraId="4A33396C"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EF01AC7" w14:textId="77777777" w:rsidR="008D13BD" w:rsidRPr="00DC3863" w:rsidRDefault="008D13BD" w:rsidP="008D13BD">
            <w:pPr>
              <w:spacing w:after="0"/>
              <w:rPr>
                <w:color w:val="000000"/>
              </w:rPr>
            </w:pPr>
            <w:r w:rsidRPr="00DC3863">
              <w:rPr>
                <w:color w:val="000000"/>
              </w:rPr>
              <w:t>Logistics, freight service, storage &amp; distribution services</w:t>
            </w:r>
          </w:p>
        </w:tc>
        <w:tc>
          <w:tcPr>
            <w:tcW w:w="1427" w:type="dxa"/>
            <w:noWrap/>
            <w:hideMark/>
          </w:tcPr>
          <w:p w14:paraId="5C405354"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5.1%</w:t>
            </w:r>
          </w:p>
        </w:tc>
        <w:tc>
          <w:tcPr>
            <w:tcW w:w="1282" w:type="dxa"/>
            <w:noWrap/>
            <w:hideMark/>
          </w:tcPr>
          <w:p w14:paraId="2AC9B447"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10.2%</w:t>
            </w:r>
          </w:p>
        </w:tc>
        <w:tc>
          <w:tcPr>
            <w:tcW w:w="1611" w:type="dxa"/>
            <w:noWrap/>
            <w:hideMark/>
          </w:tcPr>
          <w:p w14:paraId="1715DDD0"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7.9%</w:t>
            </w:r>
          </w:p>
        </w:tc>
        <w:tc>
          <w:tcPr>
            <w:tcW w:w="1243" w:type="dxa"/>
            <w:noWrap/>
            <w:hideMark/>
          </w:tcPr>
          <w:p w14:paraId="3CEB3C1F"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9.7%</w:t>
            </w:r>
          </w:p>
        </w:tc>
        <w:tc>
          <w:tcPr>
            <w:tcW w:w="1236" w:type="dxa"/>
            <w:noWrap/>
            <w:hideMark/>
          </w:tcPr>
          <w:p w14:paraId="276E36A6"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2.4%</w:t>
            </w:r>
          </w:p>
        </w:tc>
      </w:tr>
      <w:tr w:rsidR="008D13BD" w:rsidRPr="002805F3" w14:paraId="12E6C824"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A2ECA23" w14:textId="77777777" w:rsidR="008D13BD" w:rsidRPr="00DC3863" w:rsidRDefault="008D13BD" w:rsidP="008D13BD">
            <w:pPr>
              <w:spacing w:after="0"/>
              <w:rPr>
                <w:color w:val="000000"/>
              </w:rPr>
            </w:pPr>
            <w:r w:rsidRPr="00DC3863">
              <w:rPr>
                <w:color w:val="000000"/>
              </w:rPr>
              <w:t>Other transport services</w:t>
            </w:r>
          </w:p>
        </w:tc>
        <w:tc>
          <w:tcPr>
            <w:tcW w:w="1427" w:type="dxa"/>
            <w:noWrap/>
            <w:hideMark/>
          </w:tcPr>
          <w:p w14:paraId="600D7BC0"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5.1%</w:t>
            </w:r>
          </w:p>
        </w:tc>
        <w:tc>
          <w:tcPr>
            <w:tcW w:w="1282" w:type="dxa"/>
            <w:noWrap/>
            <w:hideMark/>
          </w:tcPr>
          <w:p w14:paraId="00516931"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5.9%</w:t>
            </w:r>
          </w:p>
        </w:tc>
        <w:tc>
          <w:tcPr>
            <w:tcW w:w="1611" w:type="dxa"/>
            <w:noWrap/>
            <w:hideMark/>
          </w:tcPr>
          <w:p w14:paraId="4E3D3A9E"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2.8%</w:t>
            </w:r>
          </w:p>
        </w:tc>
        <w:tc>
          <w:tcPr>
            <w:tcW w:w="1243" w:type="dxa"/>
            <w:noWrap/>
            <w:hideMark/>
          </w:tcPr>
          <w:p w14:paraId="1DFE939F"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5.3%</w:t>
            </w:r>
          </w:p>
        </w:tc>
        <w:tc>
          <w:tcPr>
            <w:tcW w:w="1236" w:type="dxa"/>
            <w:noWrap/>
            <w:hideMark/>
          </w:tcPr>
          <w:p w14:paraId="4A7202EB"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1.5%</w:t>
            </w:r>
          </w:p>
        </w:tc>
      </w:tr>
      <w:tr w:rsidR="008D13BD" w:rsidRPr="002805F3" w14:paraId="5E844949"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3A98CD98" w14:textId="77777777" w:rsidR="008D13BD" w:rsidRPr="00DC3863" w:rsidRDefault="008D13BD" w:rsidP="008D13BD">
            <w:pPr>
              <w:spacing w:after="0"/>
              <w:rPr>
                <w:color w:val="000000"/>
              </w:rPr>
            </w:pPr>
            <w:r w:rsidRPr="00DC3863">
              <w:rPr>
                <w:color w:val="000000"/>
              </w:rPr>
              <w:t>Minerals &amp; aggregates supply</w:t>
            </w:r>
          </w:p>
        </w:tc>
        <w:tc>
          <w:tcPr>
            <w:tcW w:w="1427" w:type="dxa"/>
            <w:noWrap/>
            <w:hideMark/>
          </w:tcPr>
          <w:p w14:paraId="131402C2"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2.0%</w:t>
            </w:r>
          </w:p>
        </w:tc>
        <w:tc>
          <w:tcPr>
            <w:tcW w:w="1282" w:type="dxa"/>
            <w:noWrap/>
            <w:hideMark/>
          </w:tcPr>
          <w:p w14:paraId="01BA8B58"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1.2%</w:t>
            </w:r>
          </w:p>
        </w:tc>
        <w:tc>
          <w:tcPr>
            <w:tcW w:w="1611" w:type="dxa"/>
            <w:noWrap/>
            <w:hideMark/>
          </w:tcPr>
          <w:p w14:paraId="6C8071A7"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0.4%</w:t>
            </w:r>
          </w:p>
        </w:tc>
        <w:tc>
          <w:tcPr>
            <w:tcW w:w="1243" w:type="dxa"/>
            <w:noWrap/>
            <w:hideMark/>
          </w:tcPr>
          <w:p w14:paraId="169506D7"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3.5%</w:t>
            </w:r>
          </w:p>
        </w:tc>
        <w:tc>
          <w:tcPr>
            <w:tcW w:w="1236" w:type="dxa"/>
            <w:noWrap/>
            <w:hideMark/>
          </w:tcPr>
          <w:p w14:paraId="6E341130"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0.4%</w:t>
            </w:r>
          </w:p>
        </w:tc>
      </w:tr>
      <w:tr w:rsidR="008D13BD" w:rsidRPr="002805F3" w14:paraId="6FB68A3B"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13FC5043" w14:textId="77777777" w:rsidR="008D13BD" w:rsidRPr="00DC3863" w:rsidRDefault="008D13BD" w:rsidP="008D13BD">
            <w:pPr>
              <w:spacing w:after="0"/>
              <w:rPr>
                <w:color w:val="000000"/>
              </w:rPr>
            </w:pPr>
            <w:r w:rsidRPr="00DC3863">
              <w:rPr>
                <w:color w:val="000000"/>
              </w:rPr>
              <w:t>Other</w:t>
            </w:r>
          </w:p>
        </w:tc>
        <w:tc>
          <w:tcPr>
            <w:tcW w:w="1427" w:type="dxa"/>
            <w:noWrap/>
            <w:hideMark/>
          </w:tcPr>
          <w:p w14:paraId="519FCC8B"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0.0%</w:t>
            </w:r>
          </w:p>
        </w:tc>
        <w:tc>
          <w:tcPr>
            <w:tcW w:w="1282" w:type="dxa"/>
            <w:noWrap/>
            <w:hideMark/>
          </w:tcPr>
          <w:p w14:paraId="7A76BECB"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1.9%</w:t>
            </w:r>
          </w:p>
        </w:tc>
        <w:tc>
          <w:tcPr>
            <w:tcW w:w="1611" w:type="dxa"/>
            <w:noWrap/>
            <w:hideMark/>
          </w:tcPr>
          <w:p w14:paraId="38826AD5"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0.0%</w:t>
            </w:r>
          </w:p>
        </w:tc>
        <w:tc>
          <w:tcPr>
            <w:tcW w:w="1243" w:type="dxa"/>
            <w:noWrap/>
            <w:hideMark/>
          </w:tcPr>
          <w:p w14:paraId="7E49353B"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0.9%</w:t>
            </w:r>
          </w:p>
        </w:tc>
        <w:tc>
          <w:tcPr>
            <w:tcW w:w="1236" w:type="dxa"/>
            <w:noWrap/>
            <w:hideMark/>
          </w:tcPr>
          <w:p w14:paraId="598C200D" w14:textId="77777777" w:rsidR="008D13BD" w:rsidRPr="00DC3863"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2.0%</w:t>
            </w:r>
          </w:p>
        </w:tc>
      </w:tr>
    </w:tbl>
    <w:p w14:paraId="48E1EEC5" w14:textId="77777777" w:rsidR="008D13BD" w:rsidRPr="002805F3" w:rsidRDefault="008D13BD" w:rsidP="008D13BD">
      <w:pPr>
        <w:pStyle w:val="TableSource"/>
      </w:pPr>
      <w:r w:rsidRPr="002805F3">
        <w:t xml:space="preserve">Source: Hill Taylor </w:t>
      </w:r>
      <w:r>
        <w:t>&amp;</w:t>
      </w:r>
      <w:r w:rsidRPr="002805F3">
        <w:t xml:space="preserve"> Atkins 2013. Atkins Ref: Survey –A13</w:t>
      </w:r>
      <w:r>
        <w:t xml:space="preserve">. Note: Figures do not add up to 100% because of small results being excluded </w:t>
      </w:r>
    </w:p>
    <w:p w14:paraId="1E91E6CB" w14:textId="77777777" w:rsidR="008D13BD" w:rsidRDefault="008D13BD" w:rsidP="008D13BD">
      <w:pPr>
        <w:pStyle w:val="Caption"/>
      </w:pPr>
      <w:bookmarkStart w:id="558" w:name="_Ref387408352"/>
      <w:r>
        <w:t xml:space="preserve">Table </w:t>
      </w:r>
      <w:fldSimple w:instr=" STYLEREF 1 \s  \* MERGEFORMAT ">
        <w:r w:rsidR="00E95E1A">
          <w:rPr>
            <w:noProof/>
          </w:rPr>
          <w:t>3</w:t>
        </w:r>
      </w:fldSimple>
      <w:r>
        <w:t>-</w:t>
      </w:r>
      <w:fldSimple w:instr=" SEQ Table \* ARABIC \s 1  \* MERGEFORMAT ">
        <w:r w:rsidR="00E95E1A">
          <w:rPr>
            <w:noProof/>
          </w:rPr>
          <w:t>9</w:t>
        </w:r>
      </w:fldSimple>
      <w:bookmarkEnd w:id="558"/>
      <w:r>
        <w:tab/>
        <w:t xml:space="preserve">Location of Suppliers &amp; Clients </w:t>
      </w:r>
    </w:p>
    <w:tbl>
      <w:tblPr>
        <w:tblW w:w="9500" w:type="dxa"/>
        <w:tblInd w:w="91" w:type="dxa"/>
        <w:tblLook w:val="04A0" w:firstRow="1" w:lastRow="0" w:firstColumn="1" w:lastColumn="0" w:noHBand="0" w:noVBand="1"/>
      </w:tblPr>
      <w:tblGrid>
        <w:gridCol w:w="1700"/>
        <w:gridCol w:w="784"/>
        <w:gridCol w:w="784"/>
        <w:gridCol w:w="784"/>
        <w:gridCol w:w="784"/>
        <w:gridCol w:w="803"/>
        <w:gridCol w:w="803"/>
        <w:gridCol w:w="784"/>
        <w:gridCol w:w="784"/>
        <w:gridCol w:w="784"/>
        <w:gridCol w:w="784"/>
      </w:tblGrid>
      <w:tr w:rsidR="008D13BD" w:rsidRPr="003465CB" w14:paraId="3EF67D19" w14:textId="77777777" w:rsidTr="008D13BD">
        <w:trPr>
          <w:trHeight w:val="270"/>
        </w:trPr>
        <w:tc>
          <w:tcPr>
            <w:tcW w:w="1700" w:type="dxa"/>
            <w:vMerge w:val="restart"/>
            <w:tcBorders>
              <w:top w:val="single" w:sz="8" w:space="0" w:color="000000"/>
              <w:left w:val="single" w:sz="8" w:space="0" w:color="000000"/>
              <w:bottom w:val="single" w:sz="8" w:space="0" w:color="000000"/>
              <w:right w:val="single" w:sz="8" w:space="0" w:color="000000"/>
            </w:tcBorders>
            <w:shd w:val="clear" w:color="000000" w:fill="BED600"/>
            <w:noWrap/>
            <w:vAlign w:val="bottom"/>
            <w:hideMark/>
          </w:tcPr>
          <w:p w14:paraId="5E4FAA73" w14:textId="77777777" w:rsidR="008D13BD" w:rsidRPr="003465CB" w:rsidRDefault="008D13BD" w:rsidP="008D13BD">
            <w:pPr>
              <w:spacing w:after="0"/>
              <w:rPr>
                <w:rFonts w:eastAsia="Times New Roman" w:cs="Arial"/>
                <w:b/>
                <w:color w:val="000000"/>
                <w:szCs w:val="20"/>
                <w:lang w:eastAsia="en-GB"/>
              </w:rPr>
            </w:pPr>
            <w:r w:rsidRPr="003465CB">
              <w:rPr>
                <w:rFonts w:eastAsia="Times New Roman" w:cs="Arial"/>
                <w:color w:val="000000"/>
                <w:szCs w:val="20"/>
                <w:lang w:eastAsia="en-GB"/>
              </w:rPr>
              <w:t> </w:t>
            </w:r>
            <w:r w:rsidRPr="003465CB">
              <w:rPr>
                <w:rFonts w:eastAsia="Times New Roman" w:cs="Arial"/>
                <w:b/>
                <w:color w:val="000000"/>
                <w:szCs w:val="20"/>
                <w:lang w:eastAsia="en-GB"/>
              </w:rPr>
              <w:t>Geography</w:t>
            </w:r>
          </w:p>
        </w:tc>
        <w:tc>
          <w:tcPr>
            <w:tcW w:w="1560" w:type="dxa"/>
            <w:gridSpan w:val="2"/>
            <w:tcBorders>
              <w:top w:val="single" w:sz="8" w:space="0" w:color="000000"/>
              <w:left w:val="nil"/>
              <w:bottom w:val="single" w:sz="8" w:space="0" w:color="auto"/>
              <w:right w:val="single" w:sz="8" w:space="0" w:color="000000"/>
            </w:tcBorders>
            <w:shd w:val="clear" w:color="000000" w:fill="BED600"/>
            <w:noWrap/>
            <w:hideMark/>
          </w:tcPr>
          <w:p w14:paraId="314ADA2A" w14:textId="77777777" w:rsidR="008D13BD" w:rsidRPr="003465CB" w:rsidRDefault="008D13BD" w:rsidP="008D13BD">
            <w:pPr>
              <w:spacing w:after="0"/>
              <w:jc w:val="center"/>
              <w:rPr>
                <w:rFonts w:eastAsia="Times New Roman" w:cs="Arial"/>
                <w:b/>
                <w:bCs/>
                <w:color w:val="000000"/>
                <w:szCs w:val="18"/>
                <w:lang w:eastAsia="en-GB"/>
              </w:rPr>
            </w:pPr>
            <w:r w:rsidRPr="003465CB">
              <w:rPr>
                <w:rFonts w:eastAsia="Times New Roman" w:cs="Arial"/>
                <w:b/>
                <w:bCs/>
                <w:color w:val="000000"/>
                <w:szCs w:val="18"/>
                <w:lang w:eastAsia="en-GB"/>
              </w:rPr>
              <w:t>Renewables</w:t>
            </w:r>
          </w:p>
        </w:tc>
        <w:tc>
          <w:tcPr>
            <w:tcW w:w="1560" w:type="dxa"/>
            <w:gridSpan w:val="2"/>
            <w:tcBorders>
              <w:top w:val="single" w:sz="8" w:space="0" w:color="000000"/>
              <w:left w:val="nil"/>
              <w:bottom w:val="single" w:sz="8" w:space="0" w:color="auto"/>
              <w:right w:val="single" w:sz="8" w:space="0" w:color="000000"/>
            </w:tcBorders>
            <w:shd w:val="clear" w:color="000000" w:fill="BED600"/>
            <w:noWrap/>
            <w:hideMark/>
          </w:tcPr>
          <w:p w14:paraId="1FA055AD" w14:textId="77777777" w:rsidR="008D13BD" w:rsidRPr="003465CB" w:rsidRDefault="008D13BD" w:rsidP="008D13BD">
            <w:pPr>
              <w:spacing w:after="0"/>
              <w:jc w:val="center"/>
              <w:rPr>
                <w:rFonts w:eastAsia="Times New Roman" w:cs="Arial"/>
                <w:b/>
                <w:bCs/>
                <w:color w:val="000000"/>
                <w:szCs w:val="18"/>
                <w:lang w:eastAsia="en-GB"/>
              </w:rPr>
            </w:pPr>
            <w:r w:rsidRPr="003465CB">
              <w:rPr>
                <w:rFonts w:eastAsia="Times New Roman" w:cs="Arial"/>
                <w:b/>
                <w:bCs/>
                <w:color w:val="000000"/>
                <w:szCs w:val="18"/>
                <w:lang w:eastAsia="en-GB"/>
              </w:rPr>
              <w:t>Ports &amp; Logistics</w:t>
            </w:r>
          </w:p>
        </w:tc>
        <w:tc>
          <w:tcPr>
            <w:tcW w:w="1560" w:type="dxa"/>
            <w:gridSpan w:val="2"/>
            <w:tcBorders>
              <w:top w:val="single" w:sz="8" w:space="0" w:color="000000"/>
              <w:left w:val="nil"/>
              <w:bottom w:val="single" w:sz="8" w:space="0" w:color="auto"/>
              <w:right w:val="single" w:sz="8" w:space="0" w:color="000000"/>
            </w:tcBorders>
            <w:shd w:val="clear" w:color="000000" w:fill="BED600"/>
            <w:noWrap/>
            <w:hideMark/>
          </w:tcPr>
          <w:p w14:paraId="65038E36" w14:textId="77777777" w:rsidR="008D13BD" w:rsidRPr="003465CB" w:rsidRDefault="008D13BD" w:rsidP="008D13BD">
            <w:pPr>
              <w:spacing w:after="0"/>
              <w:jc w:val="center"/>
              <w:rPr>
                <w:rFonts w:eastAsia="Times New Roman" w:cs="Arial"/>
                <w:b/>
                <w:bCs/>
                <w:color w:val="000000"/>
                <w:szCs w:val="18"/>
                <w:lang w:eastAsia="en-GB"/>
              </w:rPr>
            </w:pPr>
            <w:r w:rsidRPr="003465CB">
              <w:rPr>
                <w:rFonts w:eastAsia="Times New Roman" w:cs="Arial"/>
                <w:b/>
                <w:bCs/>
                <w:color w:val="000000"/>
                <w:szCs w:val="18"/>
                <w:lang w:eastAsia="en-GB"/>
              </w:rPr>
              <w:t>Food manufacturing</w:t>
            </w:r>
          </w:p>
        </w:tc>
        <w:tc>
          <w:tcPr>
            <w:tcW w:w="1560" w:type="dxa"/>
            <w:gridSpan w:val="2"/>
            <w:tcBorders>
              <w:top w:val="single" w:sz="8" w:space="0" w:color="000000"/>
              <w:left w:val="nil"/>
              <w:bottom w:val="single" w:sz="8" w:space="0" w:color="auto"/>
              <w:right w:val="single" w:sz="8" w:space="0" w:color="000000"/>
            </w:tcBorders>
            <w:shd w:val="clear" w:color="000000" w:fill="BED600"/>
            <w:noWrap/>
            <w:hideMark/>
          </w:tcPr>
          <w:p w14:paraId="54738894" w14:textId="77777777" w:rsidR="008D13BD" w:rsidRPr="003465CB" w:rsidRDefault="008D13BD" w:rsidP="008D13BD">
            <w:pPr>
              <w:spacing w:after="0"/>
              <w:jc w:val="center"/>
              <w:rPr>
                <w:rFonts w:eastAsia="Times New Roman" w:cs="Arial"/>
                <w:b/>
                <w:bCs/>
                <w:color w:val="000000"/>
                <w:szCs w:val="18"/>
                <w:lang w:eastAsia="en-GB"/>
              </w:rPr>
            </w:pPr>
            <w:r w:rsidRPr="003465CB">
              <w:rPr>
                <w:rFonts w:eastAsia="Times New Roman" w:cs="Arial"/>
                <w:b/>
                <w:bCs/>
                <w:color w:val="000000"/>
                <w:szCs w:val="18"/>
                <w:lang w:eastAsia="en-GB"/>
              </w:rPr>
              <w:t>Chemicals &amp; process industries</w:t>
            </w:r>
          </w:p>
        </w:tc>
        <w:tc>
          <w:tcPr>
            <w:tcW w:w="1560" w:type="dxa"/>
            <w:gridSpan w:val="2"/>
            <w:tcBorders>
              <w:top w:val="single" w:sz="8" w:space="0" w:color="000000"/>
              <w:left w:val="nil"/>
              <w:bottom w:val="single" w:sz="8" w:space="0" w:color="auto"/>
              <w:right w:val="single" w:sz="8" w:space="0" w:color="000000"/>
            </w:tcBorders>
            <w:shd w:val="clear" w:color="000000" w:fill="BED600"/>
            <w:noWrap/>
            <w:hideMark/>
          </w:tcPr>
          <w:p w14:paraId="6F4B833C" w14:textId="77777777" w:rsidR="008D13BD" w:rsidRPr="003465CB" w:rsidRDefault="008D13BD" w:rsidP="008D13BD">
            <w:pPr>
              <w:spacing w:after="0"/>
              <w:jc w:val="center"/>
              <w:rPr>
                <w:rFonts w:eastAsia="Times New Roman" w:cs="Arial"/>
                <w:b/>
                <w:bCs/>
                <w:color w:val="000000"/>
                <w:szCs w:val="18"/>
                <w:lang w:eastAsia="en-GB"/>
              </w:rPr>
            </w:pPr>
            <w:r w:rsidRPr="003465CB">
              <w:rPr>
                <w:rFonts w:eastAsia="Times New Roman" w:cs="Arial"/>
                <w:b/>
                <w:bCs/>
                <w:color w:val="000000"/>
                <w:szCs w:val="18"/>
                <w:lang w:eastAsia="en-GB"/>
              </w:rPr>
              <w:t>Visitor Economy &amp; Retail</w:t>
            </w:r>
          </w:p>
        </w:tc>
      </w:tr>
      <w:tr w:rsidR="008D13BD" w:rsidRPr="003465CB" w14:paraId="516D7514" w14:textId="77777777" w:rsidTr="008D13BD">
        <w:trPr>
          <w:trHeight w:val="1065"/>
        </w:trPr>
        <w:tc>
          <w:tcPr>
            <w:tcW w:w="1700" w:type="dxa"/>
            <w:vMerge/>
            <w:tcBorders>
              <w:top w:val="single" w:sz="8" w:space="0" w:color="000000"/>
              <w:left w:val="single" w:sz="8" w:space="0" w:color="000000"/>
              <w:bottom w:val="single" w:sz="8" w:space="0" w:color="000000"/>
              <w:right w:val="single" w:sz="8" w:space="0" w:color="000000"/>
            </w:tcBorders>
            <w:vAlign w:val="center"/>
            <w:hideMark/>
          </w:tcPr>
          <w:p w14:paraId="1129FBEE" w14:textId="77777777" w:rsidR="008D13BD" w:rsidRPr="003465CB" w:rsidRDefault="008D13BD" w:rsidP="008D13BD">
            <w:pPr>
              <w:spacing w:after="0"/>
              <w:rPr>
                <w:rFonts w:eastAsia="Times New Roman" w:cs="Arial"/>
                <w:color w:val="000000"/>
                <w:szCs w:val="20"/>
                <w:lang w:eastAsia="en-GB"/>
              </w:rPr>
            </w:pPr>
          </w:p>
        </w:tc>
        <w:tc>
          <w:tcPr>
            <w:tcW w:w="780" w:type="dxa"/>
            <w:tcBorders>
              <w:top w:val="nil"/>
              <w:left w:val="nil"/>
              <w:bottom w:val="single" w:sz="8" w:space="0" w:color="000000"/>
              <w:right w:val="single" w:sz="8" w:space="0" w:color="000000"/>
            </w:tcBorders>
            <w:shd w:val="clear" w:color="000000" w:fill="BED600"/>
            <w:noWrap/>
            <w:textDirection w:val="btLr"/>
            <w:hideMark/>
          </w:tcPr>
          <w:p w14:paraId="12B296C1"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Customers</w:t>
            </w:r>
          </w:p>
        </w:tc>
        <w:tc>
          <w:tcPr>
            <w:tcW w:w="780" w:type="dxa"/>
            <w:tcBorders>
              <w:top w:val="nil"/>
              <w:left w:val="nil"/>
              <w:bottom w:val="single" w:sz="8" w:space="0" w:color="000000"/>
              <w:right w:val="single" w:sz="8" w:space="0" w:color="000000"/>
            </w:tcBorders>
            <w:shd w:val="clear" w:color="000000" w:fill="BED600"/>
            <w:noWrap/>
            <w:textDirection w:val="btLr"/>
            <w:hideMark/>
          </w:tcPr>
          <w:p w14:paraId="684E33EA"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Suppliers</w:t>
            </w:r>
          </w:p>
        </w:tc>
        <w:tc>
          <w:tcPr>
            <w:tcW w:w="780" w:type="dxa"/>
            <w:tcBorders>
              <w:top w:val="nil"/>
              <w:left w:val="nil"/>
              <w:bottom w:val="single" w:sz="8" w:space="0" w:color="000000"/>
              <w:right w:val="single" w:sz="8" w:space="0" w:color="000000"/>
            </w:tcBorders>
            <w:shd w:val="clear" w:color="000000" w:fill="BED600"/>
            <w:noWrap/>
            <w:textDirection w:val="btLr"/>
            <w:hideMark/>
          </w:tcPr>
          <w:p w14:paraId="1B2A94FE"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Customers</w:t>
            </w:r>
          </w:p>
        </w:tc>
        <w:tc>
          <w:tcPr>
            <w:tcW w:w="780" w:type="dxa"/>
            <w:tcBorders>
              <w:top w:val="nil"/>
              <w:left w:val="nil"/>
              <w:bottom w:val="single" w:sz="8" w:space="0" w:color="000000"/>
              <w:right w:val="single" w:sz="8" w:space="0" w:color="000000"/>
            </w:tcBorders>
            <w:shd w:val="clear" w:color="000000" w:fill="BED600"/>
            <w:noWrap/>
            <w:textDirection w:val="btLr"/>
            <w:hideMark/>
          </w:tcPr>
          <w:p w14:paraId="4BA286DA"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Suppliers</w:t>
            </w:r>
          </w:p>
        </w:tc>
        <w:tc>
          <w:tcPr>
            <w:tcW w:w="780" w:type="dxa"/>
            <w:tcBorders>
              <w:top w:val="nil"/>
              <w:left w:val="nil"/>
              <w:bottom w:val="single" w:sz="8" w:space="0" w:color="000000"/>
              <w:right w:val="single" w:sz="8" w:space="0" w:color="000000"/>
            </w:tcBorders>
            <w:shd w:val="clear" w:color="000000" w:fill="BED600"/>
            <w:noWrap/>
            <w:textDirection w:val="btLr"/>
            <w:hideMark/>
          </w:tcPr>
          <w:p w14:paraId="351C23FA"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Customers</w:t>
            </w:r>
          </w:p>
        </w:tc>
        <w:tc>
          <w:tcPr>
            <w:tcW w:w="780" w:type="dxa"/>
            <w:tcBorders>
              <w:top w:val="nil"/>
              <w:left w:val="nil"/>
              <w:bottom w:val="single" w:sz="8" w:space="0" w:color="000000"/>
              <w:right w:val="single" w:sz="8" w:space="0" w:color="000000"/>
            </w:tcBorders>
            <w:shd w:val="clear" w:color="000000" w:fill="BED600"/>
            <w:noWrap/>
            <w:textDirection w:val="btLr"/>
            <w:hideMark/>
          </w:tcPr>
          <w:p w14:paraId="139CEBF0"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Suppliers</w:t>
            </w:r>
          </w:p>
        </w:tc>
        <w:tc>
          <w:tcPr>
            <w:tcW w:w="780" w:type="dxa"/>
            <w:tcBorders>
              <w:top w:val="nil"/>
              <w:left w:val="nil"/>
              <w:bottom w:val="single" w:sz="8" w:space="0" w:color="000000"/>
              <w:right w:val="single" w:sz="8" w:space="0" w:color="000000"/>
            </w:tcBorders>
            <w:shd w:val="clear" w:color="000000" w:fill="BED600"/>
            <w:noWrap/>
            <w:textDirection w:val="btLr"/>
            <w:hideMark/>
          </w:tcPr>
          <w:p w14:paraId="06141FEC"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Customers</w:t>
            </w:r>
          </w:p>
        </w:tc>
        <w:tc>
          <w:tcPr>
            <w:tcW w:w="780" w:type="dxa"/>
            <w:tcBorders>
              <w:top w:val="nil"/>
              <w:left w:val="nil"/>
              <w:bottom w:val="single" w:sz="8" w:space="0" w:color="000000"/>
              <w:right w:val="single" w:sz="8" w:space="0" w:color="000000"/>
            </w:tcBorders>
            <w:shd w:val="clear" w:color="000000" w:fill="BED600"/>
            <w:noWrap/>
            <w:textDirection w:val="btLr"/>
            <w:hideMark/>
          </w:tcPr>
          <w:p w14:paraId="4D194A05"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Suppliers</w:t>
            </w:r>
          </w:p>
        </w:tc>
        <w:tc>
          <w:tcPr>
            <w:tcW w:w="780" w:type="dxa"/>
            <w:tcBorders>
              <w:top w:val="nil"/>
              <w:left w:val="nil"/>
              <w:bottom w:val="single" w:sz="8" w:space="0" w:color="000000"/>
              <w:right w:val="single" w:sz="8" w:space="0" w:color="000000"/>
            </w:tcBorders>
            <w:shd w:val="clear" w:color="000000" w:fill="BED600"/>
            <w:noWrap/>
            <w:textDirection w:val="btLr"/>
            <w:hideMark/>
          </w:tcPr>
          <w:p w14:paraId="5E397EE0"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Customers</w:t>
            </w:r>
          </w:p>
        </w:tc>
        <w:tc>
          <w:tcPr>
            <w:tcW w:w="780" w:type="dxa"/>
            <w:tcBorders>
              <w:top w:val="nil"/>
              <w:left w:val="nil"/>
              <w:bottom w:val="single" w:sz="8" w:space="0" w:color="000000"/>
              <w:right w:val="single" w:sz="8" w:space="0" w:color="000000"/>
            </w:tcBorders>
            <w:shd w:val="clear" w:color="000000" w:fill="BED600"/>
            <w:noWrap/>
            <w:textDirection w:val="btLr"/>
            <w:hideMark/>
          </w:tcPr>
          <w:p w14:paraId="5EC54824"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Suppliers</w:t>
            </w:r>
          </w:p>
        </w:tc>
      </w:tr>
      <w:tr w:rsidR="008D13BD" w:rsidRPr="003465CB" w14:paraId="1A16D23E" w14:textId="77777777" w:rsidTr="008D13BD">
        <w:trPr>
          <w:trHeight w:val="495"/>
        </w:trPr>
        <w:tc>
          <w:tcPr>
            <w:tcW w:w="1700" w:type="dxa"/>
            <w:tcBorders>
              <w:top w:val="nil"/>
              <w:left w:val="single" w:sz="8" w:space="0" w:color="000000"/>
              <w:bottom w:val="single" w:sz="8" w:space="0" w:color="000000"/>
              <w:right w:val="single" w:sz="8" w:space="0" w:color="000000"/>
            </w:tcBorders>
            <w:shd w:val="clear" w:color="auto" w:fill="auto"/>
            <w:hideMark/>
          </w:tcPr>
          <w:p w14:paraId="6F315E99" w14:textId="77777777" w:rsidR="008D13BD" w:rsidRPr="003465CB" w:rsidRDefault="008D13BD" w:rsidP="008D13BD">
            <w:pPr>
              <w:spacing w:after="0"/>
              <w:rPr>
                <w:rFonts w:eastAsia="Times New Roman" w:cs="Arial"/>
                <w:color w:val="000000"/>
                <w:szCs w:val="18"/>
                <w:lang w:eastAsia="en-GB"/>
              </w:rPr>
            </w:pPr>
            <w:r w:rsidRPr="003465CB">
              <w:rPr>
                <w:rFonts w:eastAsia="Times New Roman" w:cs="Arial"/>
                <w:color w:val="000000"/>
                <w:szCs w:val="18"/>
                <w:lang w:eastAsia="en-GB"/>
              </w:rPr>
              <w:t>Lincolnshire / Humber</w:t>
            </w:r>
          </w:p>
        </w:tc>
        <w:tc>
          <w:tcPr>
            <w:tcW w:w="780" w:type="dxa"/>
            <w:tcBorders>
              <w:top w:val="nil"/>
              <w:left w:val="nil"/>
              <w:bottom w:val="single" w:sz="8" w:space="0" w:color="000000"/>
              <w:right w:val="single" w:sz="8" w:space="0" w:color="000000"/>
            </w:tcBorders>
            <w:shd w:val="clear" w:color="auto" w:fill="auto"/>
            <w:noWrap/>
            <w:hideMark/>
          </w:tcPr>
          <w:p w14:paraId="540707B8"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39.4%</w:t>
            </w:r>
          </w:p>
        </w:tc>
        <w:tc>
          <w:tcPr>
            <w:tcW w:w="780" w:type="dxa"/>
            <w:tcBorders>
              <w:top w:val="nil"/>
              <w:left w:val="nil"/>
              <w:bottom w:val="single" w:sz="8" w:space="0" w:color="000000"/>
              <w:right w:val="single" w:sz="8" w:space="0" w:color="000000"/>
            </w:tcBorders>
            <w:shd w:val="clear" w:color="auto" w:fill="auto"/>
            <w:noWrap/>
            <w:hideMark/>
          </w:tcPr>
          <w:p w14:paraId="2CC00CAA"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37.1%</w:t>
            </w:r>
          </w:p>
        </w:tc>
        <w:tc>
          <w:tcPr>
            <w:tcW w:w="780" w:type="dxa"/>
            <w:tcBorders>
              <w:top w:val="nil"/>
              <w:left w:val="nil"/>
              <w:bottom w:val="single" w:sz="8" w:space="0" w:color="000000"/>
              <w:right w:val="single" w:sz="8" w:space="0" w:color="000000"/>
            </w:tcBorders>
            <w:shd w:val="clear" w:color="auto" w:fill="auto"/>
            <w:noWrap/>
            <w:hideMark/>
          </w:tcPr>
          <w:p w14:paraId="5EB2A209"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17.0%</w:t>
            </w:r>
          </w:p>
        </w:tc>
        <w:tc>
          <w:tcPr>
            <w:tcW w:w="780" w:type="dxa"/>
            <w:tcBorders>
              <w:top w:val="nil"/>
              <w:left w:val="nil"/>
              <w:bottom w:val="single" w:sz="8" w:space="0" w:color="000000"/>
              <w:right w:val="single" w:sz="8" w:space="0" w:color="000000"/>
            </w:tcBorders>
            <w:shd w:val="clear" w:color="auto" w:fill="auto"/>
            <w:noWrap/>
            <w:hideMark/>
          </w:tcPr>
          <w:p w14:paraId="05FF09AA"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34.3%</w:t>
            </w:r>
          </w:p>
        </w:tc>
        <w:tc>
          <w:tcPr>
            <w:tcW w:w="780" w:type="dxa"/>
            <w:tcBorders>
              <w:top w:val="nil"/>
              <w:left w:val="nil"/>
              <w:bottom w:val="single" w:sz="8" w:space="0" w:color="000000"/>
              <w:right w:val="single" w:sz="8" w:space="0" w:color="000000"/>
            </w:tcBorders>
            <w:shd w:val="clear" w:color="auto" w:fill="auto"/>
            <w:noWrap/>
            <w:hideMark/>
          </w:tcPr>
          <w:p w14:paraId="242282CB"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31.3%</w:t>
            </w:r>
          </w:p>
        </w:tc>
        <w:tc>
          <w:tcPr>
            <w:tcW w:w="780" w:type="dxa"/>
            <w:tcBorders>
              <w:top w:val="nil"/>
              <w:left w:val="nil"/>
              <w:bottom w:val="single" w:sz="8" w:space="0" w:color="000000"/>
              <w:right w:val="single" w:sz="8" w:space="0" w:color="000000"/>
            </w:tcBorders>
            <w:shd w:val="clear" w:color="auto" w:fill="auto"/>
            <w:noWrap/>
            <w:hideMark/>
          </w:tcPr>
          <w:p w14:paraId="5B007CE3"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41.1%</w:t>
            </w:r>
          </w:p>
        </w:tc>
        <w:tc>
          <w:tcPr>
            <w:tcW w:w="780" w:type="dxa"/>
            <w:tcBorders>
              <w:top w:val="nil"/>
              <w:left w:val="nil"/>
              <w:bottom w:val="single" w:sz="8" w:space="0" w:color="000000"/>
              <w:right w:val="single" w:sz="8" w:space="0" w:color="000000"/>
            </w:tcBorders>
            <w:shd w:val="clear" w:color="auto" w:fill="auto"/>
            <w:noWrap/>
            <w:hideMark/>
          </w:tcPr>
          <w:p w14:paraId="3CC3F3D2"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22.4%</w:t>
            </w:r>
          </w:p>
        </w:tc>
        <w:tc>
          <w:tcPr>
            <w:tcW w:w="780" w:type="dxa"/>
            <w:tcBorders>
              <w:top w:val="nil"/>
              <w:left w:val="nil"/>
              <w:bottom w:val="single" w:sz="8" w:space="0" w:color="000000"/>
              <w:right w:val="single" w:sz="8" w:space="0" w:color="000000"/>
            </w:tcBorders>
            <w:shd w:val="clear" w:color="auto" w:fill="auto"/>
            <w:noWrap/>
            <w:hideMark/>
          </w:tcPr>
          <w:p w14:paraId="446D9395"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26.5%</w:t>
            </w:r>
          </w:p>
        </w:tc>
        <w:tc>
          <w:tcPr>
            <w:tcW w:w="780" w:type="dxa"/>
            <w:tcBorders>
              <w:top w:val="nil"/>
              <w:left w:val="nil"/>
              <w:bottom w:val="single" w:sz="8" w:space="0" w:color="000000"/>
              <w:right w:val="single" w:sz="8" w:space="0" w:color="000000"/>
            </w:tcBorders>
            <w:shd w:val="clear" w:color="auto" w:fill="auto"/>
            <w:noWrap/>
            <w:hideMark/>
          </w:tcPr>
          <w:p w14:paraId="3AC3A23B"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51.2%</w:t>
            </w:r>
          </w:p>
        </w:tc>
        <w:tc>
          <w:tcPr>
            <w:tcW w:w="780" w:type="dxa"/>
            <w:tcBorders>
              <w:top w:val="nil"/>
              <w:left w:val="nil"/>
              <w:bottom w:val="single" w:sz="8" w:space="0" w:color="000000"/>
              <w:right w:val="single" w:sz="8" w:space="0" w:color="000000"/>
            </w:tcBorders>
            <w:shd w:val="clear" w:color="auto" w:fill="auto"/>
            <w:noWrap/>
            <w:hideMark/>
          </w:tcPr>
          <w:p w14:paraId="7E3388DF"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52.7%</w:t>
            </w:r>
          </w:p>
        </w:tc>
      </w:tr>
      <w:tr w:rsidR="008D13BD" w:rsidRPr="003465CB" w14:paraId="31CE7642" w14:textId="77777777" w:rsidTr="008D13BD">
        <w:trPr>
          <w:trHeight w:val="735"/>
        </w:trPr>
        <w:tc>
          <w:tcPr>
            <w:tcW w:w="1700" w:type="dxa"/>
            <w:tcBorders>
              <w:top w:val="nil"/>
              <w:left w:val="single" w:sz="8" w:space="0" w:color="000000"/>
              <w:bottom w:val="single" w:sz="8" w:space="0" w:color="000000"/>
              <w:right w:val="single" w:sz="8" w:space="0" w:color="000000"/>
            </w:tcBorders>
            <w:shd w:val="clear" w:color="auto" w:fill="auto"/>
            <w:hideMark/>
          </w:tcPr>
          <w:p w14:paraId="788C587B" w14:textId="77777777" w:rsidR="008D13BD" w:rsidRPr="003465CB" w:rsidRDefault="008D13BD" w:rsidP="008D13BD">
            <w:pPr>
              <w:spacing w:after="0"/>
              <w:rPr>
                <w:rFonts w:eastAsia="Times New Roman" w:cs="Arial"/>
                <w:color w:val="000000"/>
                <w:szCs w:val="18"/>
                <w:lang w:eastAsia="en-GB"/>
              </w:rPr>
            </w:pPr>
            <w:r w:rsidRPr="003465CB">
              <w:rPr>
                <w:rFonts w:eastAsia="Times New Roman" w:cs="Arial"/>
                <w:color w:val="000000"/>
                <w:szCs w:val="18"/>
                <w:lang w:eastAsia="en-GB"/>
              </w:rPr>
              <w:t>Elsewhere in Yorkshire and Humber</w:t>
            </w:r>
          </w:p>
        </w:tc>
        <w:tc>
          <w:tcPr>
            <w:tcW w:w="780" w:type="dxa"/>
            <w:tcBorders>
              <w:top w:val="nil"/>
              <w:left w:val="nil"/>
              <w:bottom w:val="single" w:sz="8" w:space="0" w:color="000000"/>
              <w:right w:val="single" w:sz="8" w:space="0" w:color="000000"/>
            </w:tcBorders>
            <w:shd w:val="clear" w:color="auto" w:fill="auto"/>
            <w:noWrap/>
            <w:hideMark/>
          </w:tcPr>
          <w:p w14:paraId="3B2B5D39"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12.1%</w:t>
            </w:r>
          </w:p>
        </w:tc>
        <w:tc>
          <w:tcPr>
            <w:tcW w:w="780" w:type="dxa"/>
            <w:tcBorders>
              <w:top w:val="nil"/>
              <w:left w:val="nil"/>
              <w:bottom w:val="single" w:sz="8" w:space="0" w:color="000000"/>
              <w:right w:val="single" w:sz="8" w:space="0" w:color="000000"/>
            </w:tcBorders>
            <w:shd w:val="clear" w:color="auto" w:fill="auto"/>
            <w:noWrap/>
            <w:hideMark/>
          </w:tcPr>
          <w:p w14:paraId="09A414F9"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17.1%</w:t>
            </w:r>
          </w:p>
        </w:tc>
        <w:tc>
          <w:tcPr>
            <w:tcW w:w="780" w:type="dxa"/>
            <w:tcBorders>
              <w:top w:val="nil"/>
              <w:left w:val="nil"/>
              <w:bottom w:val="single" w:sz="8" w:space="0" w:color="000000"/>
              <w:right w:val="single" w:sz="8" w:space="0" w:color="000000"/>
            </w:tcBorders>
            <w:shd w:val="clear" w:color="auto" w:fill="auto"/>
            <w:noWrap/>
            <w:hideMark/>
          </w:tcPr>
          <w:p w14:paraId="76C54FF2"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9.3%</w:t>
            </w:r>
          </w:p>
        </w:tc>
        <w:tc>
          <w:tcPr>
            <w:tcW w:w="780" w:type="dxa"/>
            <w:tcBorders>
              <w:top w:val="nil"/>
              <w:left w:val="nil"/>
              <w:bottom w:val="single" w:sz="8" w:space="0" w:color="000000"/>
              <w:right w:val="single" w:sz="8" w:space="0" w:color="000000"/>
            </w:tcBorders>
            <w:shd w:val="clear" w:color="auto" w:fill="auto"/>
            <w:noWrap/>
            <w:hideMark/>
          </w:tcPr>
          <w:p w14:paraId="0A98FFA9"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18.2%</w:t>
            </w:r>
          </w:p>
        </w:tc>
        <w:tc>
          <w:tcPr>
            <w:tcW w:w="780" w:type="dxa"/>
            <w:tcBorders>
              <w:top w:val="nil"/>
              <w:left w:val="nil"/>
              <w:bottom w:val="single" w:sz="8" w:space="0" w:color="000000"/>
              <w:right w:val="single" w:sz="8" w:space="0" w:color="000000"/>
            </w:tcBorders>
            <w:shd w:val="clear" w:color="auto" w:fill="auto"/>
            <w:noWrap/>
            <w:hideMark/>
          </w:tcPr>
          <w:p w14:paraId="2A94BCE7"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13.0%</w:t>
            </w:r>
          </w:p>
        </w:tc>
        <w:tc>
          <w:tcPr>
            <w:tcW w:w="780" w:type="dxa"/>
            <w:tcBorders>
              <w:top w:val="nil"/>
              <w:left w:val="nil"/>
              <w:bottom w:val="single" w:sz="8" w:space="0" w:color="000000"/>
              <w:right w:val="single" w:sz="8" w:space="0" w:color="000000"/>
            </w:tcBorders>
            <w:shd w:val="clear" w:color="auto" w:fill="auto"/>
            <w:noWrap/>
            <w:hideMark/>
          </w:tcPr>
          <w:p w14:paraId="271FC0D6"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16.7%</w:t>
            </w:r>
          </w:p>
        </w:tc>
        <w:tc>
          <w:tcPr>
            <w:tcW w:w="780" w:type="dxa"/>
            <w:tcBorders>
              <w:top w:val="nil"/>
              <w:left w:val="nil"/>
              <w:bottom w:val="single" w:sz="8" w:space="0" w:color="000000"/>
              <w:right w:val="single" w:sz="8" w:space="0" w:color="000000"/>
            </w:tcBorders>
            <w:shd w:val="clear" w:color="auto" w:fill="auto"/>
            <w:noWrap/>
            <w:hideMark/>
          </w:tcPr>
          <w:p w14:paraId="0835A032"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6.1%</w:t>
            </w:r>
          </w:p>
        </w:tc>
        <w:tc>
          <w:tcPr>
            <w:tcW w:w="780" w:type="dxa"/>
            <w:tcBorders>
              <w:top w:val="nil"/>
              <w:left w:val="nil"/>
              <w:bottom w:val="single" w:sz="8" w:space="0" w:color="000000"/>
              <w:right w:val="single" w:sz="8" w:space="0" w:color="000000"/>
            </w:tcBorders>
            <w:shd w:val="clear" w:color="auto" w:fill="auto"/>
            <w:noWrap/>
            <w:hideMark/>
          </w:tcPr>
          <w:p w14:paraId="0C4F5876"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20.4%</w:t>
            </w:r>
          </w:p>
        </w:tc>
        <w:tc>
          <w:tcPr>
            <w:tcW w:w="780" w:type="dxa"/>
            <w:tcBorders>
              <w:top w:val="nil"/>
              <w:left w:val="nil"/>
              <w:bottom w:val="single" w:sz="8" w:space="0" w:color="000000"/>
              <w:right w:val="single" w:sz="8" w:space="0" w:color="000000"/>
            </w:tcBorders>
            <w:shd w:val="clear" w:color="auto" w:fill="auto"/>
            <w:noWrap/>
            <w:hideMark/>
          </w:tcPr>
          <w:p w14:paraId="5B01667B"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12.1%</w:t>
            </w:r>
          </w:p>
        </w:tc>
        <w:tc>
          <w:tcPr>
            <w:tcW w:w="780" w:type="dxa"/>
            <w:tcBorders>
              <w:top w:val="nil"/>
              <w:left w:val="nil"/>
              <w:bottom w:val="single" w:sz="8" w:space="0" w:color="000000"/>
              <w:right w:val="single" w:sz="8" w:space="0" w:color="000000"/>
            </w:tcBorders>
            <w:shd w:val="clear" w:color="auto" w:fill="auto"/>
            <w:noWrap/>
            <w:hideMark/>
          </w:tcPr>
          <w:p w14:paraId="5FC55EB0"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18.3%</w:t>
            </w:r>
          </w:p>
        </w:tc>
      </w:tr>
      <w:tr w:rsidR="008D13BD" w:rsidRPr="003465CB" w14:paraId="2B259865" w14:textId="77777777" w:rsidTr="008D13BD">
        <w:trPr>
          <w:trHeight w:val="270"/>
        </w:trPr>
        <w:tc>
          <w:tcPr>
            <w:tcW w:w="1700" w:type="dxa"/>
            <w:tcBorders>
              <w:top w:val="nil"/>
              <w:left w:val="single" w:sz="8" w:space="0" w:color="000000"/>
              <w:bottom w:val="single" w:sz="8" w:space="0" w:color="000000"/>
              <w:right w:val="single" w:sz="8" w:space="0" w:color="000000"/>
            </w:tcBorders>
            <w:shd w:val="clear" w:color="000000" w:fill="E6E4DE"/>
            <w:hideMark/>
          </w:tcPr>
          <w:p w14:paraId="589B802A" w14:textId="77777777" w:rsidR="008D13BD" w:rsidRPr="003465CB" w:rsidRDefault="008D13BD" w:rsidP="008D13BD">
            <w:pPr>
              <w:spacing w:after="0"/>
              <w:rPr>
                <w:rFonts w:eastAsia="Times New Roman" w:cs="Arial"/>
                <w:b/>
                <w:bCs/>
                <w:color w:val="000000"/>
                <w:szCs w:val="18"/>
                <w:lang w:eastAsia="en-GB"/>
              </w:rPr>
            </w:pPr>
            <w:r w:rsidRPr="003465CB">
              <w:rPr>
                <w:rFonts w:eastAsia="Times New Roman" w:cs="Arial"/>
                <w:b/>
                <w:bCs/>
                <w:color w:val="000000"/>
                <w:szCs w:val="18"/>
                <w:lang w:eastAsia="en-GB"/>
              </w:rPr>
              <w:t>Local Area</w:t>
            </w:r>
          </w:p>
        </w:tc>
        <w:tc>
          <w:tcPr>
            <w:tcW w:w="780" w:type="dxa"/>
            <w:tcBorders>
              <w:top w:val="nil"/>
              <w:left w:val="nil"/>
              <w:bottom w:val="single" w:sz="8" w:space="0" w:color="000000"/>
              <w:right w:val="single" w:sz="8" w:space="0" w:color="000000"/>
            </w:tcBorders>
            <w:shd w:val="clear" w:color="000000" w:fill="E6E4DE"/>
            <w:noWrap/>
            <w:hideMark/>
          </w:tcPr>
          <w:p w14:paraId="6090C251"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51.5%</w:t>
            </w:r>
          </w:p>
        </w:tc>
        <w:tc>
          <w:tcPr>
            <w:tcW w:w="780" w:type="dxa"/>
            <w:tcBorders>
              <w:top w:val="nil"/>
              <w:left w:val="nil"/>
              <w:bottom w:val="single" w:sz="8" w:space="0" w:color="000000"/>
              <w:right w:val="single" w:sz="8" w:space="0" w:color="000000"/>
            </w:tcBorders>
            <w:shd w:val="clear" w:color="000000" w:fill="E6E4DE"/>
            <w:noWrap/>
            <w:hideMark/>
          </w:tcPr>
          <w:p w14:paraId="2C7B8F51"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54.3%</w:t>
            </w:r>
          </w:p>
        </w:tc>
        <w:tc>
          <w:tcPr>
            <w:tcW w:w="780" w:type="dxa"/>
            <w:tcBorders>
              <w:top w:val="nil"/>
              <w:left w:val="nil"/>
              <w:bottom w:val="single" w:sz="8" w:space="0" w:color="000000"/>
              <w:right w:val="single" w:sz="8" w:space="0" w:color="000000"/>
            </w:tcBorders>
            <w:shd w:val="clear" w:color="000000" w:fill="E6E4DE"/>
            <w:noWrap/>
            <w:hideMark/>
          </w:tcPr>
          <w:p w14:paraId="1B35F3DD"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26.3%</w:t>
            </w:r>
          </w:p>
        </w:tc>
        <w:tc>
          <w:tcPr>
            <w:tcW w:w="780" w:type="dxa"/>
            <w:tcBorders>
              <w:top w:val="nil"/>
              <w:left w:val="nil"/>
              <w:bottom w:val="single" w:sz="8" w:space="0" w:color="000000"/>
              <w:right w:val="single" w:sz="8" w:space="0" w:color="000000"/>
            </w:tcBorders>
            <w:shd w:val="clear" w:color="000000" w:fill="E6E4DE"/>
            <w:noWrap/>
            <w:hideMark/>
          </w:tcPr>
          <w:p w14:paraId="7FD92C2A"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52.4%</w:t>
            </w:r>
          </w:p>
        </w:tc>
        <w:tc>
          <w:tcPr>
            <w:tcW w:w="780" w:type="dxa"/>
            <w:tcBorders>
              <w:top w:val="nil"/>
              <w:left w:val="nil"/>
              <w:bottom w:val="single" w:sz="8" w:space="0" w:color="000000"/>
              <w:right w:val="single" w:sz="8" w:space="0" w:color="000000"/>
            </w:tcBorders>
            <w:shd w:val="clear" w:color="000000" w:fill="E6E4DE"/>
            <w:noWrap/>
            <w:hideMark/>
          </w:tcPr>
          <w:p w14:paraId="49804104"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44.3%</w:t>
            </w:r>
          </w:p>
        </w:tc>
        <w:tc>
          <w:tcPr>
            <w:tcW w:w="780" w:type="dxa"/>
            <w:tcBorders>
              <w:top w:val="nil"/>
              <w:left w:val="nil"/>
              <w:bottom w:val="single" w:sz="8" w:space="0" w:color="000000"/>
              <w:right w:val="single" w:sz="8" w:space="0" w:color="000000"/>
            </w:tcBorders>
            <w:shd w:val="clear" w:color="000000" w:fill="E6E4DE"/>
            <w:noWrap/>
            <w:hideMark/>
          </w:tcPr>
          <w:p w14:paraId="584B16BC"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57.8%</w:t>
            </w:r>
          </w:p>
        </w:tc>
        <w:tc>
          <w:tcPr>
            <w:tcW w:w="780" w:type="dxa"/>
            <w:tcBorders>
              <w:top w:val="nil"/>
              <w:left w:val="nil"/>
              <w:bottom w:val="single" w:sz="8" w:space="0" w:color="000000"/>
              <w:right w:val="single" w:sz="8" w:space="0" w:color="000000"/>
            </w:tcBorders>
            <w:shd w:val="clear" w:color="000000" w:fill="E6E4DE"/>
            <w:noWrap/>
            <w:hideMark/>
          </w:tcPr>
          <w:p w14:paraId="53B413CC"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28.6%</w:t>
            </w:r>
          </w:p>
        </w:tc>
        <w:tc>
          <w:tcPr>
            <w:tcW w:w="780" w:type="dxa"/>
            <w:tcBorders>
              <w:top w:val="nil"/>
              <w:left w:val="nil"/>
              <w:bottom w:val="single" w:sz="8" w:space="0" w:color="000000"/>
              <w:right w:val="single" w:sz="8" w:space="0" w:color="000000"/>
            </w:tcBorders>
            <w:shd w:val="clear" w:color="000000" w:fill="E6E4DE"/>
            <w:noWrap/>
            <w:hideMark/>
          </w:tcPr>
          <w:p w14:paraId="3E68495C"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46.9%</w:t>
            </w:r>
          </w:p>
        </w:tc>
        <w:tc>
          <w:tcPr>
            <w:tcW w:w="780" w:type="dxa"/>
            <w:tcBorders>
              <w:top w:val="nil"/>
              <w:left w:val="nil"/>
              <w:bottom w:val="single" w:sz="8" w:space="0" w:color="000000"/>
              <w:right w:val="single" w:sz="8" w:space="0" w:color="000000"/>
            </w:tcBorders>
            <w:shd w:val="clear" w:color="000000" w:fill="E6E4DE"/>
            <w:noWrap/>
            <w:hideMark/>
          </w:tcPr>
          <w:p w14:paraId="41D31681"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63.3%</w:t>
            </w:r>
          </w:p>
        </w:tc>
        <w:tc>
          <w:tcPr>
            <w:tcW w:w="780" w:type="dxa"/>
            <w:tcBorders>
              <w:top w:val="nil"/>
              <w:left w:val="nil"/>
              <w:bottom w:val="single" w:sz="8" w:space="0" w:color="000000"/>
              <w:right w:val="single" w:sz="8" w:space="0" w:color="000000"/>
            </w:tcBorders>
            <w:shd w:val="clear" w:color="000000" w:fill="E6E4DE"/>
            <w:noWrap/>
            <w:hideMark/>
          </w:tcPr>
          <w:p w14:paraId="5A1322A9"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71.0%</w:t>
            </w:r>
          </w:p>
        </w:tc>
      </w:tr>
      <w:tr w:rsidR="008D13BD" w:rsidRPr="003465CB" w14:paraId="6954A2D3" w14:textId="77777777" w:rsidTr="008D13BD">
        <w:trPr>
          <w:trHeight w:val="270"/>
        </w:trPr>
        <w:tc>
          <w:tcPr>
            <w:tcW w:w="1700" w:type="dxa"/>
            <w:tcBorders>
              <w:top w:val="nil"/>
              <w:left w:val="single" w:sz="8" w:space="0" w:color="000000"/>
              <w:bottom w:val="single" w:sz="8" w:space="0" w:color="000000"/>
              <w:right w:val="single" w:sz="8" w:space="0" w:color="000000"/>
            </w:tcBorders>
            <w:shd w:val="clear" w:color="000000" w:fill="E6E4DE"/>
            <w:hideMark/>
          </w:tcPr>
          <w:p w14:paraId="5C541CDA" w14:textId="77777777" w:rsidR="008D13BD" w:rsidRPr="003465CB" w:rsidRDefault="008D13BD" w:rsidP="008D13BD">
            <w:pPr>
              <w:spacing w:after="0"/>
              <w:rPr>
                <w:rFonts w:eastAsia="Times New Roman" w:cs="Arial"/>
                <w:b/>
                <w:bCs/>
                <w:color w:val="000000"/>
                <w:szCs w:val="18"/>
                <w:lang w:eastAsia="en-GB"/>
              </w:rPr>
            </w:pPr>
            <w:r w:rsidRPr="003465CB">
              <w:rPr>
                <w:rFonts w:eastAsia="Times New Roman" w:cs="Arial"/>
                <w:b/>
                <w:bCs/>
                <w:color w:val="000000"/>
                <w:szCs w:val="18"/>
                <w:lang w:eastAsia="en-GB"/>
              </w:rPr>
              <w:t>UK</w:t>
            </w:r>
          </w:p>
        </w:tc>
        <w:tc>
          <w:tcPr>
            <w:tcW w:w="780" w:type="dxa"/>
            <w:tcBorders>
              <w:top w:val="nil"/>
              <w:left w:val="nil"/>
              <w:bottom w:val="single" w:sz="8" w:space="0" w:color="000000"/>
              <w:right w:val="single" w:sz="8" w:space="0" w:color="000000"/>
            </w:tcBorders>
            <w:shd w:val="clear" w:color="000000" w:fill="E6E4DE"/>
            <w:noWrap/>
            <w:hideMark/>
          </w:tcPr>
          <w:p w14:paraId="21E3BFF2"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69.7%</w:t>
            </w:r>
          </w:p>
        </w:tc>
        <w:tc>
          <w:tcPr>
            <w:tcW w:w="780" w:type="dxa"/>
            <w:tcBorders>
              <w:top w:val="nil"/>
              <w:left w:val="nil"/>
              <w:bottom w:val="single" w:sz="8" w:space="0" w:color="000000"/>
              <w:right w:val="single" w:sz="8" w:space="0" w:color="000000"/>
            </w:tcBorders>
            <w:shd w:val="clear" w:color="000000" w:fill="E6E4DE"/>
            <w:noWrap/>
            <w:hideMark/>
          </w:tcPr>
          <w:p w14:paraId="39477E35"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88.6%</w:t>
            </w:r>
          </w:p>
        </w:tc>
        <w:tc>
          <w:tcPr>
            <w:tcW w:w="780" w:type="dxa"/>
            <w:tcBorders>
              <w:top w:val="nil"/>
              <w:left w:val="nil"/>
              <w:bottom w:val="single" w:sz="8" w:space="0" w:color="000000"/>
              <w:right w:val="single" w:sz="8" w:space="0" w:color="000000"/>
            </w:tcBorders>
            <w:shd w:val="clear" w:color="000000" w:fill="E6E4DE"/>
            <w:noWrap/>
            <w:hideMark/>
          </w:tcPr>
          <w:p w14:paraId="06C18230"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61.3%</w:t>
            </w:r>
          </w:p>
        </w:tc>
        <w:tc>
          <w:tcPr>
            <w:tcW w:w="780" w:type="dxa"/>
            <w:tcBorders>
              <w:top w:val="nil"/>
              <w:left w:val="nil"/>
              <w:bottom w:val="single" w:sz="8" w:space="0" w:color="000000"/>
              <w:right w:val="single" w:sz="8" w:space="0" w:color="000000"/>
            </w:tcBorders>
            <w:shd w:val="clear" w:color="000000" w:fill="E6E4DE"/>
            <w:noWrap/>
            <w:hideMark/>
          </w:tcPr>
          <w:p w14:paraId="48AC1120"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79.7%</w:t>
            </w:r>
          </w:p>
        </w:tc>
        <w:tc>
          <w:tcPr>
            <w:tcW w:w="780" w:type="dxa"/>
            <w:tcBorders>
              <w:top w:val="nil"/>
              <w:left w:val="nil"/>
              <w:bottom w:val="single" w:sz="8" w:space="0" w:color="000000"/>
              <w:right w:val="single" w:sz="8" w:space="0" w:color="000000"/>
            </w:tcBorders>
            <w:shd w:val="clear" w:color="000000" w:fill="E6E4DE"/>
            <w:noWrap/>
            <w:hideMark/>
          </w:tcPr>
          <w:p w14:paraId="0C19E07B"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84.0%</w:t>
            </w:r>
          </w:p>
        </w:tc>
        <w:tc>
          <w:tcPr>
            <w:tcW w:w="780" w:type="dxa"/>
            <w:tcBorders>
              <w:top w:val="nil"/>
              <w:left w:val="nil"/>
              <w:bottom w:val="single" w:sz="8" w:space="0" w:color="000000"/>
              <w:right w:val="single" w:sz="8" w:space="0" w:color="000000"/>
            </w:tcBorders>
            <w:shd w:val="clear" w:color="000000" w:fill="E6E4DE"/>
            <w:noWrap/>
            <w:hideMark/>
          </w:tcPr>
          <w:p w14:paraId="57C578B8"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77.8%</w:t>
            </w:r>
          </w:p>
        </w:tc>
        <w:tc>
          <w:tcPr>
            <w:tcW w:w="780" w:type="dxa"/>
            <w:tcBorders>
              <w:top w:val="nil"/>
              <w:left w:val="nil"/>
              <w:bottom w:val="single" w:sz="8" w:space="0" w:color="000000"/>
              <w:right w:val="single" w:sz="8" w:space="0" w:color="000000"/>
            </w:tcBorders>
            <w:shd w:val="clear" w:color="000000" w:fill="E6E4DE"/>
            <w:noWrap/>
            <w:hideMark/>
          </w:tcPr>
          <w:p w14:paraId="4DB500DC"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63.3%</w:t>
            </w:r>
          </w:p>
        </w:tc>
        <w:tc>
          <w:tcPr>
            <w:tcW w:w="780" w:type="dxa"/>
            <w:tcBorders>
              <w:top w:val="nil"/>
              <w:left w:val="nil"/>
              <w:bottom w:val="single" w:sz="8" w:space="0" w:color="000000"/>
              <w:right w:val="single" w:sz="8" w:space="0" w:color="000000"/>
            </w:tcBorders>
            <w:shd w:val="clear" w:color="000000" w:fill="E6E4DE"/>
            <w:noWrap/>
            <w:hideMark/>
          </w:tcPr>
          <w:p w14:paraId="33EEE5D8"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79.6%</w:t>
            </w:r>
          </w:p>
        </w:tc>
        <w:tc>
          <w:tcPr>
            <w:tcW w:w="780" w:type="dxa"/>
            <w:tcBorders>
              <w:top w:val="nil"/>
              <w:left w:val="nil"/>
              <w:bottom w:val="single" w:sz="8" w:space="0" w:color="000000"/>
              <w:right w:val="single" w:sz="8" w:space="0" w:color="000000"/>
            </w:tcBorders>
            <w:shd w:val="clear" w:color="000000" w:fill="E6E4DE"/>
            <w:noWrap/>
            <w:hideMark/>
          </w:tcPr>
          <w:p w14:paraId="6EF454DA"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81.6%</w:t>
            </w:r>
          </w:p>
        </w:tc>
        <w:tc>
          <w:tcPr>
            <w:tcW w:w="780" w:type="dxa"/>
            <w:tcBorders>
              <w:top w:val="nil"/>
              <w:left w:val="nil"/>
              <w:bottom w:val="single" w:sz="8" w:space="0" w:color="000000"/>
              <w:right w:val="single" w:sz="8" w:space="0" w:color="000000"/>
            </w:tcBorders>
            <w:shd w:val="clear" w:color="000000" w:fill="E6E4DE"/>
            <w:noWrap/>
            <w:hideMark/>
          </w:tcPr>
          <w:p w14:paraId="2E6810AE" w14:textId="77777777" w:rsidR="008D13BD" w:rsidRPr="003465CB" w:rsidRDefault="008D13BD" w:rsidP="008D13BD">
            <w:pPr>
              <w:spacing w:after="0"/>
              <w:jc w:val="right"/>
              <w:rPr>
                <w:rFonts w:eastAsia="Times New Roman" w:cs="Arial"/>
                <w:b/>
                <w:bCs/>
                <w:color w:val="000000"/>
                <w:szCs w:val="18"/>
                <w:lang w:eastAsia="en-GB"/>
              </w:rPr>
            </w:pPr>
            <w:r w:rsidRPr="003465CB">
              <w:rPr>
                <w:rFonts w:eastAsia="Times New Roman" w:cs="Arial"/>
                <w:b/>
                <w:bCs/>
                <w:color w:val="000000"/>
                <w:szCs w:val="18"/>
                <w:lang w:eastAsia="en-GB"/>
              </w:rPr>
              <w:t>95.7%</w:t>
            </w:r>
          </w:p>
        </w:tc>
      </w:tr>
      <w:tr w:rsidR="008D13BD" w:rsidRPr="003465CB" w14:paraId="1B464F83" w14:textId="77777777" w:rsidTr="008D13BD">
        <w:trPr>
          <w:trHeight w:val="495"/>
        </w:trPr>
        <w:tc>
          <w:tcPr>
            <w:tcW w:w="1700" w:type="dxa"/>
            <w:tcBorders>
              <w:top w:val="nil"/>
              <w:left w:val="single" w:sz="8" w:space="0" w:color="000000"/>
              <w:bottom w:val="single" w:sz="8" w:space="0" w:color="000000"/>
              <w:right w:val="single" w:sz="8" w:space="0" w:color="000000"/>
            </w:tcBorders>
            <w:shd w:val="clear" w:color="auto" w:fill="auto"/>
            <w:hideMark/>
          </w:tcPr>
          <w:p w14:paraId="6EF75AA8" w14:textId="77777777" w:rsidR="008D13BD" w:rsidRPr="003465CB" w:rsidRDefault="008D13BD" w:rsidP="008D13BD">
            <w:pPr>
              <w:spacing w:after="0"/>
              <w:rPr>
                <w:rFonts w:eastAsia="Times New Roman" w:cs="Arial"/>
                <w:color w:val="000000"/>
                <w:szCs w:val="18"/>
                <w:lang w:eastAsia="en-GB"/>
              </w:rPr>
            </w:pPr>
            <w:r w:rsidRPr="003465CB">
              <w:rPr>
                <w:rFonts w:eastAsia="Times New Roman" w:cs="Arial"/>
                <w:color w:val="000000"/>
                <w:szCs w:val="18"/>
                <w:lang w:eastAsia="en-GB"/>
              </w:rPr>
              <w:t>Europe (other than UK);</w:t>
            </w:r>
          </w:p>
        </w:tc>
        <w:tc>
          <w:tcPr>
            <w:tcW w:w="780" w:type="dxa"/>
            <w:tcBorders>
              <w:top w:val="nil"/>
              <w:left w:val="nil"/>
              <w:bottom w:val="single" w:sz="8" w:space="0" w:color="000000"/>
              <w:right w:val="single" w:sz="8" w:space="0" w:color="000000"/>
            </w:tcBorders>
            <w:shd w:val="clear" w:color="auto" w:fill="auto"/>
            <w:noWrap/>
            <w:hideMark/>
          </w:tcPr>
          <w:p w14:paraId="225DCF5A"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6.1%</w:t>
            </w:r>
          </w:p>
        </w:tc>
        <w:tc>
          <w:tcPr>
            <w:tcW w:w="780" w:type="dxa"/>
            <w:tcBorders>
              <w:top w:val="nil"/>
              <w:left w:val="nil"/>
              <w:bottom w:val="single" w:sz="8" w:space="0" w:color="000000"/>
              <w:right w:val="single" w:sz="8" w:space="0" w:color="000000"/>
            </w:tcBorders>
            <w:shd w:val="clear" w:color="auto" w:fill="auto"/>
            <w:noWrap/>
            <w:hideMark/>
          </w:tcPr>
          <w:p w14:paraId="03E86DF7"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5.7%</w:t>
            </w:r>
          </w:p>
        </w:tc>
        <w:tc>
          <w:tcPr>
            <w:tcW w:w="780" w:type="dxa"/>
            <w:tcBorders>
              <w:top w:val="nil"/>
              <w:left w:val="nil"/>
              <w:bottom w:val="single" w:sz="8" w:space="0" w:color="000000"/>
              <w:right w:val="single" w:sz="8" w:space="0" w:color="000000"/>
            </w:tcBorders>
            <w:shd w:val="clear" w:color="auto" w:fill="auto"/>
            <w:noWrap/>
            <w:hideMark/>
          </w:tcPr>
          <w:p w14:paraId="06CF4E09"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7.7%</w:t>
            </w:r>
          </w:p>
        </w:tc>
        <w:tc>
          <w:tcPr>
            <w:tcW w:w="780" w:type="dxa"/>
            <w:tcBorders>
              <w:top w:val="nil"/>
              <w:left w:val="nil"/>
              <w:bottom w:val="single" w:sz="8" w:space="0" w:color="000000"/>
              <w:right w:val="single" w:sz="8" w:space="0" w:color="000000"/>
            </w:tcBorders>
            <w:shd w:val="clear" w:color="auto" w:fill="auto"/>
            <w:noWrap/>
            <w:hideMark/>
          </w:tcPr>
          <w:p w14:paraId="59F176AD"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9.1%</w:t>
            </w:r>
          </w:p>
        </w:tc>
        <w:tc>
          <w:tcPr>
            <w:tcW w:w="780" w:type="dxa"/>
            <w:tcBorders>
              <w:top w:val="nil"/>
              <w:left w:val="nil"/>
              <w:bottom w:val="single" w:sz="8" w:space="0" w:color="000000"/>
              <w:right w:val="single" w:sz="8" w:space="0" w:color="000000"/>
            </w:tcBorders>
            <w:shd w:val="clear" w:color="auto" w:fill="auto"/>
            <w:noWrap/>
            <w:hideMark/>
          </w:tcPr>
          <w:p w14:paraId="1F62A8A9"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4.6%</w:t>
            </w:r>
          </w:p>
        </w:tc>
        <w:tc>
          <w:tcPr>
            <w:tcW w:w="780" w:type="dxa"/>
            <w:tcBorders>
              <w:top w:val="nil"/>
              <w:left w:val="nil"/>
              <w:bottom w:val="single" w:sz="8" w:space="0" w:color="000000"/>
              <w:right w:val="single" w:sz="8" w:space="0" w:color="000000"/>
            </w:tcBorders>
            <w:shd w:val="clear" w:color="auto" w:fill="auto"/>
            <w:noWrap/>
            <w:hideMark/>
          </w:tcPr>
          <w:p w14:paraId="26ED1EC2"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13.3%</w:t>
            </w:r>
          </w:p>
        </w:tc>
        <w:tc>
          <w:tcPr>
            <w:tcW w:w="780" w:type="dxa"/>
            <w:tcBorders>
              <w:top w:val="nil"/>
              <w:left w:val="nil"/>
              <w:bottom w:val="single" w:sz="8" w:space="0" w:color="000000"/>
              <w:right w:val="single" w:sz="8" w:space="0" w:color="000000"/>
            </w:tcBorders>
            <w:shd w:val="clear" w:color="auto" w:fill="auto"/>
            <w:noWrap/>
            <w:hideMark/>
          </w:tcPr>
          <w:p w14:paraId="71C1B744"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10.2%</w:t>
            </w:r>
          </w:p>
        </w:tc>
        <w:tc>
          <w:tcPr>
            <w:tcW w:w="780" w:type="dxa"/>
            <w:tcBorders>
              <w:top w:val="nil"/>
              <w:left w:val="nil"/>
              <w:bottom w:val="single" w:sz="8" w:space="0" w:color="000000"/>
              <w:right w:val="single" w:sz="8" w:space="0" w:color="000000"/>
            </w:tcBorders>
            <w:shd w:val="clear" w:color="auto" w:fill="auto"/>
            <w:noWrap/>
            <w:hideMark/>
          </w:tcPr>
          <w:p w14:paraId="2FA08DC9"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10.2%</w:t>
            </w:r>
          </w:p>
        </w:tc>
        <w:tc>
          <w:tcPr>
            <w:tcW w:w="780" w:type="dxa"/>
            <w:tcBorders>
              <w:top w:val="nil"/>
              <w:left w:val="nil"/>
              <w:bottom w:val="single" w:sz="8" w:space="0" w:color="000000"/>
              <w:right w:val="single" w:sz="8" w:space="0" w:color="000000"/>
            </w:tcBorders>
            <w:shd w:val="clear" w:color="auto" w:fill="auto"/>
            <w:noWrap/>
            <w:hideMark/>
          </w:tcPr>
          <w:p w14:paraId="3D6C2904"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4.8%</w:t>
            </w:r>
          </w:p>
        </w:tc>
        <w:tc>
          <w:tcPr>
            <w:tcW w:w="780" w:type="dxa"/>
            <w:tcBorders>
              <w:top w:val="nil"/>
              <w:left w:val="nil"/>
              <w:bottom w:val="single" w:sz="8" w:space="0" w:color="000000"/>
              <w:right w:val="single" w:sz="8" w:space="0" w:color="000000"/>
            </w:tcBorders>
            <w:shd w:val="clear" w:color="auto" w:fill="auto"/>
            <w:noWrap/>
            <w:hideMark/>
          </w:tcPr>
          <w:p w14:paraId="796E65DA"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2.7%</w:t>
            </w:r>
          </w:p>
        </w:tc>
      </w:tr>
      <w:tr w:rsidR="008D13BD" w:rsidRPr="003465CB" w14:paraId="1C737E55" w14:textId="77777777" w:rsidTr="008D13BD">
        <w:trPr>
          <w:trHeight w:val="270"/>
        </w:trPr>
        <w:tc>
          <w:tcPr>
            <w:tcW w:w="1700" w:type="dxa"/>
            <w:tcBorders>
              <w:top w:val="nil"/>
              <w:left w:val="single" w:sz="8" w:space="0" w:color="000000"/>
              <w:bottom w:val="single" w:sz="8" w:space="0" w:color="000000"/>
              <w:right w:val="single" w:sz="8" w:space="0" w:color="000000"/>
            </w:tcBorders>
            <w:shd w:val="clear" w:color="auto" w:fill="auto"/>
            <w:hideMark/>
          </w:tcPr>
          <w:p w14:paraId="73651D0B" w14:textId="77777777" w:rsidR="008D13BD" w:rsidRPr="003465CB" w:rsidRDefault="008D13BD" w:rsidP="008D13BD">
            <w:pPr>
              <w:spacing w:after="0"/>
              <w:rPr>
                <w:rFonts w:eastAsia="Times New Roman" w:cs="Arial"/>
                <w:color w:val="000000"/>
                <w:szCs w:val="18"/>
                <w:lang w:eastAsia="en-GB"/>
              </w:rPr>
            </w:pPr>
            <w:r w:rsidRPr="003465CB">
              <w:rPr>
                <w:rFonts w:eastAsia="Times New Roman" w:cs="Arial"/>
                <w:color w:val="000000"/>
                <w:szCs w:val="18"/>
                <w:lang w:eastAsia="en-GB"/>
              </w:rPr>
              <w:t>USA;</w:t>
            </w:r>
          </w:p>
        </w:tc>
        <w:tc>
          <w:tcPr>
            <w:tcW w:w="780" w:type="dxa"/>
            <w:tcBorders>
              <w:top w:val="nil"/>
              <w:left w:val="nil"/>
              <w:bottom w:val="single" w:sz="8" w:space="0" w:color="000000"/>
              <w:right w:val="single" w:sz="8" w:space="0" w:color="000000"/>
            </w:tcBorders>
            <w:shd w:val="clear" w:color="auto" w:fill="auto"/>
            <w:noWrap/>
            <w:hideMark/>
          </w:tcPr>
          <w:p w14:paraId="091821A4"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0.0%</w:t>
            </w:r>
          </w:p>
        </w:tc>
        <w:tc>
          <w:tcPr>
            <w:tcW w:w="780" w:type="dxa"/>
            <w:tcBorders>
              <w:top w:val="nil"/>
              <w:left w:val="nil"/>
              <w:bottom w:val="single" w:sz="8" w:space="0" w:color="000000"/>
              <w:right w:val="single" w:sz="8" w:space="0" w:color="000000"/>
            </w:tcBorders>
            <w:shd w:val="clear" w:color="auto" w:fill="auto"/>
            <w:noWrap/>
            <w:hideMark/>
          </w:tcPr>
          <w:p w14:paraId="7DCF40C1"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0.0%</w:t>
            </w:r>
          </w:p>
        </w:tc>
        <w:tc>
          <w:tcPr>
            <w:tcW w:w="780" w:type="dxa"/>
            <w:tcBorders>
              <w:top w:val="nil"/>
              <w:left w:val="nil"/>
              <w:bottom w:val="single" w:sz="8" w:space="0" w:color="000000"/>
              <w:right w:val="single" w:sz="8" w:space="0" w:color="000000"/>
            </w:tcBorders>
            <w:shd w:val="clear" w:color="auto" w:fill="auto"/>
            <w:noWrap/>
            <w:hideMark/>
          </w:tcPr>
          <w:p w14:paraId="12F42474"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3.1%</w:t>
            </w:r>
          </w:p>
        </w:tc>
        <w:tc>
          <w:tcPr>
            <w:tcW w:w="780" w:type="dxa"/>
            <w:tcBorders>
              <w:top w:val="nil"/>
              <w:left w:val="nil"/>
              <w:bottom w:val="single" w:sz="8" w:space="0" w:color="000000"/>
              <w:right w:val="single" w:sz="8" w:space="0" w:color="000000"/>
            </w:tcBorders>
            <w:shd w:val="clear" w:color="auto" w:fill="auto"/>
            <w:noWrap/>
            <w:hideMark/>
          </w:tcPr>
          <w:p w14:paraId="3B271ED4"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0.7%</w:t>
            </w:r>
          </w:p>
        </w:tc>
        <w:tc>
          <w:tcPr>
            <w:tcW w:w="780" w:type="dxa"/>
            <w:tcBorders>
              <w:top w:val="nil"/>
              <w:left w:val="nil"/>
              <w:bottom w:val="single" w:sz="8" w:space="0" w:color="000000"/>
              <w:right w:val="single" w:sz="8" w:space="0" w:color="000000"/>
            </w:tcBorders>
            <w:shd w:val="clear" w:color="auto" w:fill="auto"/>
            <w:noWrap/>
            <w:hideMark/>
          </w:tcPr>
          <w:p w14:paraId="66D676B1"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0.0%</w:t>
            </w:r>
          </w:p>
        </w:tc>
        <w:tc>
          <w:tcPr>
            <w:tcW w:w="780" w:type="dxa"/>
            <w:tcBorders>
              <w:top w:val="nil"/>
              <w:left w:val="nil"/>
              <w:bottom w:val="single" w:sz="8" w:space="0" w:color="000000"/>
              <w:right w:val="single" w:sz="8" w:space="0" w:color="000000"/>
            </w:tcBorders>
            <w:shd w:val="clear" w:color="auto" w:fill="auto"/>
            <w:noWrap/>
            <w:hideMark/>
          </w:tcPr>
          <w:p w14:paraId="4C944FAC"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0.0%</w:t>
            </w:r>
          </w:p>
        </w:tc>
        <w:tc>
          <w:tcPr>
            <w:tcW w:w="780" w:type="dxa"/>
            <w:tcBorders>
              <w:top w:val="nil"/>
              <w:left w:val="nil"/>
              <w:bottom w:val="single" w:sz="8" w:space="0" w:color="000000"/>
              <w:right w:val="single" w:sz="8" w:space="0" w:color="000000"/>
            </w:tcBorders>
            <w:shd w:val="clear" w:color="auto" w:fill="auto"/>
            <w:noWrap/>
            <w:hideMark/>
          </w:tcPr>
          <w:p w14:paraId="70C15E7C"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0.0%</w:t>
            </w:r>
          </w:p>
        </w:tc>
        <w:tc>
          <w:tcPr>
            <w:tcW w:w="780" w:type="dxa"/>
            <w:tcBorders>
              <w:top w:val="nil"/>
              <w:left w:val="nil"/>
              <w:bottom w:val="single" w:sz="8" w:space="0" w:color="000000"/>
              <w:right w:val="single" w:sz="8" w:space="0" w:color="000000"/>
            </w:tcBorders>
            <w:shd w:val="clear" w:color="auto" w:fill="auto"/>
            <w:noWrap/>
            <w:hideMark/>
          </w:tcPr>
          <w:p w14:paraId="4552B58E"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0.0%</w:t>
            </w:r>
          </w:p>
        </w:tc>
        <w:tc>
          <w:tcPr>
            <w:tcW w:w="780" w:type="dxa"/>
            <w:tcBorders>
              <w:top w:val="nil"/>
              <w:left w:val="nil"/>
              <w:bottom w:val="single" w:sz="8" w:space="0" w:color="000000"/>
              <w:right w:val="single" w:sz="8" w:space="0" w:color="000000"/>
            </w:tcBorders>
            <w:shd w:val="clear" w:color="auto" w:fill="auto"/>
            <w:noWrap/>
            <w:hideMark/>
          </w:tcPr>
          <w:p w14:paraId="110BE1D4"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0.5%</w:t>
            </w:r>
          </w:p>
        </w:tc>
        <w:tc>
          <w:tcPr>
            <w:tcW w:w="780" w:type="dxa"/>
            <w:tcBorders>
              <w:top w:val="nil"/>
              <w:left w:val="nil"/>
              <w:bottom w:val="single" w:sz="8" w:space="0" w:color="000000"/>
              <w:right w:val="single" w:sz="8" w:space="0" w:color="000000"/>
            </w:tcBorders>
            <w:shd w:val="clear" w:color="auto" w:fill="auto"/>
            <w:noWrap/>
            <w:hideMark/>
          </w:tcPr>
          <w:p w14:paraId="0FE3424F"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0.5%</w:t>
            </w:r>
          </w:p>
        </w:tc>
      </w:tr>
      <w:tr w:rsidR="008D13BD" w:rsidRPr="003465CB" w14:paraId="76D2B113" w14:textId="77777777" w:rsidTr="008D13BD">
        <w:trPr>
          <w:trHeight w:val="270"/>
        </w:trPr>
        <w:tc>
          <w:tcPr>
            <w:tcW w:w="1700" w:type="dxa"/>
            <w:tcBorders>
              <w:top w:val="nil"/>
              <w:left w:val="single" w:sz="8" w:space="0" w:color="000000"/>
              <w:bottom w:val="single" w:sz="8" w:space="0" w:color="000000"/>
              <w:right w:val="single" w:sz="8" w:space="0" w:color="000000"/>
            </w:tcBorders>
            <w:shd w:val="clear" w:color="auto" w:fill="auto"/>
            <w:hideMark/>
          </w:tcPr>
          <w:p w14:paraId="15C24E1C" w14:textId="77777777" w:rsidR="008D13BD" w:rsidRPr="003465CB" w:rsidRDefault="008D13BD" w:rsidP="008D13BD">
            <w:pPr>
              <w:spacing w:after="0"/>
              <w:rPr>
                <w:rFonts w:eastAsia="Times New Roman" w:cs="Arial"/>
                <w:color w:val="000000"/>
                <w:szCs w:val="18"/>
                <w:lang w:eastAsia="en-GB"/>
              </w:rPr>
            </w:pPr>
            <w:r w:rsidRPr="003465CB">
              <w:rPr>
                <w:rFonts w:eastAsia="Times New Roman" w:cs="Arial"/>
                <w:color w:val="000000"/>
                <w:szCs w:val="18"/>
                <w:lang w:eastAsia="en-GB"/>
              </w:rPr>
              <w:t>China</w:t>
            </w:r>
          </w:p>
        </w:tc>
        <w:tc>
          <w:tcPr>
            <w:tcW w:w="780" w:type="dxa"/>
            <w:tcBorders>
              <w:top w:val="nil"/>
              <w:left w:val="nil"/>
              <w:bottom w:val="single" w:sz="8" w:space="0" w:color="000000"/>
              <w:right w:val="single" w:sz="8" w:space="0" w:color="000000"/>
            </w:tcBorders>
            <w:shd w:val="clear" w:color="auto" w:fill="auto"/>
            <w:noWrap/>
            <w:hideMark/>
          </w:tcPr>
          <w:p w14:paraId="5A3B49BC"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0.0%</w:t>
            </w:r>
          </w:p>
        </w:tc>
        <w:tc>
          <w:tcPr>
            <w:tcW w:w="780" w:type="dxa"/>
            <w:tcBorders>
              <w:top w:val="nil"/>
              <w:left w:val="nil"/>
              <w:bottom w:val="single" w:sz="8" w:space="0" w:color="000000"/>
              <w:right w:val="single" w:sz="8" w:space="0" w:color="000000"/>
            </w:tcBorders>
            <w:shd w:val="clear" w:color="auto" w:fill="auto"/>
            <w:noWrap/>
            <w:hideMark/>
          </w:tcPr>
          <w:p w14:paraId="2F8888AA"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0.0%</w:t>
            </w:r>
          </w:p>
        </w:tc>
        <w:tc>
          <w:tcPr>
            <w:tcW w:w="780" w:type="dxa"/>
            <w:tcBorders>
              <w:top w:val="nil"/>
              <w:left w:val="nil"/>
              <w:bottom w:val="single" w:sz="8" w:space="0" w:color="000000"/>
              <w:right w:val="single" w:sz="8" w:space="0" w:color="000000"/>
            </w:tcBorders>
            <w:shd w:val="clear" w:color="auto" w:fill="auto"/>
            <w:noWrap/>
            <w:hideMark/>
          </w:tcPr>
          <w:p w14:paraId="23EFB3A8"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2.1%</w:t>
            </w:r>
          </w:p>
        </w:tc>
        <w:tc>
          <w:tcPr>
            <w:tcW w:w="780" w:type="dxa"/>
            <w:tcBorders>
              <w:top w:val="nil"/>
              <w:left w:val="nil"/>
              <w:bottom w:val="single" w:sz="8" w:space="0" w:color="000000"/>
              <w:right w:val="single" w:sz="8" w:space="0" w:color="000000"/>
            </w:tcBorders>
            <w:shd w:val="clear" w:color="auto" w:fill="auto"/>
            <w:noWrap/>
            <w:hideMark/>
          </w:tcPr>
          <w:p w14:paraId="3DCBFBF6"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2.1%</w:t>
            </w:r>
          </w:p>
        </w:tc>
        <w:tc>
          <w:tcPr>
            <w:tcW w:w="780" w:type="dxa"/>
            <w:tcBorders>
              <w:top w:val="nil"/>
              <w:left w:val="nil"/>
              <w:bottom w:val="single" w:sz="8" w:space="0" w:color="000000"/>
              <w:right w:val="single" w:sz="8" w:space="0" w:color="000000"/>
            </w:tcBorders>
            <w:shd w:val="clear" w:color="auto" w:fill="auto"/>
            <w:noWrap/>
            <w:hideMark/>
          </w:tcPr>
          <w:p w14:paraId="558DF497"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0.0%</w:t>
            </w:r>
          </w:p>
        </w:tc>
        <w:tc>
          <w:tcPr>
            <w:tcW w:w="780" w:type="dxa"/>
            <w:tcBorders>
              <w:top w:val="nil"/>
              <w:left w:val="nil"/>
              <w:bottom w:val="single" w:sz="8" w:space="0" w:color="000000"/>
              <w:right w:val="single" w:sz="8" w:space="0" w:color="000000"/>
            </w:tcBorders>
            <w:shd w:val="clear" w:color="auto" w:fill="auto"/>
            <w:noWrap/>
            <w:hideMark/>
          </w:tcPr>
          <w:p w14:paraId="41ED3818"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2.2%</w:t>
            </w:r>
          </w:p>
        </w:tc>
        <w:tc>
          <w:tcPr>
            <w:tcW w:w="780" w:type="dxa"/>
            <w:tcBorders>
              <w:top w:val="nil"/>
              <w:left w:val="nil"/>
              <w:bottom w:val="single" w:sz="8" w:space="0" w:color="000000"/>
              <w:right w:val="single" w:sz="8" w:space="0" w:color="000000"/>
            </w:tcBorders>
            <w:shd w:val="clear" w:color="auto" w:fill="auto"/>
            <w:noWrap/>
            <w:hideMark/>
          </w:tcPr>
          <w:p w14:paraId="448DD87F"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0.0%</w:t>
            </w:r>
          </w:p>
        </w:tc>
        <w:tc>
          <w:tcPr>
            <w:tcW w:w="780" w:type="dxa"/>
            <w:tcBorders>
              <w:top w:val="nil"/>
              <w:left w:val="nil"/>
              <w:bottom w:val="single" w:sz="8" w:space="0" w:color="000000"/>
              <w:right w:val="single" w:sz="8" w:space="0" w:color="000000"/>
            </w:tcBorders>
            <w:shd w:val="clear" w:color="auto" w:fill="auto"/>
            <w:noWrap/>
            <w:hideMark/>
          </w:tcPr>
          <w:p w14:paraId="10B74992"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0.0%</w:t>
            </w:r>
          </w:p>
        </w:tc>
        <w:tc>
          <w:tcPr>
            <w:tcW w:w="780" w:type="dxa"/>
            <w:tcBorders>
              <w:top w:val="nil"/>
              <w:left w:val="nil"/>
              <w:bottom w:val="single" w:sz="8" w:space="0" w:color="000000"/>
              <w:right w:val="single" w:sz="8" w:space="0" w:color="000000"/>
            </w:tcBorders>
            <w:shd w:val="clear" w:color="auto" w:fill="auto"/>
            <w:noWrap/>
            <w:hideMark/>
          </w:tcPr>
          <w:p w14:paraId="628E19D0"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0.0%</w:t>
            </w:r>
          </w:p>
        </w:tc>
        <w:tc>
          <w:tcPr>
            <w:tcW w:w="780" w:type="dxa"/>
            <w:tcBorders>
              <w:top w:val="nil"/>
              <w:left w:val="nil"/>
              <w:bottom w:val="single" w:sz="8" w:space="0" w:color="000000"/>
              <w:right w:val="single" w:sz="8" w:space="0" w:color="000000"/>
            </w:tcBorders>
            <w:shd w:val="clear" w:color="auto" w:fill="auto"/>
            <w:noWrap/>
            <w:hideMark/>
          </w:tcPr>
          <w:p w14:paraId="00812E1D"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0.0%</w:t>
            </w:r>
          </w:p>
        </w:tc>
      </w:tr>
      <w:tr w:rsidR="008D13BD" w:rsidRPr="003465CB" w14:paraId="7A48FC71" w14:textId="77777777" w:rsidTr="008D13BD">
        <w:trPr>
          <w:trHeight w:val="270"/>
        </w:trPr>
        <w:tc>
          <w:tcPr>
            <w:tcW w:w="1700" w:type="dxa"/>
            <w:tcBorders>
              <w:top w:val="nil"/>
              <w:left w:val="single" w:sz="8" w:space="0" w:color="000000"/>
              <w:bottom w:val="single" w:sz="8" w:space="0" w:color="000000"/>
              <w:right w:val="single" w:sz="8" w:space="0" w:color="000000"/>
            </w:tcBorders>
            <w:shd w:val="clear" w:color="auto" w:fill="auto"/>
            <w:hideMark/>
          </w:tcPr>
          <w:p w14:paraId="0BE01BFE" w14:textId="77777777" w:rsidR="008D13BD" w:rsidRPr="003465CB" w:rsidRDefault="008D13BD" w:rsidP="008D13BD">
            <w:pPr>
              <w:spacing w:after="0"/>
              <w:rPr>
                <w:rFonts w:eastAsia="Times New Roman" w:cs="Arial"/>
                <w:color w:val="000000"/>
                <w:szCs w:val="18"/>
                <w:lang w:eastAsia="en-GB"/>
              </w:rPr>
            </w:pPr>
            <w:r w:rsidRPr="003465CB">
              <w:rPr>
                <w:rFonts w:eastAsia="Times New Roman" w:cs="Arial"/>
                <w:color w:val="000000"/>
                <w:szCs w:val="18"/>
                <w:lang w:eastAsia="en-GB"/>
              </w:rPr>
              <w:t>Far East;</w:t>
            </w:r>
          </w:p>
        </w:tc>
        <w:tc>
          <w:tcPr>
            <w:tcW w:w="780" w:type="dxa"/>
            <w:tcBorders>
              <w:top w:val="nil"/>
              <w:left w:val="nil"/>
              <w:bottom w:val="single" w:sz="8" w:space="0" w:color="000000"/>
              <w:right w:val="single" w:sz="8" w:space="0" w:color="000000"/>
            </w:tcBorders>
            <w:shd w:val="clear" w:color="auto" w:fill="auto"/>
            <w:noWrap/>
            <w:hideMark/>
          </w:tcPr>
          <w:p w14:paraId="2F9EA87B"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0.0%</w:t>
            </w:r>
          </w:p>
        </w:tc>
        <w:tc>
          <w:tcPr>
            <w:tcW w:w="780" w:type="dxa"/>
            <w:tcBorders>
              <w:top w:val="nil"/>
              <w:left w:val="nil"/>
              <w:bottom w:val="single" w:sz="8" w:space="0" w:color="000000"/>
              <w:right w:val="single" w:sz="8" w:space="0" w:color="000000"/>
            </w:tcBorders>
            <w:shd w:val="clear" w:color="auto" w:fill="auto"/>
            <w:noWrap/>
            <w:hideMark/>
          </w:tcPr>
          <w:p w14:paraId="74B23BEA"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2.9%</w:t>
            </w:r>
          </w:p>
        </w:tc>
        <w:tc>
          <w:tcPr>
            <w:tcW w:w="780" w:type="dxa"/>
            <w:tcBorders>
              <w:top w:val="nil"/>
              <w:left w:val="nil"/>
              <w:bottom w:val="single" w:sz="8" w:space="0" w:color="000000"/>
              <w:right w:val="single" w:sz="8" w:space="0" w:color="000000"/>
            </w:tcBorders>
            <w:shd w:val="clear" w:color="auto" w:fill="auto"/>
            <w:noWrap/>
            <w:hideMark/>
          </w:tcPr>
          <w:p w14:paraId="74B179EA"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2.1%</w:t>
            </w:r>
          </w:p>
        </w:tc>
        <w:tc>
          <w:tcPr>
            <w:tcW w:w="780" w:type="dxa"/>
            <w:tcBorders>
              <w:top w:val="nil"/>
              <w:left w:val="nil"/>
              <w:bottom w:val="single" w:sz="8" w:space="0" w:color="000000"/>
              <w:right w:val="single" w:sz="8" w:space="0" w:color="000000"/>
            </w:tcBorders>
            <w:shd w:val="clear" w:color="auto" w:fill="auto"/>
            <w:noWrap/>
            <w:hideMark/>
          </w:tcPr>
          <w:p w14:paraId="579EF43A"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1.4%</w:t>
            </w:r>
          </w:p>
        </w:tc>
        <w:tc>
          <w:tcPr>
            <w:tcW w:w="780" w:type="dxa"/>
            <w:tcBorders>
              <w:top w:val="nil"/>
              <w:left w:val="nil"/>
              <w:bottom w:val="single" w:sz="8" w:space="0" w:color="000000"/>
              <w:right w:val="single" w:sz="8" w:space="0" w:color="000000"/>
            </w:tcBorders>
            <w:shd w:val="clear" w:color="auto" w:fill="auto"/>
            <w:noWrap/>
            <w:hideMark/>
          </w:tcPr>
          <w:p w14:paraId="080C3668"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0.0%</w:t>
            </w:r>
          </w:p>
        </w:tc>
        <w:tc>
          <w:tcPr>
            <w:tcW w:w="780" w:type="dxa"/>
            <w:tcBorders>
              <w:top w:val="nil"/>
              <w:left w:val="nil"/>
              <w:bottom w:val="single" w:sz="8" w:space="0" w:color="000000"/>
              <w:right w:val="single" w:sz="8" w:space="0" w:color="000000"/>
            </w:tcBorders>
            <w:shd w:val="clear" w:color="auto" w:fill="auto"/>
            <w:noWrap/>
            <w:hideMark/>
          </w:tcPr>
          <w:p w14:paraId="578FE562"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1.1%</w:t>
            </w:r>
          </w:p>
        </w:tc>
        <w:tc>
          <w:tcPr>
            <w:tcW w:w="780" w:type="dxa"/>
            <w:tcBorders>
              <w:top w:val="nil"/>
              <w:left w:val="nil"/>
              <w:bottom w:val="single" w:sz="8" w:space="0" w:color="000000"/>
              <w:right w:val="single" w:sz="8" w:space="0" w:color="000000"/>
            </w:tcBorders>
            <w:shd w:val="clear" w:color="auto" w:fill="auto"/>
            <w:noWrap/>
            <w:hideMark/>
          </w:tcPr>
          <w:p w14:paraId="465FC3E2"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2.0%</w:t>
            </w:r>
          </w:p>
        </w:tc>
        <w:tc>
          <w:tcPr>
            <w:tcW w:w="780" w:type="dxa"/>
            <w:tcBorders>
              <w:top w:val="nil"/>
              <w:left w:val="nil"/>
              <w:bottom w:val="single" w:sz="8" w:space="0" w:color="000000"/>
              <w:right w:val="single" w:sz="8" w:space="0" w:color="000000"/>
            </w:tcBorders>
            <w:shd w:val="clear" w:color="auto" w:fill="auto"/>
            <w:noWrap/>
            <w:hideMark/>
          </w:tcPr>
          <w:p w14:paraId="62EA826D"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2.0%</w:t>
            </w:r>
          </w:p>
        </w:tc>
        <w:tc>
          <w:tcPr>
            <w:tcW w:w="780" w:type="dxa"/>
            <w:tcBorders>
              <w:top w:val="nil"/>
              <w:left w:val="nil"/>
              <w:bottom w:val="single" w:sz="8" w:space="0" w:color="000000"/>
              <w:right w:val="single" w:sz="8" w:space="0" w:color="000000"/>
            </w:tcBorders>
            <w:shd w:val="clear" w:color="auto" w:fill="auto"/>
            <w:noWrap/>
            <w:hideMark/>
          </w:tcPr>
          <w:p w14:paraId="599A7AD2"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0.0%</w:t>
            </w:r>
          </w:p>
        </w:tc>
        <w:tc>
          <w:tcPr>
            <w:tcW w:w="780" w:type="dxa"/>
            <w:tcBorders>
              <w:top w:val="nil"/>
              <w:left w:val="nil"/>
              <w:bottom w:val="single" w:sz="8" w:space="0" w:color="000000"/>
              <w:right w:val="single" w:sz="8" w:space="0" w:color="000000"/>
            </w:tcBorders>
            <w:shd w:val="clear" w:color="auto" w:fill="auto"/>
            <w:noWrap/>
            <w:hideMark/>
          </w:tcPr>
          <w:p w14:paraId="1666A15C"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0.5%</w:t>
            </w:r>
          </w:p>
        </w:tc>
      </w:tr>
      <w:tr w:rsidR="008D13BD" w:rsidRPr="003465CB" w14:paraId="09300ACC" w14:textId="77777777" w:rsidTr="008D13BD">
        <w:trPr>
          <w:trHeight w:val="495"/>
        </w:trPr>
        <w:tc>
          <w:tcPr>
            <w:tcW w:w="1700" w:type="dxa"/>
            <w:tcBorders>
              <w:top w:val="nil"/>
              <w:left w:val="single" w:sz="8" w:space="0" w:color="000000"/>
              <w:bottom w:val="single" w:sz="8" w:space="0" w:color="000000"/>
              <w:right w:val="single" w:sz="8" w:space="0" w:color="000000"/>
            </w:tcBorders>
            <w:shd w:val="clear" w:color="auto" w:fill="auto"/>
            <w:hideMark/>
          </w:tcPr>
          <w:p w14:paraId="5D0979D4" w14:textId="77777777" w:rsidR="008D13BD" w:rsidRPr="003465CB" w:rsidRDefault="008D13BD" w:rsidP="008D13BD">
            <w:pPr>
              <w:spacing w:after="0"/>
              <w:rPr>
                <w:rFonts w:eastAsia="Times New Roman" w:cs="Arial"/>
                <w:color w:val="000000"/>
                <w:szCs w:val="18"/>
                <w:lang w:eastAsia="en-GB"/>
              </w:rPr>
            </w:pPr>
            <w:r w:rsidRPr="003465CB">
              <w:rPr>
                <w:rFonts w:eastAsia="Times New Roman" w:cs="Arial"/>
                <w:color w:val="000000"/>
                <w:szCs w:val="18"/>
                <w:lang w:eastAsia="en-GB"/>
              </w:rPr>
              <w:t>Other Worldwide locations</w:t>
            </w:r>
          </w:p>
        </w:tc>
        <w:tc>
          <w:tcPr>
            <w:tcW w:w="780" w:type="dxa"/>
            <w:tcBorders>
              <w:top w:val="nil"/>
              <w:left w:val="nil"/>
              <w:bottom w:val="single" w:sz="8" w:space="0" w:color="000000"/>
              <w:right w:val="single" w:sz="8" w:space="0" w:color="000000"/>
            </w:tcBorders>
            <w:shd w:val="clear" w:color="auto" w:fill="auto"/>
            <w:noWrap/>
            <w:hideMark/>
          </w:tcPr>
          <w:p w14:paraId="4F93A0BE"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6.1%</w:t>
            </w:r>
          </w:p>
        </w:tc>
        <w:tc>
          <w:tcPr>
            <w:tcW w:w="780" w:type="dxa"/>
            <w:tcBorders>
              <w:top w:val="nil"/>
              <w:left w:val="nil"/>
              <w:bottom w:val="single" w:sz="8" w:space="0" w:color="000000"/>
              <w:right w:val="single" w:sz="8" w:space="0" w:color="000000"/>
            </w:tcBorders>
            <w:shd w:val="clear" w:color="auto" w:fill="auto"/>
            <w:noWrap/>
            <w:hideMark/>
          </w:tcPr>
          <w:p w14:paraId="6D8A73FC"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2.9%</w:t>
            </w:r>
          </w:p>
        </w:tc>
        <w:tc>
          <w:tcPr>
            <w:tcW w:w="780" w:type="dxa"/>
            <w:tcBorders>
              <w:top w:val="nil"/>
              <w:left w:val="nil"/>
              <w:bottom w:val="single" w:sz="8" w:space="0" w:color="000000"/>
              <w:right w:val="single" w:sz="8" w:space="0" w:color="000000"/>
            </w:tcBorders>
            <w:shd w:val="clear" w:color="auto" w:fill="auto"/>
            <w:noWrap/>
            <w:hideMark/>
          </w:tcPr>
          <w:p w14:paraId="73907804"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7.7%</w:t>
            </w:r>
          </w:p>
        </w:tc>
        <w:tc>
          <w:tcPr>
            <w:tcW w:w="780" w:type="dxa"/>
            <w:tcBorders>
              <w:top w:val="nil"/>
              <w:left w:val="nil"/>
              <w:bottom w:val="single" w:sz="8" w:space="0" w:color="000000"/>
              <w:right w:val="single" w:sz="8" w:space="0" w:color="000000"/>
            </w:tcBorders>
            <w:shd w:val="clear" w:color="auto" w:fill="auto"/>
            <w:noWrap/>
            <w:hideMark/>
          </w:tcPr>
          <w:p w14:paraId="085919D5"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7.0%</w:t>
            </w:r>
          </w:p>
        </w:tc>
        <w:tc>
          <w:tcPr>
            <w:tcW w:w="780" w:type="dxa"/>
            <w:tcBorders>
              <w:top w:val="nil"/>
              <w:left w:val="nil"/>
              <w:bottom w:val="single" w:sz="8" w:space="0" w:color="000000"/>
              <w:right w:val="single" w:sz="8" w:space="0" w:color="000000"/>
            </w:tcBorders>
            <w:shd w:val="clear" w:color="auto" w:fill="auto"/>
            <w:noWrap/>
            <w:hideMark/>
          </w:tcPr>
          <w:p w14:paraId="5D40B4E7"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1.5%</w:t>
            </w:r>
          </w:p>
        </w:tc>
        <w:tc>
          <w:tcPr>
            <w:tcW w:w="780" w:type="dxa"/>
            <w:tcBorders>
              <w:top w:val="nil"/>
              <w:left w:val="nil"/>
              <w:bottom w:val="single" w:sz="8" w:space="0" w:color="000000"/>
              <w:right w:val="single" w:sz="8" w:space="0" w:color="000000"/>
            </w:tcBorders>
            <w:shd w:val="clear" w:color="auto" w:fill="auto"/>
            <w:noWrap/>
            <w:hideMark/>
          </w:tcPr>
          <w:p w14:paraId="1668E86C"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5.6%</w:t>
            </w:r>
          </w:p>
        </w:tc>
        <w:tc>
          <w:tcPr>
            <w:tcW w:w="780" w:type="dxa"/>
            <w:tcBorders>
              <w:top w:val="nil"/>
              <w:left w:val="nil"/>
              <w:bottom w:val="single" w:sz="8" w:space="0" w:color="000000"/>
              <w:right w:val="single" w:sz="8" w:space="0" w:color="000000"/>
            </w:tcBorders>
            <w:shd w:val="clear" w:color="auto" w:fill="auto"/>
            <w:noWrap/>
            <w:hideMark/>
          </w:tcPr>
          <w:p w14:paraId="51A93D4B"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8.2%</w:t>
            </w:r>
          </w:p>
        </w:tc>
        <w:tc>
          <w:tcPr>
            <w:tcW w:w="780" w:type="dxa"/>
            <w:tcBorders>
              <w:top w:val="nil"/>
              <w:left w:val="nil"/>
              <w:bottom w:val="single" w:sz="8" w:space="0" w:color="000000"/>
              <w:right w:val="single" w:sz="8" w:space="0" w:color="000000"/>
            </w:tcBorders>
            <w:shd w:val="clear" w:color="auto" w:fill="auto"/>
            <w:noWrap/>
            <w:hideMark/>
          </w:tcPr>
          <w:p w14:paraId="64A139B7"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8.2%</w:t>
            </w:r>
          </w:p>
        </w:tc>
        <w:tc>
          <w:tcPr>
            <w:tcW w:w="780" w:type="dxa"/>
            <w:tcBorders>
              <w:top w:val="nil"/>
              <w:left w:val="nil"/>
              <w:bottom w:val="single" w:sz="8" w:space="0" w:color="000000"/>
              <w:right w:val="single" w:sz="8" w:space="0" w:color="000000"/>
            </w:tcBorders>
            <w:shd w:val="clear" w:color="auto" w:fill="auto"/>
            <w:noWrap/>
            <w:hideMark/>
          </w:tcPr>
          <w:p w14:paraId="183008A9"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1.4%</w:t>
            </w:r>
          </w:p>
        </w:tc>
        <w:tc>
          <w:tcPr>
            <w:tcW w:w="780" w:type="dxa"/>
            <w:tcBorders>
              <w:top w:val="nil"/>
              <w:left w:val="nil"/>
              <w:bottom w:val="single" w:sz="8" w:space="0" w:color="000000"/>
              <w:right w:val="single" w:sz="8" w:space="0" w:color="000000"/>
            </w:tcBorders>
            <w:shd w:val="clear" w:color="auto" w:fill="auto"/>
            <w:noWrap/>
            <w:hideMark/>
          </w:tcPr>
          <w:p w14:paraId="05C8F372" w14:textId="77777777" w:rsidR="008D13BD" w:rsidRPr="003465CB" w:rsidRDefault="008D13BD" w:rsidP="008D13BD">
            <w:pPr>
              <w:spacing w:after="0"/>
              <w:jc w:val="right"/>
              <w:rPr>
                <w:rFonts w:eastAsia="Times New Roman" w:cs="Arial"/>
                <w:color w:val="000000"/>
                <w:szCs w:val="18"/>
                <w:lang w:eastAsia="en-GB"/>
              </w:rPr>
            </w:pPr>
            <w:r w:rsidRPr="003465CB">
              <w:rPr>
                <w:rFonts w:eastAsia="Times New Roman" w:cs="Arial"/>
                <w:color w:val="000000"/>
                <w:szCs w:val="18"/>
                <w:lang w:eastAsia="en-GB"/>
              </w:rPr>
              <w:t>0.5%</w:t>
            </w:r>
          </w:p>
        </w:tc>
      </w:tr>
    </w:tbl>
    <w:p w14:paraId="131AF84C" w14:textId="77777777" w:rsidR="008D13BD" w:rsidRPr="002805F3" w:rsidRDefault="008D13BD" w:rsidP="008D13BD">
      <w:pPr>
        <w:pStyle w:val="TableSource"/>
      </w:pPr>
      <w:r w:rsidRPr="002805F3">
        <w:t xml:space="preserve">Source: Hill Taylor </w:t>
      </w:r>
      <w:r>
        <w:t>&amp;</w:t>
      </w:r>
      <w:r w:rsidRPr="002805F3">
        <w:t xml:space="preserve"> Atkins 2013. Atkins Ref: Survey –A17/K3</w:t>
      </w:r>
      <w:r>
        <w:t>: Figures do not add up to 100% because of small results being excluded</w:t>
      </w:r>
    </w:p>
    <w:p w14:paraId="0CB43A54" w14:textId="77777777" w:rsidR="008D13BD" w:rsidRPr="002805F3" w:rsidRDefault="008D13BD" w:rsidP="008D13BD">
      <w:pPr>
        <w:pStyle w:val="Heading2"/>
        <w:numPr>
          <w:ilvl w:val="1"/>
          <w:numId w:val="5"/>
        </w:numPr>
      </w:pPr>
      <w:bookmarkStart w:id="559" w:name="_Toc395103917"/>
      <w:r w:rsidRPr="002805F3">
        <w:t>Workforce</w:t>
      </w:r>
      <w:r>
        <w:t xml:space="preserve"> &amp; Skills</w:t>
      </w:r>
      <w:bookmarkEnd w:id="559"/>
    </w:p>
    <w:p w14:paraId="792E5D43" w14:textId="77777777" w:rsidR="008D13BD" w:rsidRPr="002805F3" w:rsidRDefault="008D13BD" w:rsidP="008D13BD">
      <w:pPr>
        <w:pStyle w:val="BodyText"/>
        <w:jc w:val="both"/>
        <w:rPr>
          <w:szCs w:val="22"/>
        </w:rPr>
      </w:pPr>
      <w:r>
        <w:rPr>
          <w:szCs w:val="22"/>
        </w:rPr>
        <w:t>Businesses</w:t>
      </w:r>
      <w:r w:rsidRPr="002805F3">
        <w:rPr>
          <w:szCs w:val="22"/>
        </w:rPr>
        <w:t xml:space="preserve"> were asked whether</w:t>
      </w:r>
      <w:r>
        <w:rPr>
          <w:szCs w:val="22"/>
        </w:rPr>
        <w:t xml:space="preserve"> or not</w:t>
      </w:r>
      <w:r w:rsidRPr="002805F3">
        <w:rPr>
          <w:szCs w:val="22"/>
        </w:rPr>
        <w:t xml:space="preserve"> their business is currently affected by any </w:t>
      </w:r>
      <w:r>
        <w:rPr>
          <w:szCs w:val="22"/>
        </w:rPr>
        <w:t>significant</w:t>
      </w:r>
      <w:r w:rsidRPr="002805F3">
        <w:rPr>
          <w:szCs w:val="22"/>
        </w:rPr>
        <w:t xml:space="preserve"> </w:t>
      </w:r>
      <w:r>
        <w:rPr>
          <w:szCs w:val="22"/>
        </w:rPr>
        <w:t>shortage in skills</w:t>
      </w:r>
      <w:r w:rsidRPr="002805F3">
        <w:rPr>
          <w:szCs w:val="22"/>
        </w:rPr>
        <w:t xml:space="preserve">. </w:t>
      </w:r>
      <w:r>
        <w:rPr>
          <w:szCs w:val="22"/>
        </w:rPr>
        <w:t>Approximately 22</w:t>
      </w:r>
      <w:r w:rsidRPr="002805F3">
        <w:rPr>
          <w:szCs w:val="22"/>
        </w:rPr>
        <w:t xml:space="preserve">% of all </w:t>
      </w:r>
      <w:r>
        <w:rPr>
          <w:szCs w:val="22"/>
        </w:rPr>
        <w:t>businesses</w:t>
      </w:r>
      <w:r w:rsidRPr="002805F3">
        <w:rPr>
          <w:szCs w:val="22"/>
        </w:rPr>
        <w:t xml:space="preserve"> </w:t>
      </w:r>
      <w:r>
        <w:rPr>
          <w:szCs w:val="22"/>
        </w:rPr>
        <w:t>stated</w:t>
      </w:r>
      <w:r w:rsidRPr="002805F3">
        <w:rPr>
          <w:szCs w:val="22"/>
        </w:rPr>
        <w:t xml:space="preserve"> they were currently experiencing skills shortages (Figure </w:t>
      </w:r>
      <w:r w:rsidR="00863243">
        <w:rPr>
          <w:szCs w:val="22"/>
        </w:rPr>
        <w:t>3.4</w:t>
      </w:r>
      <w:r w:rsidRPr="002805F3">
        <w:rPr>
          <w:szCs w:val="22"/>
        </w:rPr>
        <w:t xml:space="preserve">) with </w:t>
      </w:r>
      <w:r>
        <w:rPr>
          <w:szCs w:val="22"/>
        </w:rPr>
        <w:t xml:space="preserve">the issue being most pronounced in the </w:t>
      </w:r>
      <w:r>
        <w:rPr>
          <w:i/>
          <w:szCs w:val="22"/>
        </w:rPr>
        <w:t>ports &amp; l</w:t>
      </w:r>
      <w:r w:rsidRPr="007F4B99">
        <w:rPr>
          <w:i/>
          <w:szCs w:val="22"/>
        </w:rPr>
        <w:t>ogistics</w:t>
      </w:r>
      <w:r>
        <w:rPr>
          <w:i/>
          <w:szCs w:val="22"/>
        </w:rPr>
        <w:t>.</w:t>
      </w:r>
      <w:r w:rsidRPr="002805F3">
        <w:rPr>
          <w:szCs w:val="22"/>
        </w:rPr>
        <w:t xml:space="preserve"> </w:t>
      </w:r>
      <w:r>
        <w:rPr>
          <w:i/>
          <w:szCs w:val="22"/>
        </w:rPr>
        <w:t>Food m</w:t>
      </w:r>
      <w:r w:rsidRPr="007F4B99">
        <w:rPr>
          <w:i/>
          <w:szCs w:val="22"/>
        </w:rPr>
        <w:t>anufacturing</w:t>
      </w:r>
      <w:r w:rsidRPr="002805F3">
        <w:rPr>
          <w:szCs w:val="22"/>
        </w:rPr>
        <w:t xml:space="preserve"> </w:t>
      </w:r>
      <w:r>
        <w:rPr>
          <w:szCs w:val="22"/>
        </w:rPr>
        <w:t>was the sector which recorded the lowest incidence of perceived skills shortages which may reflect the extent to which the majority of labour in the industry is largely unskilled or semi-skilled.  Compared to the national average of skill shortage vacancies (22%</w:t>
      </w:r>
      <w:r>
        <w:rPr>
          <w:rStyle w:val="FootnoteReference"/>
          <w:szCs w:val="22"/>
        </w:rPr>
        <w:footnoteReference w:id="7"/>
      </w:r>
      <w:r>
        <w:rPr>
          <w:szCs w:val="22"/>
        </w:rPr>
        <w:t xml:space="preserve">), some of the key sectors are notably at risk regarding the potential for a lack of critical skills acting as a potential constraint to future growth. </w:t>
      </w:r>
    </w:p>
    <w:p w14:paraId="02BCCEC0" w14:textId="77777777" w:rsidR="008D13BD" w:rsidRPr="002805F3" w:rsidRDefault="008D13BD" w:rsidP="008D13BD">
      <w:pPr>
        <w:pStyle w:val="Caption"/>
      </w:pPr>
      <w:r>
        <w:t xml:space="preserve">Figure </w:t>
      </w:r>
      <w:fldSimple w:instr=" STYLEREF 1 \s  \* MERGEFORMAT ">
        <w:r w:rsidR="00E95E1A">
          <w:rPr>
            <w:noProof/>
          </w:rPr>
          <w:t>3</w:t>
        </w:r>
      </w:fldSimple>
      <w:r>
        <w:t>-</w:t>
      </w:r>
      <w:fldSimple w:instr=" SEQ Figure \* ARABIC \s 1  \* MERGEFORMAT ">
        <w:r w:rsidR="00E95E1A">
          <w:rPr>
            <w:noProof/>
          </w:rPr>
          <w:t>4</w:t>
        </w:r>
      </w:fldSimple>
      <w:r>
        <w:tab/>
        <w:t>Skills Shortages Key Sectors – North East Lincolnshire</w:t>
      </w:r>
      <w:r w:rsidR="008D7250">
        <w:rPr>
          <w:noProof/>
          <w:lang w:eastAsia="en-GB"/>
        </w:rPr>
        <w:drawing>
          <wp:inline distT="0" distB="0" distL="0" distR="0" wp14:anchorId="04B4C277" wp14:editId="25950E3F">
            <wp:extent cx="6226475" cy="3295291"/>
            <wp:effectExtent l="0" t="0" r="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0545586" w14:textId="77777777" w:rsidR="008D13BD" w:rsidRPr="002805F3" w:rsidRDefault="008D13BD" w:rsidP="008D13BD">
      <w:pPr>
        <w:pStyle w:val="TableSource"/>
      </w:pPr>
      <w:r w:rsidRPr="002805F3">
        <w:t>Source: Hill Taylor and Atkins 2013. Atkins Ref: Survey –A19</w:t>
      </w:r>
    </w:p>
    <w:p w14:paraId="5E61AAE1" w14:textId="77777777" w:rsidR="008D13BD" w:rsidRPr="002805F3" w:rsidRDefault="008D13BD" w:rsidP="008D13BD">
      <w:pPr>
        <w:pStyle w:val="BodyText"/>
        <w:rPr>
          <w:szCs w:val="22"/>
        </w:rPr>
      </w:pPr>
      <w:r>
        <w:rPr>
          <w:szCs w:val="22"/>
        </w:rPr>
        <w:t>In terms of the type of skills being reported in shortage, these most frequently highlighted were:</w:t>
      </w:r>
      <w:r w:rsidRPr="002805F3">
        <w:rPr>
          <w:szCs w:val="22"/>
        </w:rPr>
        <w:t xml:space="preserve"> managerial proficiency</w:t>
      </w:r>
      <w:r>
        <w:rPr>
          <w:szCs w:val="22"/>
        </w:rPr>
        <w:t xml:space="preserve"> skills; engineering expertise;</w:t>
      </w:r>
      <w:r w:rsidRPr="002805F3">
        <w:rPr>
          <w:szCs w:val="22"/>
        </w:rPr>
        <w:t xml:space="preserve"> basic literacy and numeracy</w:t>
      </w:r>
      <w:r>
        <w:rPr>
          <w:szCs w:val="22"/>
        </w:rPr>
        <w:t>;</w:t>
      </w:r>
      <w:r w:rsidRPr="002805F3">
        <w:rPr>
          <w:szCs w:val="22"/>
        </w:rPr>
        <w:t xml:space="preserve"> and driving skills.</w:t>
      </w:r>
      <w:r>
        <w:rPr>
          <w:szCs w:val="22"/>
        </w:rPr>
        <w:t xml:space="preserve"> These skills shortages were identified by both the volume business survey and face-to-face interviews with business representatives.</w:t>
      </w:r>
    </w:p>
    <w:p w14:paraId="63E5693B" w14:textId="77777777" w:rsidR="008D13BD" w:rsidRPr="002805F3" w:rsidRDefault="008D13BD" w:rsidP="008D13BD">
      <w:pPr>
        <w:pStyle w:val="Heading2"/>
        <w:numPr>
          <w:ilvl w:val="1"/>
          <w:numId w:val="5"/>
        </w:numPr>
      </w:pPr>
      <w:bookmarkStart w:id="560" w:name="_Toc395103918"/>
      <w:r>
        <w:t xml:space="preserve">Business </w:t>
      </w:r>
      <w:r w:rsidRPr="002805F3">
        <w:t>Growth</w:t>
      </w:r>
      <w:r>
        <w:t xml:space="preserve"> Prospects</w:t>
      </w:r>
      <w:bookmarkEnd w:id="560"/>
    </w:p>
    <w:p w14:paraId="7302E10F" w14:textId="77777777" w:rsidR="008D7250" w:rsidRDefault="008D13BD">
      <w:pPr>
        <w:pStyle w:val="BodyText"/>
        <w:jc w:val="both"/>
        <w:rPr>
          <w:b/>
          <w:bCs/>
          <w:szCs w:val="18"/>
        </w:rPr>
      </w:pPr>
      <w:r>
        <w:t xml:space="preserve">Surveyed businesses were asked the extent to which their workforces had increased, decreased or remained stable over the last three years.  During this time, more businesses in all key sectors (with the exception of the visitor economy) recorded an increase in workforce than a decrease (see Table 3.10).  Notable increases in employees occurred in the chemicals industry, ports and logistics and renewables and energy which reflect positively in terms of the growth potential of these sectors despite the effects of a deep recession.  Less buoyant trends occurred in the visitor economy and food manufacturing which is indicative of the susceptibility of these sectors to changes in domestic demand.  </w:t>
      </w:r>
      <w:r>
        <w:br w:type="page"/>
      </w:r>
    </w:p>
    <w:p w14:paraId="5080FA7A" w14:textId="77777777" w:rsidR="008D13BD" w:rsidRDefault="008D13BD" w:rsidP="008D13BD">
      <w:pPr>
        <w:pStyle w:val="Caption"/>
      </w:pPr>
      <w:r>
        <w:t xml:space="preserve">Table </w:t>
      </w:r>
      <w:fldSimple w:instr=" STYLEREF 1 \s  \* MERGEFORMAT ">
        <w:r w:rsidR="00E95E1A">
          <w:rPr>
            <w:noProof/>
          </w:rPr>
          <w:t>3</w:t>
        </w:r>
      </w:fldSimple>
      <w:r>
        <w:t>-</w:t>
      </w:r>
      <w:fldSimple w:instr=" SEQ Table \* ARABIC \s 1  \* MERGEFORMAT ">
        <w:r w:rsidR="00E95E1A">
          <w:rPr>
            <w:noProof/>
          </w:rPr>
          <w:t>10</w:t>
        </w:r>
      </w:fldSimple>
      <w:r>
        <w:tab/>
        <w:t>Change in Key Sector Workforce 2011-2014</w:t>
      </w:r>
    </w:p>
    <w:tbl>
      <w:tblPr>
        <w:tblStyle w:val="Atkins14pt"/>
        <w:tblW w:w="9639" w:type="dxa"/>
        <w:tblLayout w:type="fixed"/>
        <w:tblLook w:val="04A0" w:firstRow="1" w:lastRow="0" w:firstColumn="1" w:lastColumn="0" w:noHBand="0" w:noVBand="1"/>
      </w:tblPr>
      <w:tblGrid>
        <w:gridCol w:w="1474"/>
        <w:gridCol w:w="1633"/>
        <w:gridCol w:w="1633"/>
        <w:gridCol w:w="1633"/>
        <w:gridCol w:w="1633"/>
        <w:gridCol w:w="1633"/>
      </w:tblGrid>
      <w:tr w:rsidR="008D13BD" w:rsidRPr="002805F3" w14:paraId="57A10861" w14:textId="77777777" w:rsidTr="008D13B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74" w:type="dxa"/>
            <w:shd w:val="clear" w:color="auto" w:fill="BED600" w:themeFill="accent1"/>
            <w:noWrap/>
            <w:hideMark/>
          </w:tcPr>
          <w:p w14:paraId="7F16083D" w14:textId="77777777" w:rsidR="008D13BD" w:rsidRPr="00DC3863" w:rsidRDefault="008D13BD" w:rsidP="008D13BD">
            <w:pPr>
              <w:rPr>
                <w:color w:val="000000"/>
              </w:rPr>
            </w:pPr>
            <w:r w:rsidRPr="00DC3863">
              <w:rPr>
                <w:color w:val="000000"/>
              </w:rPr>
              <w:t>Movement</w:t>
            </w:r>
          </w:p>
        </w:tc>
        <w:tc>
          <w:tcPr>
            <w:tcW w:w="1633" w:type="dxa"/>
            <w:shd w:val="clear" w:color="auto" w:fill="BED600" w:themeFill="accent1"/>
            <w:noWrap/>
            <w:hideMark/>
          </w:tcPr>
          <w:p w14:paraId="0B46F7E9" w14:textId="77777777" w:rsidR="008D13BD" w:rsidRPr="00DC3863" w:rsidRDefault="008D13BD" w:rsidP="008D13BD">
            <w:pPr>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Renewables</w:t>
            </w:r>
          </w:p>
        </w:tc>
        <w:tc>
          <w:tcPr>
            <w:tcW w:w="1633" w:type="dxa"/>
            <w:shd w:val="clear" w:color="auto" w:fill="BED600" w:themeFill="accent1"/>
            <w:noWrap/>
            <w:hideMark/>
          </w:tcPr>
          <w:p w14:paraId="3CA160EA" w14:textId="77777777" w:rsidR="008D13BD" w:rsidRPr="00DC3863" w:rsidRDefault="008D13BD" w:rsidP="008D13BD">
            <w:pPr>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Ports &amp; Logistics</w:t>
            </w:r>
          </w:p>
        </w:tc>
        <w:tc>
          <w:tcPr>
            <w:tcW w:w="1633" w:type="dxa"/>
            <w:shd w:val="clear" w:color="auto" w:fill="BED600" w:themeFill="accent1"/>
            <w:noWrap/>
            <w:hideMark/>
          </w:tcPr>
          <w:p w14:paraId="160FBE7D" w14:textId="77777777" w:rsidR="008D13BD" w:rsidRPr="00DC3863" w:rsidRDefault="008D13BD" w:rsidP="008D13BD">
            <w:pPr>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Food manufacturing</w:t>
            </w:r>
          </w:p>
        </w:tc>
        <w:tc>
          <w:tcPr>
            <w:tcW w:w="1633" w:type="dxa"/>
            <w:shd w:val="clear" w:color="auto" w:fill="BED600" w:themeFill="accent1"/>
            <w:noWrap/>
            <w:hideMark/>
          </w:tcPr>
          <w:p w14:paraId="750B6DD7" w14:textId="77777777" w:rsidR="008D13BD" w:rsidRPr="00DC3863" w:rsidRDefault="008D13BD" w:rsidP="008D13BD">
            <w:pPr>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Chemicals &amp; process industries</w:t>
            </w:r>
          </w:p>
        </w:tc>
        <w:tc>
          <w:tcPr>
            <w:tcW w:w="1633" w:type="dxa"/>
            <w:shd w:val="clear" w:color="auto" w:fill="BED600" w:themeFill="accent1"/>
            <w:noWrap/>
            <w:hideMark/>
          </w:tcPr>
          <w:p w14:paraId="5281C64B" w14:textId="77777777" w:rsidR="008D13BD" w:rsidRPr="00DC3863" w:rsidRDefault="008D13BD" w:rsidP="008D13BD">
            <w:pPr>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Visitor Economy</w:t>
            </w:r>
          </w:p>
        </w:tc>
      </w:tr>
      <w:tr w:rsidR="008D13BD" w:rsidRPr="002805F3" w14:paraId="32691AD4"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57CB68F9" w14:textId="77777777" w:rsidR="008D13BD" w:rsidRPr="00DC3863" w:rsidRDefault="008D13BD" w:rsidP="008D13BD">
            <w:pPr>
              <w:spacing w:after="120"/>
              <w:rPr>
                <w:color w:val="000000"/>
              </w:rPr>
            </w:pPr>
            <w:r w:rsidRPr="00DC3863">
              <w:rPr>
                <w:color w:val="000000"/>
              </w:rPr>
              <w:t>Increased</w:t>
            </w:r>
          </w:p>
        </w:tc>
        <w:tc>
          <w:tcPr>
            <w:tcW w:w="1633" w:type="dxa"/>
            <w:noWrap/>
            <w:hideMark/>
          </w:tcPr>
          <w:p w14:paraId="3186FC56" w14:textId="77777777" w:rsidR="008D13BD" w:rsidRPr="00DC3863" w:rsidRDefault="008D13BD" w:rsidP="008D13BD">
            <w:pPr>
              <w:spacing w:after="120"/>
              <w:ind w:right="13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35.0%</w:t>
            </w:r>
          </w:p>
        </w:tc>
        <w:tc>
          <w:tcPr>
            <w:tcW w:w="1633" w:type="dxa"/>
            <w:noWrap/>
            <w:hideMark/>
          </w:tcPr>
          <w:p w14:paraId="228B4DF4" w14:textId="77777777" w:rsidR="008D13BD" w:rsidRPr="00DC3863" w:rsidRDefault="008D13BD" w:rsidP="008D13BD">
            <w:pPr>
              <w:spacing w:after="120"/>
              <w:ind w:right="13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36.2%</w:t>
            </w:r>
          </w:p>
        </w:tc>
        <w:tc>
          <w:tcPr>
            <w:tcW w:w="1633" w:type="dxa"/>
            <w:noWrap/>
            <w:hideMark/>
          </w:tcPr>
          <w:p w14:paraId="553A53E5" w14:textId="77777777" w:rsidR="008D13BD" w:rsidRPr="00DC3863" w:rsidRDefault="008D13BD" w:rsidP="008D13BD">
            <w:pPr>
              <w:spacing w:after="120"/>
              <w:ind w:right="13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17.5%</w:t>
            </w:r>
          </w:p>
        </w:tc>
        <w:tc>
          <w:tcPr>
            <w:tcW w:w="1633" w:type="dxa"/>
            <w:noWrap/>
            <w:hideMark/>
          </w:tcPr>
          <w:p w14:paraId="39B15242" w14:textId="77777777" w:rsidR="008D13BD" w:rsidRPr="00DC3863" w:rsidRDefault="008D13BD" w:rsidP="008D13BD">
            <w:pPr>
              <w:spacing w:after="120"/>
              <w:ind w:right="13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42.9%</w:t>
            </w:r>
          </w:p>
        </w:tc>
        <w:tc>
          <w:tcPr>
            <w:tcW w:w="1633" w:type="dxa"/>
            <w:noWrap/>
            <w:hideMark/>
          </w:tcPr>
          <w:p w14:paraId="62AD6E30" w14:textId="77777777" w:rsidR="008D13BD" w:rsidRPr="00DC3863" w:rsidRDefault="008D13BD" w:rsidP="008D13BD">
            <w:pPr>
              <w:spacing w:after="120"/>
              <w:ind w:right="13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18.1%</w:t>
            </w:r>
          </w:p>
        </w:tc>
      </w:tr>
      <w:tr w:rsidR="008D13BD" w:rsidRPr="002805F3" w14:paraId="62538828"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0537065E" w14:textId="77777777" w:rsidR="008D13BD" w:rsidRPr="00DC3863" w:rsidRDefault="008D13BD" w:rsidP="008D13BD">
            <w:pPr>
              <w:spacing w:after="120"/>
              <w:rPr>
                <w:color w:val="000000"/>
              </w:rPr>
            </w:pPr>
            <w:r w:rsidRPr="00DC3863">
              <w:rPr>
                <w:color w:val="000000"/>
              </w:rPr>
              <w:t>Decreased</w:t>
            </w:r>
          </w:p>
        </w:tc>
        <w:tc>
          <w:tcPr>
            <w:tcW w:w="1633" w:type="dxa"/>
            <w:noWrap/>
            <w:hideMark/>
          </w:tcPr>
          <w:p w14:paraId="2AFC0556" w14:textId="77777777" w:rsidR="008D13BD" w:rsidRPr="00DC3863" w:rsidRDefault="008D13BD" w:rsidP="008D13BD">
            <w:pPr>
              <w:spacing w:after="120"/>
              <w:ind w:right="13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5.0%</w:t>
            </w:r>
          </w:p>
        </w:tc>
        <w:tc>
          <w:tcPr>
            <w:tcW w:w="1633" w:type="dxa"/>
            <w:noWrap/>
            <w:hideMark/>
          </w:tcPr>
          <w:p w14:paraId="21658F22" w14:textId="77777777" w:rsidR="008D13BD" w:rsidRPr="00DC3863" w:rsidRDefault="008D13BD" w:rsidP="008D13BD">
            <w:pPr>
              <w:spacing w:after="120"/>
              <w:ind w:right="13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15.9%</w:t>
            </w:r>
          </w:p>
        </w:tc>
        <w:tc>
          <w:tcPr>
            <w:tcW w:w="1633" w:type="dxa"/>
            <w:noWrap/>
            <w:hideMark/>
          </w:tcPr>
          <w:p w14:paraId="5030CB7D" w14:textId="77777777" w:rsidR="008D13BD" w:rsidRPr="00DC3863" w:rsidRDefault="008D13BD" w:rsidP="008D13BD">
            <w:pPr>
              <w:spacing w:after="120"/>
              <w:ind w:right="13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17.5%</w:t>
            </w:r>
          </w:p>
        </w:tc>
        <w:tc>
          <w:tcPr>
            <w:tcW w:w="1633" w:type="dxa"/>
            <w:noWrap/>
            <w:hideMark/>
          </w:tcPr>
          <w:p w14:paraId="7AFB66D4" w14:textId="77777777" w:rsidR="008D13BD" w:rsidRPr="00DC3863" w:rsidRDefault="008D13BD" w:rsidP="008D13BD">
            <w:pPr>
              <w:spacing w:after="120"/>
              <w:ind w:right="13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14.3%</w:t>
            </w:r>
          </w:p>
        </w:tc>
        <w:tc>
          <w:tcPr>
            <w:tcW w:w="1633" w:type="dxa"/>
            <w:noWrap/>
            <w:hideMark/>
          </w:tcPr>
          <w:p w14:paraId="19A4CCDA" w14:textId="77777777" w:rsidR="008D13BD" w:rsidRPr="00DC3863" w:rsidRDefault="008D13BD" w:rsidP="008D13BD">
            <w:pPr>
              <w:spacing w:after="120"/>
              <w:ind w:right="13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18.9%</w:t>
            </w:r>
          </w:p>
        </w:tc>
      </w:tr>
      <w:tr w:rsidR="008D13BD" w:rsidRPr="002805F3" w14:paraId="44F3316F"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399B52E1" w14:textId="77777777" w:rsidR="008D13BD" w:rsidRPr="00DC3863" w:rsidRDefault="008D13BD" w:rsidP="008D13BD">
            <w:pPr>
              <w:spacing w:after="120"/>
              <w:rPr>
                <w:color w:val="000000"/>
              </w:rPr>
            </w:pPr>
            <w:r w:rsidRPr="00DC3863">
              <w:rPr>
                <w:color w:val="000000"/>
              </w:rPr>
              <w:t>Remained stable</w:t>
            </w:r>
          </w:p>
        </w:tc>
        <w:tc>
          <w:tcPr>
            <w:tcW w:w="1633" w:type="dxa"/>
            <w:noWrap/>
            <w:hideMark/>
          </w:tcPr>
          <w:p w14:paraId="16C74E3E" w14:textId="77777777" w:rsidR="008D13BD" w:rsidRPr="00DC3863" w:rsidRDefault="008D13BD" w:rsidP="008D13BD">
            <w:pPr>
              <w:spacing w:after="120"/>
              <w:ind w:right="13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60.0%</w:t>
            </w:r>
          </w:p>
        </w:tc>
        <w:tc>
          <w:tcPr>
            <w:tcW w:w="1633" w:type="dxa"/>
            <w:noWrap/>
            <w:hideMark/>
          </w:tcPr>
          <w:p w14:paraId="77116574" w14:textId="77777777" w:rsidR="008D13BD" w:rsidRPr="00DC3863" w:rsidRDefault="008D13BD" w:rsidP="008D13BD">
            <w:pPr>
              <w:spacing w:after="120"/>
              <w:ind w:right="13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47.8%</w:t>
            </w:r>
          </w:p>
        </w:tc>
        <w:tc>
          <w:tcPr>
            <w:tcW w:w="1633" w:type="dxa"/>
            <w:noWrap/>
            <w:hideMark/>
          </w:tcPr>
          <w:p w14:paraId="716E1789" w14:textId="77777777" w:rsidR="008D13BD" w:rsidRPr="00DC3863" w:rsidRDefault="008D13BD" w:rsidP="008D13BD">
            <w:pPr>
              <w:spacing w:after="120"/>
              <w:ind w:right="13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64.9%</w:t>
            </w:r>
          </w:p>
        </w:tc>
        <w:tc>
          <w:tcPr>
            <w:tcW w:w="1633" w:type="dxa"/>
            <w:noWrap/>
            <w:hideMark/>
          </w:tcPr>
          <w:p w14:paraId="2789E17A" w14:textId="77777777" w:rsidR="008D13BD" w:rsidRPr="00DC3863" w:rsidRDefault="008D13BD" w:rsidP="008D13BD">
            <w:pPr>
              <w:spacing w:after="120"/>
              <w:ind w:right="13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42.9%</w:t>
            </w:r>
          </w:p>
        </w:tc>
        <w:tc>
          <w:tcPr>
            <w:tcW w:w="1633" w:type="dxa"/>
            <w:noWrap/>
            <w:hideMark/>
          </w:tcPr>
          <w:p w14:paraId="6F9BBECA" w14:textId="77777777" w:rsidR="008D13BD" w:rsidRPr="00DC3863" w:rsidRDefault="008D13BD" w:rsidP="008D13BD">
            <w:pPr>
              <w:spacing w:after="120"/>
              <w:ind w:right="130"/>
              <w:jc w:val="right"/>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63.0%</w:t>
            </w:r>
          </w:p>
        </w:tc>
      </w:tr>
    </w:tbl>
    <w:p w14:paraId="40BC5873" w14:textId="77777777" w:rsidR="008D13BD" w:rsidRPr="002805F3" w:rsidRDefault="008D13BD" w:rsidP="008D13BD">
      <w:pPr>
        <w:pStyle w:val="TableSource"/>
      </w:pPr>
      <w:r w:rsidRPr="002805F3">
        <w:t>Source: Hill Taylor and Atkins 2013. Atkins Ref: Survey –A20</w:t>
      </w:r>
    </w:p>
    <w:p w14:paraId="149A078D" w14:textId="77777777" w:rsidR="008D13BD" w:rsidRPr="002805F3" w:rsidRDefault="008D13BD" w:rsidP="008D13BD">
      <w:pPr>
        <w:pStyle w:val="BodyText"/>
        <w:jc w:val="both"/>
      </w:pPr>
      <w:r>
        <w:t>When asked about plans to invest or growth over the next five years, businesses reported the outlo</w:t>
      </w:r>
      <w:r w:rsidR="00863243">
        <w:t>ok in bullish manner (Figure 3.5</w:t>
      </w:r>
      <w:r>
        <w:t xml:space="preserve">).  Indeed, over 50% of businesses in the chemicals, ports and renewables sectors anticipate they will expand or invest in growth over the next five years.  Whilst interpretation of these findings should give due consideration to optimism bias, it is reasonable to report that the key sectors demonstrate a significant degree of confidence regarding the potential for future growth in North East Lincolnshire.  </w:t>
      </w:r>
    </w:p>
    <w:p w14:paraId="7420628B" w14:textId="77777777" w:rsidR="008D13BD" w:rsidRPr="002805F3" w:rsidRDefault="008D13BD" w:rsidP="008D13BD">
      <w:pPr>
        <w:pStyle w:val="Caption"/>
      </w:pPr>
      <w:r>
        <w:t xml:space="preserve">Figure </w:t>
      </w:r>
      <w:fldSimple w:instr=" STYLEREF 1 \s  \* MERGEFORMAT ">
        <w:r w:rsidR="00E95E1A">
          <w:rPr>
            <w:noProof/>
          </w:rPr>
          <w:t>3</w:t>
        </w:r>
      </w:fldSimple>
      <w:r>
        <w:t>-</w:t>
      </w:r>
      <w:fldSimple w:instr=" SEQ Figure \* ARABIC \s 1  \* MERGEFORMAT ">
        <w:r w:rsidR="00E95E1A">
          <w:rPr>
            <w:noProof/>
          </w:rPr>
          <w:t>5</w:t>
        </w:r>
      </w:fldSimple>
      <w:r>
        <w:tab/>
        <w:t>Plans to expand or invest in growth over next five years</w:t>
      </w:r>
      <w:r w:rsidR="008D7250">
        <w:rPr>
          <w:noProof/>
          <w:lang w:eastAsia="en-GB"/>
        </w:rPr>
        <w:drawing>
          <wp:inline distT="0" distB="0" distL="0" distR="0" wp14:anchorId="62505782" wp14:editId="3F3A0126">
            <wp:extent cx="5943600" cy="2687955"/>
            <wp:effectExtent l="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97162CA" w14:textId="77777777" w:rsidR="008D13BD" w:rsidRPr="002805F3" w:rsidRDefault="008D13BD" w:rsidP="008D13BD">
      <w:pPr>
        <w:pStyle w:val="TableSource"/>
      </w:pPr>
      <w:r w:rsidRPr="002805F3">
        <w:t>Source: Hill Taylor and Atkins 2013. Atkins Ref: Survey –A21</w:t>
      </w:r>
    </w:p>
    <w:p w14:paraId="2DE78F43" w14:textId="77777777" w:rsidR="008D13BD" w:rsidRPr="002805F3" w:rsidRDefault="008D13BD" w:rsidP="008D13BD">
      <w:pPr>
        <w:pStyle w:val="BodyText"/>
        <w:jc w:val="both"/>
      </w:pPr>
      <w:r w:rsidRPr="002805F3">
        <w:rPr>
          <w:szCs w:val="22"/>
        </w:rPr>
        <w:t xml:space="preserve">Of the companies that indicated </w:t>
      </w:r>
      <w:r>
        <w:rPr>
          <w:szCs w:val="22"/>
        </w:rPr>
        <w:t>intentions</w:t>
      </w:r>
      <w:r w:rsidRPr="002805F3">
        <w:rPr>
          <w:szCs w:val="22"/>
        </w:rPr>
        <w:t xml:space="preserve"> to expand in the </w:t>
      </w:r>
      <w:r>
        <w:rPr>
          <w:szCs w:val="22"/>
        </w:rPr>
        <w:t xml:space="preserve">near </w:t>
      </w:r>
      <w:r w:rsidRPr="002805F3">
        <w:rPr>
          <w:szCs w:val="22"/>
        </w:rPr>
        <w:t xml:space="preserve">future, </w:t>
      </w:r>
      <w:r>
        <w:rPr>
          <w:szCs w:val="22"/>
        </w:rPr>
        <w:t xml:space="preserve">over 30% identified that this would be reflected in workforce growth (see Table 3.11).  Approximately 17% stated expansion would take place in terms of land and property expansion whilst a further 17% highlighted their intentions to invest in machinery and equipment.   </w:t>
      </w:r>
    </w:p>
    <w:p w14:paraId="276FD9CE" w14:textId="77777777" w:rsidR="008D13BD" w:rsidRDefault="008D13BD" w:rsidP="008D13BD">
      <w:pPr>
        <w:spacing w:after="200" w:line="276" w:lineRule="auto"/>
        <w:rPr>
          <w:b/>
          <w:bCs/>
          <w:szCs w:val="18"/>
        </w:rPr>
      </w:pPr>
      <w:r>
        <w:br w:type="page"/>
      </w:r>
    </w:p>
    <w:p w14:paraId="09036CDC" w14:textId="77777777" w:rsidR="008D13BD" w:rsidRDefault="008D13BD" w:rsidP="008D13BD">
      <w:pPr>
        <w:pStyle w:val="Caption"/>
      </w:pPr>
      <w:r>
        <w:t xml:space="preserve">Table </w:t>
      </w:r>
      <w:fldSimple w:instr=" STYLEREF 1 \s  \* MERGEFORMAT ">
        <w:r w:rsidR="00E95E1A">
          <w:rPr>
            <w:noProof/>
          </w:rPr>
          <w:t>3</w:t>
        </w:r>
      </w:fldSimple>
      <w:r>
        <w:t>-</w:t>
      </w:r>
      <w:fldSimple w:instr=" SEQ Table \* ARABIC \s 1  \* MERGEFORMAT ">
        <w:r w:rsidR="00E95E1A">
          <w:rPr>
            <w:noProof/>
          </w:rPr>
          <w:t>11</w:t>
        </w:r>
      </w:fldSimple>
      <w:r>
        <w:tab/>
        <w:t>Focus of Growth for Expanding Companies</w:t>
      </w:r>
    </w:p>
    <w:tbl>
      <w:tblPr>
        <w:tblStyle w:val="Atkins14pt"/>
        <w:tblW w:w="5512" w:type="dxa"/>
        <w:tblLayout w:type="fixed"/>
        <w:tblLook w:val="04A0" w:firstRow="1" w:lastRow="0" w:firstColumn="1" w:lastColumn="0" w:noHBand="0" w:noVBand="1"/>
      </w:tblPr>
      <w:tblGrid>
        <w:gridCol w:w="4536"/>
        <w:gridCol w:w="976"/>
      </w:tblGrid>
      <w:tr w:rsidR="008D13BD" w:rsidRPr="001E7178" w14:paraId="06F3EF2C" w14:textId="77777777" w:rsidTr="008D13B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536" w:type="dxa"/>
            <w:shd w:val="clear" w:color="auto" w:fill="BED600" w:themeFill="accent1"/>
            <w:noWrap/>
            <w:hideMark/>
          </w:tcPr>
          <w:p w14:paraId="6373F02A" w14:textId="77777777" w:rsidR="008D13BD" w:rsidRPr="001E7178" w:rsidRDefault="008D13BD" w:rsidP="008D13BD">
            <w:pPr>
              <w:pStyle w:val="TableText"/>
              <w:rPr>
                <w:color w:val="auto"/>
              </w:rPr>
            </w:pPr>
            <w:r w:rsidRPr="001E7178">
              <w:rPr>
                <w:color w:val="auto"/>
              </w:rPr>
              <w:t>Growth Area</w:t>
            </w:r>
          </w:p>
        </w:tc>
        <w:tc>
          <w:tcPr>
            <w:tcW w:w="976" w:type="dxa"/>
            <w:shd w:val="clear" w:color="auto" w:fill="BED600" w:themeFill="accent1"/>
            <w:noWrap/>
            <w:hideMark/>
          </w:tcPr>
          <w:p w14:paraId="71D15698" w14:textId="77777777" w:rsidR="008D13BD" w:rsidRPr="001E7178" w:rsidRDefault="008D13BD" w:rsidP="008D13BD">
            <w:pPr>
              <w:pStyle w:val="TableText"/>
              <w:cnfStyle w:val="100000000000" w:firstRow="1" w:lastRow="0" w:firstColumn="0" w:lastColumn="0" w:oddVBand="0" w:evenVBand="0" w:oddHBand="0" w:evenHBand="0" w:firstRowFirstColumn="0" w:firstRowLastColumn="0" w:lastRowFirstColumn="0" w:lastRowLastColumn="0"/>
              <w:rPr>
                <w:color w:val="auto"/>
              </w:rPr>
            </w:pPr>
            <w:r w:rsidRPr="001E7178">
              <w:rPr>
                <w:color w:val="auto"/>
              </w:rPr>
              <w:t>%</w:t>
            </w:r>
          </w:p>
        </w:tc>
      </w:tr>
      <w:tr w:rsidR="008D13BD" w:rsidRPr="001E7178" w14:paraId="2E357E45"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572B1877" w14:textId="77777777" w:rsidR="008D13BD" w:rsidRPr="001E7178" w:rsidRDefault="008D13BD" w:rsidP="008D13BD">
            <w:pPr>
              <w:pStyle w:val="TableText"/>
              <w:rPr>
                <w:color w:val="auto"/>
              </w:rPr>
            </w:pPr>
            <w:r w:rsidRPr="001E7178">
              <w:rPr>
                <w:color w:val="auto"/>
              </w:rPr>
              <w:t>Workforce expansion</w:t>
            </w:r>
          </w:p>
        </w:tc>
        <w:tc>
          <w:tcPr>
            <w:tcW w:w="976" w:type="dxa"/>
            <w:noWrap/>
            <w:hideMark/>
          </w:tcPr>
          <w:p w14:paraId="2B5670E3" w14:textId="77777777" w:rsidR="008D13BD" w:rsidRPr="001E7178" w:rsidRDefault="008D13BD" w:rsidP="008D13BD">
            <w:pPr>
              <w:pStyle w:val="TableText"/>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32.0%</w:t>
            </w:r>
          </w:p>
        </w:tc>
      </w:tr>
      <w:tr w:rsidR="008D13BD" w:rsidRPr="001E7178" w14:paraId="44E4E7BB"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5539F3AF" w14:textId="77777777" w:rsidR="008D13BD" w:rsidRPr="001E7178" w:rsidRDefault="008D13BD" w:rsidP="008D13BD">
            <w:pPr>
              <w:pStyle w:val="TableText"/>
              <w:rPr>
                <w:color w:val="auto"/>
              </w:rPr>
            </w:pPr>
            <w:r w:rsidRPr="001E7178">
              <w:rPr>
                <w:color w:val="auto"/>
              </w:rPr>
              <w:t>Land and property</w:t>
            </w:r>
          </w:p>
        </w:tc>
        <w:tc>
          <w:tcPr>
            <w:tcW w:w="976" w:type="dxa"/>
            <w:noWrap/>
            <w:hideMark/>
          </w:tcPr>
          <w:p w14:paraId="2B465984" w14:textId="77777777" w:rsidR="008D13BD" w:rsidRPr="001E7178" w:rsidRDefault="008D13BD" w:rsidP="008D13BD">
            <w:pPr>
              <w:pStyle w:val="TableText"/>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17.3%</w:t>
            </w:r>
          </w:p>
        </w:tc>
      </w:tr>
      <w:tr w:rsidR="008D13BD" w:rsidRPr="001E7178" w14:paraId="65DAACCF"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1C9AD56A" w14:textId="77777777" w:rsidR="008D13BD" w:rsidRPr="001E7178" w:rsidRDefault="008D13BD" w:rsidP="008D13BD">
            <w:pPr>
              <w:pStyle w:val="TableText"/>
              <w:rPr>
                <w:color w:val="auto"/>
              </w:rPr>
            </w:pPr>
            <w:r w:rsidRPr="001E7178">
              <w:rPr>
                <w:color w:val="auto"/>
              </w:rPr>
              <w:t>Machinery / Equipment</w:t>
            </w:r>
          </w:p>
        </w:tc>
        <w:tc>
          <w:tcPr>
            <w:tcW w:w="976" w:type="dxa"/>
            <w:noWrap/>
            <w:hideMark/>
          </w:tcPr>
          <w:p w14:paraId="7AFA0D3C" w14:textId="77777777" w:rsidR="008D13BD" w:rsidRPr="001E7178" w:rsidRDefault="008D13BD" w:rsidP="008D13BD">
            <w:pPr>
              <w:pStyle w:val="TableText"/>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16.9%</w:t>
            </w:r>
          </w:p>
        </w:tc>
      </w:tr>
      <w:tr w:rsidR="008D13BD" w:rsidRPr="001E7178" w14:paraId="35269CEA"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11245E57" w14:textId="77777777" w:rsidR="008D13BD" w:rsidRPr="001E7178" w:rsidRDefault="008D13BD" w:rsidP="008D13BD">
            <w:pPr>
              <w:pStyle w:val="TableText"/>
              <w:rPr>
                <w:color w:val="auto"/>
              </w:rPr>
            </w:pPr>
            <w:r w:rsidRPr="001E7178">
              <w:rPr>
                <w:color w:val="auto"/>
              </w:rPr>
              <w:t>Marketing / Sales / More customers / Website</w:t>
            </w:r>
          </w:p>
        </w:tc>
        <w:tc>
          <w:tcPr>
            <w:tcW w:w="976" w:type="dxa"/>
            <w:noWrap/>
            <w:hideMark/>
          </w:tcPr>
          <w:p w14:paraId="3B43DA9D" w14:textId="77777777" w:rsidR="008D13BD" w:rsidRPr="001E7178" w:rsidRDefault="008D13BD" w:rsidP="008D13BD">
            <w:pPr>
              <w:pStyle w:val="TableText"/>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15.4%</w:t>
            </w:r>
          </w:p>
        </w:tc>
      </w:tr>
      <w:tr w:rsidR="008D13BD" w:rsidRPr="001E7178" w14:paraId="4B3F1525"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255E9BB8" w14:textId="77777777" w:rsidR="008D13BD" w:rsidRPr="001E7178" w:rsidRDefault="008D13BD" w:rsidP="008D13BD">
            <w:pPr>
              <w:pStyle w:val="TableText"/>
              <w:rPr>
                <w:color w:val="auto"/>
              </w:rPr>
            </w:pPr>
            <w:r w:rsidRPr="001E7178">
              <w:rPr>
                <w:color w:val="auto"/>
              </w:rPr>
              <w:t>Skills and training</w:t>
            </w:r>
          </w:p>
        </w:tc>
        <w:tc>
          <w:tcPr>
            <w:tcW w:w="976" w:type="dxa"/>
            <w:noWrap/>
            <w:hideMark/>
          </w:tcPr>
          <w:p w14:paraId="3988AC19" w14:textId="77777777" w:rsidR="008D13BD" w:rsidRPr="001E7178" w:rsidRDefault="008D13BD" w:rsidP="008D13BD">
            <w:pPr>
              <w:pStyle w:val="TableText"/>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11.3%</w:t>
            </w:r>
          </w:p>
        </w:tc>
      </w:tr>
      <w:tr w:rsidR="008D13BD" w:rsidRPr="001E7178" w14:paraId="6F29F4D1"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4E1B1305" w14:textId="77777777" w:rsidR="008D13BD" w:rsidRPr="001E7178" w:rsidRDefault="008D13BD" w:rsidP="008D13BD">
            <w:pPr>
              <w:pStyle w:val="TableText"/>
              <w:rPr>
                <w:color w:val="auto"/>
              </w:rPr>
            </w:pPr>
            <w:r w:rsidRPr="001E7178">
              <w:rPr>
                <w:color w:val="auto"/>
              </w:rPr>
              <w:t>Energy efficiency</w:t>
            </w:r>
          </w:p>
        </w:tc>
        <w:tc>
          <w:tcPr>
            <w:tcW w:w="976" w:type="dxa"/>
            <w:noWrap/>
            <w:hideMark/>
          </w:tcPr>
          <w:p w14:paraId="7FB573D7" w14:textId="77777777" w:rsidR="008D13BD" w:rsidRPr="001E7178" w:rsidRDefault="008D13BD" w:rsidP="008D13BD">
            <w:pPr>
              <w:pStyle w:val="TableText"/>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2.3%</w:t>
            </w:r>
          </w:p>
        </w:tc>
      </w:tr>
      <w:tr w:rsidR="008D13BD" w:rsidRPr="001E7178" w14:paraId="141F5D85"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37A1DD8D" w14:textId="77777777" w:rsidR="008D13BD" w:rsidRPr="001E7178" w:rsidRDefault="008D13BD" w:rsidP="008D13BD">
            <w:pPr>
              <w:pStyle w:val="TableText"/>
              <w:rPr>
                <w:color w:val="auto"/>
              </w:rPr>
            </w:pPr>
            <w:r w:rsidRPr="001E7178">
              <w:rPr>
                <w:color w:val="auto"/>
              </w:rPr>
              <w:t>All areas</w:t>
            </w:r>
          </w:p>
        </w:tc>
        <w:tc>
          <w:tcPr>
            <w:tcW w:w="976" w:type="dxa"/>
            <w:noWrap/>
            <w:hideMark/>
          </w:tcPr>
          <w:p w14:paraId="57BD4C27" w14:textId="77777777" w:rsidR="008D13BD" w:rsidRPr="001E7178" w:rsidRDefault="008D13BD" w:rsidP="008D13BD">
            <w:pPr>
              <w:pStyle w:val="TableText"/>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0.8%</w:t>
            </w:r>
          </w:p>
        </w:tc>
      </w:tr>
      <w:tr w:rsidR="008D13BD" w:rsidRPr="001E7178" w14:paraId="3E162B9D"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125379A2" w14:textId="77777777" w:rsidR="008D13BD" w:rsidRPr="001E7178" w:rsidRDefault="008D13BD" w:rsidP="008D13BD">
            <w:pPr>
              <w:pStyle w:val="TableText"/>
              <w:rPr>
                <w:color w:val="auto"/>
              </w:rPr>
            </w:pPr>
            <w:r w:rsidRPr="001E7178">
              <w:rPr>
                <w:color w:val="auto"/>
              </w:rPr>
              <w:t>Research &amp; Development</w:t>
            </w:r>
          </w:p>
        </w:tc>
        <w:tc>
          <w:tcPr>
            <w:tcW w:w="976" w:type="dxa"/>
            <w:noWrap/>
            <w:hideMark/>
          </w:tcPr>
          <w:p w14:paraId="276DE5D0" w14:textId="77777777" w:rsidR="008D13BD" w:rsidRPr="001E7178" w:rsidRDefault="008D13BD" w:rsidP="008D13BD">
            <w:pPr>
              <w:pStyle w:val="TableText"/>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0.8%</w:t>
            </w:r>
          </w:p>
        </w:tc>
      </w:tr>
      <w:tr w:rsidR="008D13BD" w:rsidRPr="001E7178" w14:paraId="3714A67D"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7393F1B6" w14:textId="77777777" w:rsidR="008D13BD" w:rsidRPr="001E7178" w:rsidRDefault="008D13BD" w:rsidP="008D13BD">
            <w:pPr>
              <w:pStyle w:val="TableText"/>
              <w:rPr>
                <w:color w:val="auto"/>
              </w:rPr>
            </w:pPr>
            <w:r w:rsidRPr="001E7178">
              <w:rPr>
                <w:color w:val="auto"/>
              </w:rPr>
              <w:t>Infrastructure</w:t>
            </w:r>
          </w:p>
        </w:tc>
        <w:tc>
          <w:tcPr>
            <w:tcW w:w="976" w:type="dxa"/>
            <w:noWrap/>
            <w:hideMark/>
          </w:tcPr>
          <w:p w14:paraId="0DACBE7E" w14:textId="77777777" w:rsidR="008D13BD" w:rsidRPr="001E7178" w:rsidRDefault="008D13BD" w:rsidP="008D13BD">
            <w:pPr>
              <w:pStyle w:val="TableText"/>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0.4%</w:t>
            </w:r>
          </w:p>
        </w:tc>
      </w:tr>
      <w:tr w:rsidR="008D13BD" w:rsidRPr="001E7178" w14:paraId="67554243"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2E43E486" w14:textId="77777777" w:rsidR="008D13BD" w:rsidRPr="001E7178" w:rsidRDefault="008D13BD" w:rsidP="008D13BD">
            <w:pPr>
              <w:pStyle w:val="TableText"/>
              <w:rPr>
                <w:color w:val="auto"/>
              </w:rPr>
            </w:pPr>
            <w:r w:rsidRPr="001E7178">
              <w:rPr>
                <w:color w:val="auto"/>
              </w:rPr>
              <w:t>Repair from floods</w:t>
            </w:r>
          </w:p>
        </w:tc>
        <w:tc>
          <w:tcPr>
            <w:tcW w:w="976" w:type="dxa"/>
            <w:noWrap/>
            <w:hideMark/>
          </w:tcPr>
          <w:p w14:paraId="7DA2BDB8" w14:textId="77777777" w:rsidR="008D13BD" w:rsidRPr="001E7178" w:rsidRDefault="008D13BD" w:rsidP="008D13BD">
            <w:pPr>
              <w:pStyle w:val="TableText"/>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0.4%</w:t>
            </w:r>
          </w:p>
        </w:tc>
      </w:tr>
      <w:tr w:rsidR="008D13BD" w:rsidRPr="001E7178" w14:paraId="6DEF9C71"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4CDBFF72" w14:textId="77777777" w:rsidR="008D13BD" w:rsidRPr="001E7178" w:rsidRDefault="008D13BD" w:rsidP="008D13BD">
            <w:pPr>
              <w:pStyle w:val="TableText"/>
              <w:rPr>
                <w:color w:val="auto"/>
              </w:rPr>
            </w:pPr>
            <w:r w:rsidRPr="001E7178">
              <w:rPr>
                <w:color w:val="auto"/>
              </w:rPr>
              <w:t>Stock</w:t>
            </w:r>
          </w:p>
        </w:tc>
        <w:tc>
          <w:tcPr>
            <w:tcW w:w="976" w:type="dxa"/>
            <w:noWrap/>
            <w:hideMark/>
          </w:tcPr>
          <w:p w14:paraId="2EE3A2F7" w14:textId="77777777" w:rsidR="008D13BD" w:rsidRPr="001E7178" w:rsidRDefault="008D13BD" w:rsidP="008D13BD">
            <w:pPr>
              <w:pStyle w:val="TableText"/>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0.4%</w:t>
            </w:r>
          </w:p>
        </w:tc>
      </w:tr>
      <w:tr w:rsidR="008D13BD" w:rsidRPr="001E7178" w14:paraId="3EB2780D"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1C519C88" w14:textId="77777777" w:rsidR="008D13BD" w:rsidRPr="001E7178" w:rsidRDefault="008D13BD" w:rsidP="008D13BD">
            <w:pPr>
              <w:pStyle w:val="TableText"/>
              <w:rPr>
                <w:color w:val="auto"/>
              </w:rPr>
            </w:pPr>
            <w:r w:rsidRPr="001E7178">
              <w:rPr>
                <w:color w:val="auto"/>
              </w:rPr>
              <w:t>Transport</w:t>
            </w:r>
          </w:p>
        </w:tc>
        <w:tc>
          <w:tcPr>
            <w:tcW w:w="976" w:type="dxa"/>
            <w:noWrap/>
            <w:hideMark/>
          </w:tcPr>
          <w:p w14:paraId="01EEBC17" w14:textId="77777777" w:rsidR="008D13BD" w:rsidRPr="001E7178" w:rsidRDefault="008D13BD" w:rsidP="008D13BD">
            <w:pPr>
              <w:pStyle w:val="TableText"/>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0.4%</w:t>
            </w:r>
          </w:p>
        </w:tc>
      </w:tr>
      <w:tr w:rsidR="008D13BD" w:rsidRPr="001E7178" w14:paraId="5C5755E3"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5FB45F51" w14:textId="77777777" w:rsidR="008D13BD" w:rsidRPr="001E7178" w:rsidRDefault="002C1B79" w:rsidP="008D13BD">
            <w:pPr>
              <w:pStyle w:val="TableText"/>
              <w:rPr>
                <w:color w:val="auto"/>
              </w:rPr>
            </w:pPr>
            <w:r>
              <w:rPr>
                <w:color w:val="auto"/>
              </w:rPr>
              <w:t>Don’t know</w:t>
            </w:r>
          </w:p>
        </w:tc>
        <w:tc>
          <w:tcPr>
            <w:tcW w:w="976" w:type="dxa"/>
            <w:noWrap/>
            <w:hideMark/>
          </w:tcPr>
          <w:p w14:paraId="25B99A0B" w14:textId="77777777" w:rsidR="008D13BD" w:rsidRPr="001E7178" w:rsidRDefault="008D13BD" w:rsidP="008D13BD">
            <w:pPr>
              <w:pStyle w:val="TableText"/>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1.9%</w:t>
            </w:r>
          </w:p>
        </w:tc>
      </w:tr>
    </w:tbl>
    <w:p w14:paraId="1D86C0A8" w14:textId="77777777" w:rsidR="008D13BD" w:rsidRPr="002805F3" w:rsidRDefault="008D13BD" w:rsidP="008D13BD">
      <w:pPr>
        <w:pStyle w:val="TableSource"/>
      </w:pPr>
      <w:r w:rsidRPr="002805F3">
        <w:t>Source: Hill Taylor and Atkins 2013. Atkins Ref: Survey –A20/B29</w:t>
      </w:r>
      <w:r>
        <w:t>. Note: Figures do not add up to 100% because of small results being excluded</w:t>
      </w:r>
    </w:p>
    <w:p w14:paraId="5599A2AE" w14:textId="77777777" w:rsidR="008D13BD" w:rsidRPr="002805F3" w:rsidRDefault="008D13BD" w:rsidP="008D13BD">
      <w:pPr>
        <w:pStyle w:val="BodyText"/>
        <w:rPr>
          <w:szCs w:val="22"/>
        </w:rPr>
      </w:pPr>
      <w:r w:rsidRPr="002805F3">
        <w:rPr>
          <w:szCs w:val="22"/>
        </w:rPr>
        <w:t xml:space="preserve">Of those companies that identified skills &amp; training as </w:t>
      </w:r>
      <w:r>
        <w:rPr>
          <w:szCs w:val="22"/>
        </w:rPr>
        <w:t>an area for future investment</w:t>
      </w:r>
      <w:r w:rsidRPr="002805F3">
        <w:rPr>
          <w:szCs w:val="22"/>
        </w:rPr>
        <w:t>, training for drive</w:t>
      </w:r>
      <w:r>
        <w:rPr>
          <w:szCs w:val="22"/>
        </w:rPr>
        <w:t xml:space="preserve">rs and managers, as well as enhanced </w:t>
      </w:r>
      <w:r w:rsidRPr="002805F3">
        <w:rPr>
          <w:szCs w:val="22"/>
        </w:rPr>
        <w:t xml:space="preserve">engineering skills and apprenticeships were highlighted as </w:t>
      </w:r>
      <w:r>
        <w:rPr>
          <w:szCs w:val="22"/>
        </w:rPr>
        <w:t>priority areas</w:t>
      </w:r>
      <w:r w:rsidRPr="002805F3">
        <w:rPr>
          <w:szCs w:val="22"/>
        </w:rPr>
        <w:t xml:space="preserve">. </w:t>
      </w:r>
    </w:p>
    <w:p w14:paraId="0202C927" w14:textId="77777777" w:rsidR="008D13BD" w:rsidRPr="002805F3" w:rsidRDefault="008D13BD" w:rsidP="008D13BD">
      <w:pPr>
        <w:pStyle w:val="BodyText"/>
        <w:jc w:val="both"/>
        <w:rPr>
          <w:szCs w:val="22"/>
        </w:rPr>
      </w:pPr>
      <w:r>
        <w:rPr>
          <w:szCs w:val="22"/>
        </w:rPr>
        <w:t>Of those companies</w:t>
      </w:r>
      <w:r w:rsidRPr="002805F3">
        <w:rPr>
          <w:szCs w:val="22"/>
        </w:rPr>
        <w:t xml:space="preserve"> that expressed an intention to invest in land and property over the next five years, the highest proportion of </w:t>
      </w:r>
      <w:r>
        <w:rPr>
          <w:szCs w:val="22"/>
        </w:rPr>
        <w:t>businesses (31</w:t>
      </w:r>
      <w:r w:rsidRPr="002805F3">
        <w:rPr>
          <w:szCs w:val="22"/>
        </w:rPr>
        <w:t xml:space="preserve">%) indicated that they would </w:t>
      </w:r>
      <w:r>
        <w:rPr>
          <w:szCs w:val="22"/>
        </w:rPr>
        <w:t>prefer</w:t>
      </w:r>
      <w:r w:rsidRPr="002805F3">
        <w:rPr>
          <w:szCs w:val="22"/>
        </w:rPr>
        <w:t xml:space="preserve"> to expand their operations on their current site. </w:t>
      </w:r>
    </w:p>
    <w:p w14:paraId="3FEB8BC6" w14:textId="77777777" w:rsidR="008D13BD" w:rsidRPr="002805F3" w:rsidRDefault="008D13BD" w:rsidP="008D13BD">
      <w:pPr>
        <w:pStyle w:val="Caption"/>
      </w:pPr>
      <w:r>
        <w:rPr>
          <w:noProof/>
          <w:lang w:eastAsia="en-GB"/>
        </w:rPr>
        <w:t xml:space="preserve">Figure </w:t>
      </w:r>
      <w:fldSimple w:instr=" STYLEREF 1 \s  \* MERGEFORMAT ">
        <w:r w:rsidR="00E95E1A">
          <w:rPr>
            <w:noProof/>
            <w:lang w:eastAsia="en-GB"/>
          </w:rPr>
          <w:t>3</w:t>
        </w:r>
      </w:fldSimple>
      <w:r>
        <w:rPr>
          <w:noProof/>
          <w:lang w:eastAsia="en-GB"/>
        </w:rPr>
        <w:t>-</w:t>
      </w:r>
      <w:fldSimple w:instr=" SEQ Figure \* ARABIC \s 1  \* MERGEFORMAT ">
        <w:r w:rsidR="00E95E1A">
          <w:rPr>
            <w:noProof/>
            <w:lang w:eastAsia="en-GB"/>
          </w:rPr>
          <w:t>6</w:t>
        </w:r>
      </w:fldSimple>
      <w:r>
        <w:rPr>
          <w:noProof/>
          <w:lang w:eastAsia="en-GB"/>
        </w:rPr>
        <w:tab/>
        <w:t>Land &amp; Property Needs</w:t>
      </w:r>
      <w:r w:rsidR="008D7250">
        <w:rPr>
          <w:noProof/>
          <w:lang w:eastAsia="en-GB"/>
        </w:rPr>
        <w:drawing>
          <wp:inline distT="0" distB="0" distL="0" distR="0" wp14:anchorId="2F4AF05D" wp14:editId="68F3E64A">
            <wp:extent cx="6090250" cy="3071004"/>
            <wp:effectExtent l="0" t="0" r="0" b="0"/>
            <wp:docPr id="2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A5E0405" w14:textId="77777777" w:rsidR="008D13BD" w:rsidRPr="002805F3" w:rsidRDefault="008D13BD" w:rsidP="008D13BD">
      <w:pPr>
        <w:pStyle w:val="TableSource"/>
      </w:pPr>
      <w:r w:rsidRPr="002805F3">
        <w:t>Source: Hill Taylor and Atkins 2013. Atkins Ref: Survey –A23</w:t>
      </w:r>
    </w:p>
    <w:p w14:paraId="13CD238A" w14:textId="77777777" w:rsidR="008D13BD" w:rsidRPr="002805F3" w:rsidRDefault="008D13BD" w:rsidP="008D13BD">
      <w:pPr>
        <w:pStyle w:val="Heading2"/>
        <w:numPr>
          <w:ilvl w:val="1"/>
          <w:numId w:val="5"/>
        </w:numPr>
      </w:pPr>
      <w:bookmarkStart w:id="561" w:name="_Toc395103919"/>
      <w:r w:rsidRPr="002805F3">
        <w:t>Location</w:t>
      </w:r>
      <w:r>
        <w:t xml:space="preserve"> Decision</w:t>
      </w:r>
      <w:bookmarkEnd w:id="561"/>
    </w:p>
    <w:p w14:paraId="3FD911F1" w14:textId="77777777" w:rsidR="008D13BD" w:rsidRPr="002805F3" w:rsidRDefault="008D13BD" w:rsidP="008D13BD">
      <w:pPr>
        <w:pStyle w:val="BodyText"/>
        <w:jc w:val="both"/>
        <w:rPr>
          <w:szCs w:val="22"/>
        </w:rPr>
      </w:pPr>
      <w:r w:rsidRPr="002805F3">
        <w:rPr>
          <w:szCs w:val="22"/>
        </w:rPr>
        <w:t xml:space="preserve">All </w:t>
      </w:r>
      <w:r>
        <w:rPr>
          <w:szCs w:val="22"/>
        </w:rPr>
        <w:t>businesses</w:t>
      </w:r>
      <w:r w:rsidRPr="002805F3">
        <w:rPr>
          <w:szCs w:val="22"/>
        </w:rPr>
        <w:t xml:space="preserve"> were asked why they had chosen their current site to locate their business. Answers ranged across the sectors, highlighting the need for proximity to certain facilities </w:t>
      </w:r>
      <w:r>
        <w:rPr>
          <w:szCs w:val="22"/>
        </w:rPr>
        <w:t xml:space="preserve">(e.g. the port) </w:t>
      </w:r>
      <w:r w:rsidRPr="002805F3">
        <w:rPr>
          <w:szCs w:val="22"/>
        </w:rPr>
        <w:t>and markets</w:t>
      </w:r>
      <w:r>
        <w:rPr>
          <w:szCs w:val="22"/>
        </w:rPr>
        <w:t xml:space="preserve"> (either physical such as the fish market or more strategic access in terms of transport connectivity).</w:t>
      </w:r>
      <w:r w:rsidRPr="002805F3">
        <w:rPr>
          <w:szCs w:val="22"/>
        </w:rPr>
        <w:t xml:space="preserve"> </w:t>
      </w:r>
    </w:p>
    <w:p w14:paraId="059215DC" w14:textId="77777777" w:rsidR="00863243" w:rsidRDefault="00863243">
      <w:pPr>
        <w:spacing w:after="200" w:line="276" w:lineRule="auto"/>
        <w:rPr>
          <w:b/>
          <w:bCs/>
          <w:szCs w:val="18"/>
        </w:rPr>
      </w:pPr>
      <w:r>
        <w:br w:type="page"/>
      </w:r>
    </w:p>
    <w:p w14:paraId="505D3B17" w14:textId="77777777" w:rsidR="008D13BD" w:rsidRDefault="008D13BD" w:rsidP="008D13BD">
      <w:pPr>
        <w:pStyle w:val="Caption"/>
      </w:pPr>
      <w:r>
        <w:t xml:space="preserve">Table </w:t>
      </w:r>
      <w:fldSimple w:instr=" STYLEREF 1 \s  \* MERGEFORMAT ">
        <w:r w:rsidR="00E95E1A">
          <w:rPr>
            <w:noProof/>
          </w:rPr>
          <w:t>3</w:t>
        </w:r>
      </w:fldSimple>
      <w:r>
        <w:t>-</w:t>
      </w:r>
      <w:fldSimple w:instr=" SEQ Table \* ARABIC \s 1  \* MERGEFORMAT ">
        <w:r w:rsidR="00E95E1A">
          <w:rPr>
            <w:noProof/>
          </w:rPr>
          <w:t>12</w:t>
        </w:r>
      </w:fldSimple>
      <w:r>
        <w:tab/>
        <w:t>Reason for Current Location</w:t>
      </w:r>
    </w:p>
    <w:tbl>
      <w:tblPr>
        <w:tblStyle w:val="Atkins14pt"/>
        <w:tblW w:w="9570" w:type="dxa"/>
        <w:tblLook w:val="04A0" w:firstRow="1" w:lastRow="0" w:firstColumn="1" w:lastColumn="0" w:noHBand="0" w:noVBand="1"/>
      </w:tblPr>
      <w:tblGrid>
        <w:gridCol w:w="3083"/>
        <w:gridCol w:w="1427"/>
        <w:gridCol w:w="1072"/>
        <w:gridCol w:w="1611"/>
        <w:gridCol w:w="1243"/>
        <w:gridCol w:w="1134"/>
      </w:tblGrid>
      <w:tr w:rsidR="008D13BD" w:rsidRPr="001E7178" w14:paraId="0A05E28A" w14:textId="77777777" w:rsidTr="008D13B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083" w:type="dxa"/>
            <w:shd w:val="clear" w:color="auto" w:fill="BED600" w:themeFill="accent1"/>
            <w:noWrap/>
            <w:hideMark/>
          </w:tcPr>
          <w:p w14:paraId="23B0B49A" w14:textId="77777777" w:rsidR="008D13BD" w:rsidRPr="001E7178" w:rsidRDefault="008D13BD" w:rsidP="008D13BD">
            <w:pPr>
              <w:spacing w:after="0"/>
              <w:rPr>
                <w:color w:val="000000"/>
              </w:rPr>
            </w:pPr>
            <w:r>
              <w:rPr>
                <w:color w:val="000000"/>
              </w:rPr>
              <w:t>Reason</w:t>
            </w:r>
          </w:p>
        </w:tc>
        <w:tc>
          <w:tcPr>
            <w:tcW w:w="1427" w:type="dxa"/>
            <w:shd w:val="clear" w:color="auto" w:fill="BED600" w:themeFill="accent1"/>
            <w:noWrap/>
            <w:hideMark/>
          </w:tcPr>
          <w:p w14:paraId="4D0D4A37" w14:textId="77777777" w:rsidR="008D13BD" w:rsidRPr="001E7178" w:rsidRDefault="008D13BD" w:rsidP="008D13BD">
            <w:pPr>
              <w:spacing w:after="0"/>
              <w:cnfStyle w:val="100000000000" w:firstRow="1" w:lastRow="0" w:firstColumn="0" w:lastColumn="0" w:oddVBand="0" w:evenVBand="0" w:oddHBand="0" w:evenHBand="0" w:firstRowFirstColumn="0" w:firstRowLastColumn="0" w:lastRowFirstColumn="0" w:lastRowLastColumn="0"/>
              <w:rPr>
                <w:color w:val="000000"/>
              </w:rPr>
            </w:pPr>
            <w:r w:rsidRPr="001E7178">
              <w:rPr>
                <w:color w:val="000000"/>
              </w:rPr>
              <w:t>Renewables</w:t>
            </w:r>
          </w:p>
        </w:tc>
        <w:tc>
          <w:tcPr>
            <w:tcW w:w="1072" w:type="dxa"/>
            <w:shd w:val="clear" w:color="auto" w:fill="BED600" w:themeFill="accent1"/>
            <w:noWrap/>
            <w:hideMark/>
          </w:tcPr>
          <w:p w14:paraId="11E50AC2" w14:textId="77777777" w:rsidR="008D13BD" w:rsidRPr="001E7178" w:rsidRDefault="008D13BD" w:rsidP="008D13BD">
            <w:pPr>
              <w:spacing w:after="0"/>
              <w:cnfStyle w:val="100000000000" w:firstRow="1" w:lastRow="0" w:firstColumn="0" w:lastColumn="0" w:oddVBand="0" w:evenVBand="0" w:oddHBand="0" w:evenHBand="0" w:firstRowFirstColumn="0" w:firstRowLastColumn="0" w:lastRowFirstColumn="0" w:lastRowLastColumn="0"/>
              <w:rPr>
                <w:color w:val="000000"/>
              </w:rPr>
            </w:pPr>
            <w:r w:rsidRPr="001E7178">
              <w:rPr>
                <w:color w:val="000000"/>
              </w:rPr>
              <w:t>Ports &amp; Logistics</w:t>
            </w:r>
          </w:p>
        </w:tc>
        <w:tc>
          <w:tcPr>
            <w:tcW w:w="1611" w:type="dxa"/>
            <w:shd w:val="clear" w:color="auto" w:fill="BED600" w:themeFill="accent1"/>
            <w:noWrap/>
            <w:hideMark/>
          </w:tcPr>
          <w:p w14:paraId="1ADA61BC" w14:textId="77777777" w:rsidR="008D13BD" w:rsidRPr="001E7178" w:rsidRDefault="008D13BD" w:rsidP="008D13BD">
            <w:pPr>
              <w:spacing w:after="0"/>
              <w:cnfStyle w:val="100000000000" w:firstRow="1" w:lastRow="0" w:firstColumn="0" w:lastColumn="0" w:oddVBand="0" w:evenVBand="0" w:oddHBand="0" w:evenHBand="0" w:firstRowFirstColumn="0" w:firstRowLastColumn="0" w:lastRowFirstColumn="0" w:lastRowLastColumn="0"/>
              <w:rPr>
                <w:color w:val="000000"/>
              </w:rPr>
            </w:pPr>
            <w:r w:rsidRPr="001E7178">
              <w:rPr>
                <w:color w:val="000000"/>
              </w:rPr>
              <w:t>Food manufacturing</w:t>
            </w:r>
          </w:p>
        </w:tc>
        <w:tc>
          <w:tcPr>
            <w:tcW w:w="1243" w:type="dxa"/>
            <w:shd w:val="clear" w:color="auto" w:fill="BED600" w:themeFill="accent1"/>
            <w:noWrap/>
            <w:hideMark/>
          </w:tcPr>
          <w:p w14:paraId="46E4380C" w14:textId="77777777" w:rsidR="008D13BD" w:rsidRPr="001E7178" w:rsidRDefault="008D13BD" w:rsidP="008D13BD">
            <w:pPr>
              <w:spacing w:after="0"/>
              <w:cnfStyle w:val="100000000000" w:firstRow="1" w:lastRow="0" w:firstColumn="0" w:lastColumn="0" w:oddVBand="0" w:evenVBand="0" w:oddHBand="0" w:evenHBand="0" w:firstRowFirstColumn="0" w:firstRowLastColumn="0" w:lastRowFirstColumn="0" w:lastRowLastColumn="0"/>
              <w:rPr>
                <w:color w:val="000000"/>
              </w:rPr>
            </w:pPr>
            <w:r w:rsidRPr="001E7178">
              <w:rPr>
                <w:color w:val="000000"/>
              </w:rPr>
              <w:t>Chemicals &amp; process industries</w:t>
            </w:r>
          </w:p>
        </w:tc>
        <w:tc>
          <w:tcPr>
            <w:tcW w:w="1134" w:type="dxa"/>
            <w:shd w:val="clear" w:color="auto" w:fill="BED600" w:themeFill="accent1"/>
            <w:noWrap/>
            <w:hideMark/>
          </w:tcPr>
          <w:p w14:paraId="3C46FA87" w14:textId="77777777" w:rsidR="008D13BD" w:rsidRPr="001E7178" w:rsidRDefault="008D13BD" w:rsidP="008D13BD">
            <w:pPr>
              <w:spacing w:after="0"/>
              <w:cnfStyle w:val="100000000000" w:firstRow="1" w:lastRow="0" w:firstColumn="0" w:lastColumn="0" w:oddVBand="0" w:evenVBand="0" w:oddHBand="0" w:evenHBand="0" w:firstRowFirstColumn="0" w:firstRowLastColumn="0" w:lastRowFirstColumn="0" w:lastRowLastColumn="0"/>
              <w:rPr>
                <w:color w:val="000000"/>
              </w:rPr>
            </w:pPr>
            <w:r w:rsidRPr="001E7178">
              <w:rPr>
                <w:color w:val="000000"/>
              </w:rPr>
              <w:t>Visitor Economy &amp; Retail</w:t>
            </w:r>
          </w:p>
        </w:tc>
      </w:tr>
      <w:tr w:rsidR="008D13BD" w:rsidRPr="001E7178" w14:paraId="201EAE68"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083" w:type="dxa"/>
            <w:noWrap/>
            <w:hideMark/>
          </w:tcPr>
          <w:p w14:paraId="1ED08547" w14:textId="77777777" w:rsidR="008D13BD" w:rsidRPr="001E7178" w:rsidRDefault="008D13BD" w:rsidP="008D13BD">
            <w:pPr>
              <w:spacing w:after="0"/>
              <w:rPr>
                <w:color w:val="000000"/>
              </w:rPr>
            </w:pPr>
            <w:r w:rsidRPr="001E7178">
              <w:rPr>
                <w:color w:val="000000"/>
              </w:rPr>
              <w:t>Close to waterfront and / or port facilities</w:t>
            </w:r>
          </w:p>
        </w:tc>
        <w:tc>
          <w:tcPr>
            <w:tcW w:w="1427" w:type="dxa"/>
            <w:noWrap/>
            <w:hideMark/>
          </w:tcPr>
          <w:p w14:paraId="4095B0A9"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3.6%</w:t>
            </w:r>
          </w:p>
        </w:tc>
        <w:tc>
          <w:tcPr>
            <w:tcW w:w="1072" w:type="dxa"/>
            <w:noWrap/>
            <w:hideMark/>
          </w:tcPr>
          <w:p w14:paraId="49A72241"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22.3%</w:t>
            </w:r>
          </w:p>
        </w:tc>
        <w:tc>
          <w:tcPr>
            <w:tcW w:w="1611" w:type="dxa"/>
            <w:noWrap/>
            <w:hideMark/>
          </w:tcPr>
          <w:p w14:paraId="2BD9EFCE"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14.5%</w:t>
            </w:r>
          </w:p>
        </w:tc>
        <w:tc>
          <w:tcPr>
            <w:tcW w:w="1243" w:type="dxa"/>
            <w:noWrap/>
            <w:hideMark/>
          </w:tcPr>
          <w:p w14:paraId="62D183A8"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12.5%</w:t>
            </w:r>
          </w:p>
        </w:tc>
        <w:tc>
          <w:tcPr>
            <w:tcW w:w="1134" w:type="dxa"/>
            <w:noWrap/>
            <w:hideMark/>
          </w:tcPr>
          <w:p w14:paraId="1AB4AB5C"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4.0%</w:t>
            </w:r>
          </w:p>
        </w:tc>
      </w:tr>
      <w:tr w:rsidR="008D13BD" w:rsidRPr="001E7178" w14:paraId="23AEC948"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083" w:type="dxa"/>
            <w:noWrap/>
            <w:hideMark/>
          </w:tcPr>
          <w:p w14:paraId="54159848" w14:textId="77777777" w:rsidR="008D13BD" w:rsidRPr="001E7178" w:rsidRDefault="008D13BD" w:rsidP="008D13BD">
            <w:pPr>
              <w:spacing w:after="0"/>
              <w:rPr>
                <w:color w:val="000000"/>
              </w:rPr>
            </w:pPr>
            <w:r w:rsidRPr="001E7178">
              <w:rPr>
                <w:color w:val="000000"/>
              </w:rPr>
              <w:t>Proximity to other related businesses</w:t>
            </w:r>
          </w:p>
        </w:tc>
        <w:tc>
          <w:tcPr>
            <w:tcW w:w="1427" w:type="dxa"/>
            <w:noWrap/>
            <w:hideMark/>
          </w:tcPr>
          <w:p w14:paraId="5B7FED74"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3.6%</w:t>
            </w:r>
          </w:p>
        </w:tc>
        <w:tc>
          <w:tcPr>
            <w:tcW w:w="1072" w:type="dxa"/>
            <w:noWrap/>
            <w:hideMark/>
          </w:tcPr>
          <w:p w14:paraId="55C5592D"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1.4%</w:t>
            </w:r>
          </w:p>
        </w:tc>
        <w:tc>
          <w:tcPr>
            <w:tcW w:w="1611" w:type="dxa"/>
            <w:noWrap/>
            <w:hideMark/>
          </w:tcPr>
          <w:p w14:paraId="0EFAEB9E"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2.9%</w:t>
            </w:r>
          </w:p>
        </w:tc>
        <w:tc>
          <w:tcPr>
            <w:tcW w:w="1243" w:type="dxa"/>
            <w:noWrap/>
            <w:hideMark/>
          </w:tcPr>
          <w:p w14:paraId="4B2DBED3"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7.5%</w:t>
            </w:r>
          </w:p>
        </w:tc>
        <w:tc>
          <w:tcPr>
            <w:tcW w:w="1134" w:type="dxa"/>
            <w:noWrap/>
            <w:hideMark/>
          </w:tcPr>
          <w:p w14:paraId="34FE87DC"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0.9%</w:t>
            </w:r>
          </w:p>
        </w:tc>
      </w:tr>
      <w:tr w:rsidR="008D13BD" w:rsidRPr="001E7178" w14:paraId="1DFCD666"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083" w:type="dxa"/>
            <w:noWrap/>
            <w:hideMark/>
          </w:tcPr>
          <w:p w14:paraId="036C9824" w14:textId="77777777" w:rsidR="008D13BD" w:rsidRPr="001E7178" w:rsidRDefault="008D13BD" w:rsidP="008D13BD">
            <w:pPr>
              <w:spacing w:after="0"/>
              <w:rPr>
                <w:color w:val="000000"/>
              </w:rPr>
            </w:pPr>
            <w:r w:rsidRPr="001E7178">
              <w:rPr>
                <w:color w:val="000000"/>
              </w:rPr>
              <w:t>Proximity to key suppliers</w:t>
            </w:r>
          </w:p>
        </w:tc>
        <w:tc>
          <w:tcPr>
            <w:tcW w:w="1427" w:type="dxa"/>
            <w:noWrap/>
            <w:hideMark/>
          </w:tcPr>
          <w:p w14:paraId="78154D67"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072" w:type="dxa"/>
            <w:noWrap/>
            <w:hideMark/>
          </w:tcPr>
          <w:p w14:paraId="64476EB0"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4.3%</w:t>
            </w:r>
          </w:p>
        </w:tc>
        <w:tc>
          <w:tcPr>
            <w:tcW w:w="1611" w:type="dxa"/>
            <w:noWrap/>
            <w:hideMark/>
          </w:tcPr>
          <w:p w14:paraId="236E42F6"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7.2%</w:t>
            </w:r>
          </w:p>
        </w:tc>
        <w:tc>
          <w:tcPr>
            <w:tcW w:w="1243" w:type="dxa"/>
            <w:noWrap/>
            <w:hideMark/>
          </w:tcPr>
          <w:p w14:paraId="580B95DB"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2.5%</w:t>
            </w:r>
          </w:p>
        </w:tc>
        <w:tc>
          <w:tcPr>
            <w:tcW w:w="1134" w:type="dxa"/>
            <w:noWrap/>
            <w:hideMark/>
          </w:tcPr>
          <w:p w14:paraId="4F80DF21"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1.3%</w:t>
            </w:r>
          </w:p>
        </w:tc>
      </w:tr>
      <w:tr w:rsidR="008D13BD" w:rsidRPr="001E7178" w14:paraId="51FC1A3B"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083" w:type="dxa"/>
            <w:noWrap/>
            <w:hideMark/>
          </w:tcPr>
          <w:p w14:paraId="07B9BFA1" w14:textId="77777777" w:rsidR="008D13BD" w:rsidRPr="001E7178" w:rsidRDefault="008D13BD" w:rsidP="008D13BD">
            <w:pPr>
              <w:spacing w:after="0"/>
              <w:rPr>
                <w:color w:val="000000"/>
              </w:rPr>
            </w:pPr>
            <w:r w:rsidRPr="001E7178">
              <w:rPr>
                <w:color w:val="000000"/>
              </w:rPr>
              <w:t>Proximity to key clients / markets</w:t>
            </w:r>
          </w:p>
        </w:tc>
        <w:tc>
          <w:tcPr>
            <w:tcW w:w="1427" w:type="dxa"/>
            <w:noWrap/>
            <w:hideMark/>
          </w:tcPr>
          <w:p w14:paraId="7BF93C48"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17.9%</w:t>
            </w:r>
          </w:p>
        </w:tc>
        <w:tc>
          <w:tcPr>
            <w:tcW w:w="1072" w:type="dxa"/>
            <w:noWrap/>
            <w:hideMark/>
          </w:tcPr>
          <w:p w14:paraId="238A8A39"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5.8%</w:t>
            </w:r>
          </w:p>
        </w:tc>
        <w:tc>
          <w:tcPr>
            <w:tcW w:w="1611" w:type="dxa"/>
            <w:noWrap/>
            <w:hideMark/>
          </w:tcPr>
          <w:p w14:paraId="14E56E1F"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10.1%</w:t>
            </w:r>
          </w:p>
        </w:tc>
        <w:tc>
          <w:tcPr>
            <w:tcW w:w="1243" w:type="dxa"/>
            <w:noWrap/>
            <w:hideMark/>
          </w:tcPr>
          <w:p w14:paraId="40BE64B1"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15.0%</w:t>
            </w:r>
          </w:p>
        </w:tc>
        <w:tc>
          <w:tcPr>
            <w:tcW w:w="1134" w:type="dxa"/>
            <w:noWrap/>
            <w:hideMark/>
          </w:tcPr>
          <w:p w14:paraId="6329B470"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17.0%</w:t>
            </w:r>
          </w:p>
        </w:tc>
      </w:tr>
      <w:tr w:rsidR="008D13BD" w:rsidRPr="001E7178" w14:paraId="35C7E594"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083" w:type="dxa"/>
            <w:noWrap/>
            <w:hideMark/>
          </w:tcPr>
          <w:p w14:paraId="4F8738B4" w14:textId="77777777" w:rsidR="008D13BD" w:rsidRPr="001E7178" w:rsidRDefault="008D13BD" w:rsidP="008D13BD">
            <w:pPr>
              <w:spacing w:after="0"/>
              <w:rPr>
                <w:color w:val="000000"/>
              </w:rPr>
            </w:pPr>
            <w:r w:rsidRPr="001E7178">
              <w:rPr>
                <w:color w:val="000000"/>
              </w:rPr>
              <w:t>Affordable premises</w:t>
            </w:r>
          </w:p>
        </w:tc>
        <w:tc>
          <w:tcPr>
            <w:tcW w:w="1427" w:type="dxa"/>
            <w:noWrap/>
            <w:hideMark/>
          </w:tcPr>
          <w:p w14:paraId="1197211E"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3.6%</w:t>
            </w:r>
          </w:p>
        </w:tc>
        <w:tc>
          <w:tcPr>
            <w:tcW w:w="1072" w:type="dxa"/>
            <w:noWrap/>
            <w:hideMark/>
          </w:tcPr>
          <w:p w14:paraId="6DDE3990"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2.9%</w:t>
            </w:r>
          </w:p>
        </w:tc>
        <w:tc>
          <w:tcPr>
            <w:tcW w:w="1611" w:type="dxa"/>
            <w:noWrap/>
            <w:hideMark/>
          </w:tcPr>
          <w:p w14:paraId="015335F6"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4.3%</w:t>
            </w:r>
          </w:p>
        </w:tc>
        <w:tc>
          <w:tcPr>
            <w:tcW w:w="1243" w:type="dxa"/>
            <w:noWrap/>
            <w:hideMark/>
          </w:tcPr>
          <w:p w14:paraId="7049E087"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7.5%</w:t>
            </w:r>
          </w:p>
        </w:tc>
        <w:tc>
          <w:tcPr>
            <w:tcW w:w="1134" w:type="dxa"/>
            <w:noWrap/>
            <w:hideMark/>
          </w:tcPr>
          <w:p w14:paraId="5D3783CB"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5.4%</w:t>
            </w:r>
          </w:p>
        </w:tc>
      </w:tr>
      <w:tr w:rsidR="008D13BD" w:rsidRPr="001E7178" w14:paraId="5F09E83E"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083" w:type="dxa"/>
            <w:noWrap/>
            <w:hideMark/>
          </w:tcPr>
          <w:p w14:paraId="50BF28A5" w14:textId="77777777" w:rsidR="008D13BD" w:rsidRPr="001E7178" w:rsidRDefault="008D13BD" w:rsidP="008D13BD">
            <w:pPr>
              <w:spacing w:after="0"/>
              <w:rPr>
                <w:color w:val="000000"/>
              </w:rPr>
            </w:pPr>
            <w:r w:rsidRPr="001E7178">
              <w:rPr>
                <w:color w:val="000000"/>
              </w:rPr>
              <w:t>Appropriate type of premises</w:t>
            </w:r>
          </w:p>
        </w:tc>
        <w:tc>
          <w:tcPr>
            <w:tcW w:w="1427" w:type="dxa"/>
            <w:noWrap/>
            <w:hideMark/>
          </w:tcPr>
          <w:p w14:paraId="50871F87"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3.6%</w:t>
            </w:r>
          </w:p>
        </w:tc>
        <w:tc>
          <w:tcPr>
            <w:tcW w:w="1072" w:type="dxa"/>
            <w:noWrap/>
            <w:hideMark/>
          </w:tcPr>
          <w:p w14:paraId="6AD152DC"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5.8%</w:t>
            </w:r>
          </w:p>
        </w:tc>
        <w:tc>
          <w:tcPr>
            <w:tcW w:w="1611" w:type="dxa"/>
            <w:noWrap/>
            <w:hideMark/>
          </w:tcPr>
          <w:p w14:paraId="7B64B36F"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5.8%</w:t>
            </w:r>
          </w:p>
        </w:tc>
        <w:tc>
          <w:tcPr>
            <w:tcW w:w="1243" w:type="dxa"/>
            <w:noWrap/>
            <w:hideMark/>
          </w:tcPr>
          <w:p w14:paraId="6144B0B8"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2.5%</w:t>
            </w:r>
          </w:p>
        </w:tc>
        <w:tc>
          <w:tcPr>
            <w:tcW w:w="1134" w:type="dxa"/>
            <w:noWrap/>
            <w:hideMark/>
          </w:tcPr>
          <w:p w14:paraId="233C6560"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11.2%</w:t>
            </w:r>
          </w:p>
        </w:tc>
      </w:tr>
      <w:tr w:rsidR="008D13BD" w:rsidRPr="001E7178" w14:paraId="7923D707"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083" w:type="dxa"/>
            <w:noWrap/>
            <w:hideMark/>
          </w:tcPr>
          <w:p w14:paraId="1A1F8099" w14:textId="77777777" w:rsidR="008D13BD" w:rsidRPr="001E7178" w:rsidRDefault="008D13BD" w:rsidP="008D13BD">
            <w:pPr>
              <w:spacing w:after="0"/>
              <w:rPr>
                <w:color w:val="000000"/>
              </w:rPr>
            </w:pPr>
            <w:r w:rsidRPr="001E7178">
              <w:rPr>
                <w:color w:val="000000"/>
              </w:rPr>
              <w:t>Proximity to skilled workforce</w:t>
            </w:r>
          </w:p>
        </w:tc>
        <w:tc>
          <w:tcPr>
            <w:tcW w:w="1427" w:type="dxa"/>
            <w:noWrap/>
            <w:hideMark/>
          </w:tcPr>
          <w:p w14:paraId="45951A8A"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072" w:type="dxa"/>
            <w:noWrap/>
            <w:hideMark/>
          </w:tcPr>
          <w:p w14:paraId="0427F960"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0.7%</w:t>
            </w:r>
          </w:p>
        </w:tc>
        <w:tc>
          <w:tcPr>
            <w:tcW w:w="1611" w:type="dxa"/>
            <w:noWrap/>
            <w:hideMark/>
          </w:tcPr>
          <w:p w14:paraId="0C96982B"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0.7%</w:t>
            </w:r>
          </w:p>
        </w:tc>
        <w:tc>
          <w:tcPr>
            <w:tcW w:w="1243" w:type="dxa"/>
            <w:noWrap/>
            <w:hideMark/>
          </w:tcPr>
          <w:p w14:paraId="08585742"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134" w:type="dxa"/>
            <w:noWrap/>
            <w:hideMark/>
          </w:tcPr>
          <w:p w14:paraId="401823D7"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r>
      <w:tr w:rsidR="008D13BD" w:rsidRPr="001E7178" w14:paraId="660F8014"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083" w:type="dxa"/>
            <w:noWrap/>
            <w:hideMark/>
          </w:tcPr>
          <w:p w14:paraId="6EFD2545" w14:textId="77777777" w:rsidR="008D13BD" w:rsidRPr="001E7178" w:rsidRDefault="008D13BD" w:rsidP="008D13BD">
            <w:pPr>
              <w:spacing w:after="0"/>
              <w:rPr>
                <w:color w:val="000000"/>
              </w:rPr>
            </w:pPr>
            <w:r w:rsidRPr="001E7178">
              <w:rPr>
                <w:color w:val="000000"/>
              </w:rPr>
              <w:t>Access to road network</w:t>
            </w:r>
          </w:p>
        </w:tc>
        <w:tc>
          <w:tcPr>
            <w:tcW w:w="1427" w:type="dxa"/>
            <w:noWrap/>
            <w:hideMark/>
          </w:tcPr>
          <w:p w14:paraId="008BC07B"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10.7%</w:t>
            </w:r>
          </w:p>
        </w:tc>
        <w:tc>
          <w:tcPr>
            <w:tcW w:w="1072" w:type="dxa"/>
            <w:noWrap/>
            <w:hideMark/>
          </w:tcPr>
          <w:p w14:paraId="0C63DE44"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13.7%</w:t>
            </w:r>
          </w:p>
        </w:tc>
        <w:tc>
          <w:tcPr>
            <w:tcW w:w="1611" w:type="dxa"/>
            <w:noWrap/>
            <w:hideMark/>
          </w:tcPr>
          <w:p w14:paraId="6E52974A"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15.2%</w:t>
            </w:r>
          </w:p>
        </w:tc>
        <w:tc>
          <w:tcPr>
            <w:tcW w:w="1243" w:type="dxa"/>
            <w:noWrap/>
            <w:hideMark/>
          </w:tcPr>
          <w:p w14:paraId="7182ED40"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17.5%</w:t>
            </w:r>
          </w:p>
        </w:tc>
        <w:tc>
          <w:tcPr>
            <w:tcW w:w="1134" w:type="dxa"/>
            <w:noWrap/>
            <w:hideMark/>
          </w:tcPr>
          <w:p w14:paraId="46D4A01E"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10.3%</w:t>
            </w:r>
          </w:p>
        </w:tc>
      </w:tr>
      <w:tr w:rsidR="008D13BD" w:rsidRPr="001E7178" w14:paraId="659871BE"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083" w:type="dxa"/>
            <w:noWrap/>
            <w:hideMark/>
          </w:tcPr>
          <w:p w14:paraId="7BB16FA8" w14:textId="77777777" w:rsidR="008D13BD" w:rsidRPr="001E7178" w:rsidRDefault="008D13BD" w:rsidP="008D13BD">
            <w:pPr>
              <w:spacing w:after="0"/>
              <w:rPr>
                <w:color w:val="000000"/>
              </w:rPr>
            </w:pPr>
            <w:r w:rsidRPr="001E7178">
              <w:rPr>
                <w:color w:val="000000"/>
              </w:rPr>
              <w:t>Access to rail network</w:t>
            </w:r>
          </w:p>
        </w:tc>
        <w:tc>
          <w:tcPr>
            <w:tcW w:w="1427" w:type="dxa"/>
            <w:noWrap/>
            <w:hideMark/>
          </w:tcPr>
          <w:p w14:paraId="61156B8D"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3.6%</w:t>
            </w:r>
          </w:p>
        </w:tc>
        <w:tc>
          <w:tcPr>
            <w:tcW w:w="1072" w:type="dxa"/>
            <w:noWrap/>
            <w:hideMark/>
          </w:tcPr>
          <w:p w14:paraId="0DCBF33E"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1.4%</w:t>
            </w:r>
          </w:p>
        </w:tc>
        <w:tc>
          <w:tcPr>
            <w:tcW w:w="1611" w:type="dxa"/>
            <w:noWrap/>
            <w:hideMark/>
          </w:tcPr>
          <w:p w14:paraId="643F3E07"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1.4%</w:t>
            </w:r>
          </w:p>
        </w:tc>
        <w:tc>
          <w:tcPr>
            <w:tcW w:w="1243" w:type="dxa"/>
            <w:noWrap/>
            <w:hideMark/>
          </w:tcPr>
          <w:p w14:paraId="693B8EB2"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5.0%</w:t>
            </w:r>
          </w:p>
        </w:tc>
        <w:tc>
          <w:tcPr>
            <w:tcW w:w="1134" w:type="dxa"/>
            <w:noWrap/>
            <w:hideMark/>
          </w:tcPr>
          <w:p w14:paraId="2CDE420B"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0.9%</w:t>
            </w:r>
          </w:p>
        </w:tc>
      </w:tr>
      <w:tr w:rsidR="008D13BD" w:rsidRPr="001E7178" w14:paraId="45260EA1"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083" w:type="dxa"/>
            <w:noWrap/>
            <w:hideMark/>
          </w:tcPr>
          <w:p w14:paraId="24506662" w14:textId="77777777" w:rsidR="008D13BD" w:rsidRPr="001E7178" w:rsidRDefault="008D13BD" w:rsidP="008D13BD">
            <w:pPr>
              <w:spacing w:after="0"/>
              <w:rPr>
                <w:color w:val="000000"/>
              </w:rPr>
            </w:pPr>
            <w:r w:rsidRPr="001E7178">
              <w:rPr>
                <w:color w:val="000000"/>
              </w:rPr>
              <w:t>Access to sea transport</w:t>
            </w:r>
          </w:p>
        </w:tc>
        <w:tc>
          <w:tcPr>
            <w:tcW w:w="1427" w:type="dxa"/>
            <w:noWrap/>
            <w:hideMark/>
          </w:tcPr>
          <w:p w14:paraId="3B7487B5"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072" w:type="dxa"/>
            <w:noWrap/>
            <w:hideMark/>
          </w:tcPr>
          <w:p w14:paraId="0086F6E3"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10.8%</w:t>
            </w:r>
          </w:p>
        </w:tc>
        <w:tc>
          <w:tcPr>
            <w:tcW w:w="1611" w:type="dxa"/>
            <w:noWrap/>
            <w:hideMark/>
          </w:tcPr>
          <w:p w14:paraId="54BA048E"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6.5%</w:t>
            </w:r>
          </w:p>
        </w:tc>
        <w:tc>
          <w:tcPr>
            <w:tcW w:w="1243" w:type="dxa"/>
            <w:noWrap/>
            <w:hideMark/>
          </w:tcPr>
          <w:p w14:paraId="7F4DAE39"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7.5%</w:t>
            </w:r>
          </w:p>
        </w:tc>
        <w:tc>
          <w:tcPr>
            <w:tcW w:w="1134" w:type="dxa"/>
            <w:noWrap/>
            <w:hideMark/>
          </w:tcPr>
          <w:p w14:paraId="6221C8ED"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1.3%</w:t>
            </w:r>
          </w:p>
        </w:tc>
      </w:tr>
      <w:tr w:rsidR="008D13BD" w:rsidRPr="001E7178" w14:paraId="2CFE152D"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083" w:type="dxa"/>
            <w:noWrap/>
            <w:hideMark/>
          </w:tcPr>
          <w:p w14:paraId="600C0ADB" w14:textId="77777777" w:rsidR="000C0C3C" w:rsidRPr="001E7178" w:rsidRDefault="008D13BD" w:rsidP="008D13BD">
            <w:pPr>
              <w:spacing w:after="0"/>
              <w:rPr>
                <w:color w:val="000000"/>
              </w:rPr>
            </w:pPr>
            <w:r w:rsidRPr="001E7178">
              <w:rPr>
                <w:color w:val="000000"/>
              </w:rPr>
              <w:t>Good environment / quality of life</w:t>
            </w:r>
          </w:p>
        </w:tc>
        <w:tc>
          <w:tcPr>
            <w:tcW w:w="1427" w:type="dxa"/>
            <w:noWrap/>
            <w:hideMark/>
          </w:tcPr>
          <w:p w14:paraId="490961A1"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072" w:type="dxa"/>
            <w:noWrap/>
            <w:hideMark/>
          </w:tcPr>
          <w:p w14:paraId="07F330D0"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1.4%</w:t>
            </w:r>
          </w:p>
        </w:tc>
        <w:tc>
          <w:tcPr>
            <w:tcW w:w="1611" w:type="dxa"/>
            <w:noWrap/>
            <w:hideMark/>
          </w:tcPr>
          <w:p w14:paraId="17A44E71"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5.1%</w:t>
            </w:r>
          </w:p>
        </w:tc>
        <w:tc>
          <w:tcPr>
            <w:tcW w:w="1243" w:type="dxa"/>
            <w:noWrap/>
            <w:hideMark/>
          </w:tcPr>
          <w:p w14:paraId="15620558"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134" w:type="dxa"/>
            <w:noWrap/>
            <w:hideMark/>
          </w:tcPr>
          <w:p w14:paraId="6C73AE99"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5.4%</w:t>
            </w:r>
          </w:p>
        </w:tc>
      </w:tr>
      <w:tr w:rsidR="008D13BD" w:rsidRPr="001E7178" w14:paraId="60636BE3"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083" w:type="dxa"/>
            <w:noWrap/>
            <w:hideMark/>
          </w:tcPr>
          <w:p w14:paraId="2A7F20E9" w14:textId="77777777" w:rsidR="008D13BD" w:rsidRPr="001E7178" w:rsidRDefault="008D13BD" w:rsidP="008D13BD">
            <w:pPr>
              <w:spacing w:after="0"/>
              <w:rPr>
                <w:color w:val="000000"/>
              </w:rPr>
            </w:pPr>
            <w:r w:rsidRPr="001E7178">
              <w:rPr>
                <w:color w:val="000000"/>
              </w:rPr>
              <w:t>Was already established here / Existing business</w:t>
            </w:r>
          </w:p>
        </w:tc>
        <w:tc>
          <w:tcPr>
            <w:tcW w:w="1427" w:type="dxa"/>
            <w:noWrap/>
            <w:hideMark/>
          </w:tcPr>
          <w:p w14:paraId="6A1E6202"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17.9%</w:t>
            </w:r>
          </w:p>
        </w:tc>
        <w:tc>
          <w:tcPr>
            <w:tcW w:w="1072" w:type="dxa"/>
            <w:noWrap/>
            <w:hideMark/>
          </w:tcPr>
          <w:p w14:paraId="2AA2DEFD"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22.3%</w:t>
            </w:r>
          </w:p>
        </w:tc>
        <w:tc>
          <w:tcPr>
            <w:tcW w:w="1611" w:type="dxa"/>
            <w:noWrap/>
            <w:hideMark/>
          </w:tcPr>
          <w:p w14:paraId="455157D7"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15.9%</w:t>
            </w:r>
          </w:p>
        </w:tc>
        <w:tc>
          <w:tcPr>
            <w:tcW w:w="1243" w:type="dxa"/>
            <w:noWrap/>
            <w:hideMark/>
          </w:tcPr>
          <w:p w14:paraId="5CA3BB54"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17.5%</w:t>
            </w:r>
          </w:p>
        </w:tc>
        <w:tc>
          <w:tcPr>
            <w:tcW w:w="1134" w:type="dxa"/>
            <w:noWrap/>
            <w:hideMark/>
          </w:tcPr>
          <w:p w14:paraId="105678C2"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33.9%</w:t>
            </w:r>
          </w:p>
        </w:tc>
      </w:tr>
      <w:tr w:rsidR="008D13BD" w:rsidRPr="001E7178" w14:paraId="0378D233"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083" w:type="dxa"/>
            <w:noWrap/>
            <w:hideMark/>
          </w:tcPr>
          <w:p w14:paraId="612ED342" w14:textId="77777777" w:rsidR="008D13BD" w:rsidRPr="001E7178" w:rsidRDefault="008D13BD" w:rsidP="008D13BD">
            <w:pPr>
              <w:spacing w:after="0"/>
              <w:rPr>
                <w:color w:val="000000"/>
              </w:rPr>
            </w:pPr>
            <w:r w:rsidRPr="001E7178">
              <w:rPr>
                <w:color w:val="000000"/>
              </w:rPr>
              <w:t>Proximity to home / Work from home</w:t>
            </w:r>
          </w:p>
        </w:tc>
        <w:tc>
          <w:tcPr>
            <w:tcW w:w="1427" w:type="dxa"/>
            <w:noWrap/>
            <w:hideMark/>
          </w:tcPr>
          <w:p w14:paraId="5C6B651D"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35.7%</w:t>
            </w:r>
          </w:p>
        </w:tc>
        <w:tc>
          <w:tcPr>
            <w:tcW w:w="1072" w:type="dxa"/>
            <w:noWrap/>
            <w:hideMark/>
          </w:tcPr>
          <w:p w14:paraId="1F12F715"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6.5%</w:t>
            </w:r>
          </w:p>
        </w:tc>
        <w:tc>
          <w:tcPr>
            <w:tcW w:w="1611" w:type="dxa"/>
            <w:noWrap/>
            <w:hideMark/>
          </w:tcPr>
          <w:p w14:paraId="359DA989"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9.4%</w:t>
            </w:r>
          </w:p>
        </w:tc>
        <w:tc>
          <w:tcPr>
            <w:tcW w:w="1243" w:type="dxa"/>
            <w:noWrap/>
            <w:hideMark/>
          </w:tcPr>
          <w:p w14:paraId="7C7DBC7D"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5.0%</w:t>
            </w:r>
          </w:p>
        </w:tc>
        <w:tc>
          <w:tcPr>
            <w:tcW w:w="1134" w:type="dxa"/>
            <w:noWrap/>
            <w:hideMark/>
          </w:tcPr>
          <w:p w14:paraId="7EB511CD"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7.1%</w:t>
            </w:r>
          </w:p>
        </w:tc>
      </w:tr>
      <w:tr w:rsidR="008D13BD" w:rsidRPr="001E7178" w14:paraId="3C6487BF"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083" w:type="dxa"/>
            <w:noWrap/>
            <w:hideMark/>
          </w:tcPr>
          <w:p w14:paraId="4D249138" w14:textId="77777777" w:rsidR="008D13BD" w:rsidRPr="001E7178" w:rsidRDefault="008D13BD" w:rsidP="008D13BD">
            <w:pPr>
              <w:spacing w:after="0"/>
              <w:rPr>
                <w:color w:val="000000"/>
              </w:rPr>
            </w:pPr>
            <w:r w:rsidRPr="001E7178">
              <w:rPr>
                <w:color w:val="000000"/>
              </w:rPr>
              <w:t>Decision made at head office / elsewhere</w:t>
            </w:r>
          </w:p>
        </w:tc>
        <w:tc>
          <w:tcPr>
            <w:tcW w:w="1427" w:type="dxa"/>
            <w:noWrap/>
            <w:hideMark/>
          </w:tcPr>
          <w:p w14:paraId="0EE3EF02"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072" w:type="dxa"/>
            <w:noWrap/>
            <w:hideMark/>
          </w:tcPr>
          <w:p w14:paraId="5954D526"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611" w:type="dxa"/>
            <w:noWrap/>
            <w:hideMark/>
          </w:tcPr>
          <w:p w14:paraId="26820034"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243" w:type="dxa"/>
            <w:noWrap/>
            <w:hideMark/>
          </w:tcPr>
          <w:p w14:paraId="644E85DB"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134" w:type="dxa"/>
            <w:noWrap/>
            <w:hideMark/>
          </w:tcPr>
          <w:p w14:paraId="337220E4"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0.9%</w:t>
            </w:r>
          </w:p>
        </w:tc>
      </w:tr>
      <w:tr w:rsidR="008D13BD" w:rsidRPr="001E7178" w14:paraId="71CCDFAF"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3083" w:type="dxa"/>
            <w:noWrap/>
            <w:hideMark/>
          </w:tcPr>
          <w:p w14:paraId="77B877B6" w14:textId="77777777" w:rsidR="008D13BD" w:rsidRPr="001E7178" w:rsidRDefault="008D13BD" w:rsidP="008D13BD">
            <w:pPr>
              <w:spacing w:after="0"/>
              <w:rPr>
                <w:color w:val="000000"/>
              </w:rPr>
            </w:pPr>
            <w:r w:rsidRPr="001E7178">
              <w:rPr>
                <w:color w:val="000000"/>
              </w:rPr>
              <w:t>Gap in the market</w:t>
            </w:r>
          </w:p>
        </w:tc>
        <w:tc>
          <w:tcPr>
            <w:tcW w:w="1427" w:type="dxa"/>
            <w:noWrap/>
            <w:hideMark/>
          </w:tcPr>
          <w:p w14:paraId="7AD56C56"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072" w:type="dxa"/>
            <w:noWrap/>
            <w:hideMark/>
          </w:tcPr>
          <w:p w14:paraId="68AA1CBF"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0.7%</w:t>
            </w:r>
          </w:p>
        </w:tc>
        <w:tc>
          <w:tcPr>
            <w:tcW w:w="1611" w:type="dxa"/>
            <w:noWrap/>
            <w:hideMark/>
          </w:tcPr>
          <w:p w14:paraId="611DAED1"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243" w:type="dxa"/>
            <w:noWrap/>
            <w:hideMark/>
          </w:tcPr>
          <w:p w14:paraId="4AC86330"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134" w:type="dxa"/>
            <w:noWrap/>
            <w:hideMark/>
          </w:tcPr>
          <w:p w14:paraId="04920B6C"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r>
    </w:tbl>
    <w:p w14:paraId="5BAE3848" w14:textId="77777777" w:rsidR="008D13BD" w:rsidRPr="002805F3" w:rsidRDefault="008D13BD" w:rsidP="008D13BD">
      <w:pPr>
        <w:pStyle w:val="TableSource"/>
      </w:pPr>
      <w:r w:rsidRPr="002805F3">
        <w:t>Source: Hill Taylor and Atkins 2013. Atkins Ref: Survey –A24</w:t>
      </w:r>
    </w:p>
    <w:p w14:paraId="45B1F7CD" w14:textId="77777777" w:rsidR="008D13BD" w:rsidRPr="002805F3" w:rsidRDefault="008D13BD" w:rsidP="008D13BD">
      <w:pPr>
        <w:pStyle w:val="BodyText"/>
        <w:jc w:val="both"/>
        <w:rPr>
          <w:szCs w:val="22"/>
        </w:rPr>
      </w:pPr>
      <w:r w:rsidRPr="002805F3">
        <w:rPr>
          <w:szCs w:val="22"/>
        </w:rPr>
        <w:t>The majority of firms surveyed across all</w:t>
      </w:r>
      <w:r>
        <w:rPr>
          <w:szCs w:val="22"/>
        </w:rPr>
        <w:t xml:space="preserve"> key</w:t>
      </w:r>
      <w:r w:rsidRPr="002805F3">
        <w:rPr>
          <w:szCs w:val="22"/>
        </w:rPr>
        <w:t xml:space="preserve"> sectors identified their current </w:t>
      </w:r>
      <w:r>
        <w:rPr>
          <w:szCs w:val="22"/>
        </w:rPr>
        <w:t>site</w:t>
      </w:r>
      <w:r w:rsidRPr="002805F3">
        <w:rPr>
          <w:szCs w:val="22"/>
        </w:rPr>
        <w:t xml:space="preserve"> as </w:t>
      </w:r>
      <w:r>
        <w:rPr>
          <w:szCs w:val="22"/>
        </w:rPr>
        <w:t xml:space="preserve">a </w:t>
      </w:r>
      <w:r w:rsidRPr="002805F3">
        <w:rPr>
          <w:szCs w:val="22"/>
        </w:rPr>
        <w:t xml:space="preserve">good and competitive </w:t>
      </w:r>
      <w:r>
        <w:rPr>
          <w:szCs w:val="22"/>
        </w:rPr>
        <w:t>location. This was especially prevalent amongst renewables and energy businesses</w:t>
      </w:r>
      <w:r w:rsidRPr="002805F3">
        <w:rPr>
          <w:szCs w:val="22"/>
        </w:rPr>
        <w:t xml:space="preserve"> </w:t>
      </w:r>
      <w:r>
        <w:rPr>
          <w:szCs w:val="22"/>
        </w:rPr>
        <w:t>(</w:t>
      </w:r>
      <w:r w:rsidRPr="002805F3">
        <w:rPr>
          <w:szCs w:val="22"/>
        </w:rPr>
        <w:t>95%</w:t>
      </w:r>
      <w:r>
        <w:rPr>
          <w:szCs w:val="22"/>
        </w:rPr>
        <w:t xml:space="preserve">).  </w:t>
      </w:r>
      <w:r w:rsidRPr="002805F3">
        <w:rPr>
          <w:szCs w:val="22"/>
        </w:rPr>
        <w:t xml:space="preserve"> </w:t>
      </w:r>
      <w:r>
        <w:rPr>
          <w:szCs w:val="22"/>
        </w:rPr>
        <w:t>As Figure 3.5 demonstrates, businesses in all key sectors judge North East Lincolnshire to be a place where they are confident they can prosper.</w:t>
      </w:r>
    </w:p>
    <w:p w14:paraId="577C3E8D" w14:textId="77777777" w:rsidR="008D13BD" w:rsidRPr="002805F3" w:rsidRDefault="008D13BD" w:rsidP="008D13BD">
      <w:pPr>
        <w:pStyle w:val="Caption"/>
      </w:pPr>
      <w:r>
        <w:rPr>
          <w:noProof/>
          <w:lang w:eastAsia="en-GB"/>
        </w:rPr>
        <w:t xml:space="preserve">Figure </w:t>
      </w:r>
      <w:fldSimple w:instr=" STYLEREF 1 \s  \* MERGEFORMAT ">
        <w:r w:rsidR="00E95E1A">
          <w:rPr>
            <w:noProof/>
            <w:lang w:eastAsia="en-GB"/>
          </w:rPr>
          <w:t>3</w:t>
        </w:r>
      </w:fldSimple>
      <w:r>
        <w:rPr>
          <w:noProof/>
          <w:lang w:eastAsia="en-GB"/>
        </w:rPr>
        <w:t>-</w:t>
      </w:r>
      <w:fldSimple w:instr=" SEQ Figure \* ARABIC \s 1  \* MERGEFORMAT ">
        <w:r w:rsidR="00E95E1A">
          <w:rPr>
            <w:noProof/>
            <w:lang w:eastAsia="en-GB"/>
          </w:rPr>
          <w:t>7</w:t>
        </w:r>
      </w:fldSimple>
      <w:r>
        <w:rPr>
          <w:noProof/>
          <w:lang w:eastAsia="en-GB"/>
        </w:rPr>
        <w:tab/>
        <w:t>Good, Competitive Location?</w:t>
      </w:r>
      <w:r w:rsidR="008D7250">
        <w:rPr>
          <w:noProof/>
          <w:lang w:eastAsia="en-GB"/>
        </w:rPr>
        <w:drawing>
          <wp:inline distT="0" distB="0" distL="0" distR="0" wp14:anchorId="6FD6A229" wp14:editId="1817F3B6">
            <wp:extent cx="5519351" cy="2323070"/>
            <wp:effectExtent l="0" t="0" r="0" b="0"/>
            <wp:docPr id="2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4788136" w14:textId="77777777" w:rsidR="008D13BD" w:rsidRPr="002805F3" w:rsidRDefault="008D13BD" w:rsidP="008D13BD">
      <w:pPr>
        <w:pStyle w:val="BodyText"/>
        <w:jc w:val="both"/>
        <w:rPr>
          <w:sz w:val="16"/>
          <w:szCs w:val="16"/>
        </w:rPr>
      </w:pPr>
      <w:r w:rsidRPr="002805F3">
        <w:rPr>
          <w:sz w:val="16"/>
          <w:szCs w:val="16"/>
        </w:rPr>
        <w:t>Source: Hill Taylor and Atkins 2013. Atkins Ref: Survey –A25</w:t>
      </w:r>
    </w:p>
    <w:p w14:paraId="2E01D43A" w14:textId="77777777" w:rsidR="008D13BD" w:rsidRPr="002805F3" w:rsidRDefault="008D13BD" w:rsidP="008D13BD">
      <w:pPr>
        <w:pStyle w:val="BodyText"/>
        <w:jc w:val="both"/>
        <w:rPr>
          <w:szCs w:val="22"/>
        </w:rPr>
      </w:pPr>
      <w:r>
        <w:rPr>
          <w:szCs w:val="22"/>
        </w:rPr>
        <w:t>Although there are a variety of reasons identified for why NE Lincolnshire is a competitive location, proximity to market and access to the road network accounted for the majority of responses.  This reflects the importance of the Borough geographical position both in terms of access to international markets via the ports and to other parts of the UK via the national road network.</w:t>
      </w:r>
    </w:p>
    <w:p w14:paraId="17378638" w14:textId="77777777" w:rsidR="00863243" w:rsidRDefault="00863243">
      <w:pPr>
        <w:spacing w:after="200" w:line="276" w:lineRule="auto"/>
        <w:rPr>
          <w:b/>
          <w:bCs/>
          <w:szCs w:val="18"/>
        </w:rPr>
      </w:pPr>
      <w:r>
        <w:br w:type="page"/>
      </w:r>
    </w:p>
    <w:p w14:paraId="4824E151" w14:textId="77777777" w:rsidR="008D13BD" w:rsidRDefault="008D13BD" w:rsidP="008D13BD">
      <w:pPr>
        <w:pStyle w:val="Caption"/>
      </w:pPr>
      <w:r>
        <w:t xml:space="preserve">Table </w:t>
      </w:r>
      <w:fldSimple w:instr=" STYLEREF 1 \s  \* MERGEFORMAT ">
        <w:r w:rsidR="00E95E1A">
          <w:rPr>
            <w:noProof/>
          </w:rPr>
          <w:t>3</w:t>
        </w:r>
      </w:fldSimple>
      <w:r>
        <w:t>-</w:t>
      </w:r>
      <w:fldSimple w:instr=" SEQ Table \* ARABIC \s 1  \* MERGEFORMAT ">
        <w:r w:rsidR="00E95E1A">
          <w:rPr>
            <w:noProof/>
          </w:rPr>
          <w:t>13</w:t>
        </w:r>
      </w:fldSimple>
      <w:r>
        <w:tab/>
        <w:t>Reasons why NEL is a competitive location</w:t>
      </w:r>
    </w:p>
    <w:tbl>
      <w:tblPr>
        <w:tblStyle w:val="Atkins14pt"/>
        <w:tblW w:w="5371" w:type="dxa"/>
        <w:tblLook w:val="04A0" w:firstRow="1" w:lastRow="0" w:firstColumn="1" w:lastColumn="0" w:noHBand="0" w:noVBand="1"/>
      </w:tblPr>
      <w:tblGrid>
        <w:gridCol w:w="4395"/>
        <w:gridCol w:w="976"/>
      </w:tblGrid>
      <w:tr w:rsidR="008D13BD" w:rsidRPr="003465CB" w14:paraId="17EE231F" w14:textId="77777777" w:rsidTr="008D13B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395" w:type="dxa"/>
            <w:shd w:val="clear" w:color="auto" w:fill="BED600" w:themeFill="accent1"/>
            <w:noWrap/>
            <w:hideMark/>
          </w:tcPr>
          <w:p w14:paraId="49E4CB7F" w14:textId="77777777" w:rsidR="008D13BD" w:rsidRPr="001E7178" w:rsidRDefault="008D13BD" w:rsidP="008D13BD">
            <w:pPr>
              <w:spacing w:after="0"/>
              <w:rPr>
                <w:color w:val="000000"/>
              </w:rPr>
            </w:pPr>
            <w:r w:rsidRPr="001E7178">
              <w:rPr>
                <w:color w:val="000000"/>
              </w:rPr>
              <w:t>Reason</w:t>
            </w:r>
          </w:p>
        </w:tc>
        <w:tc>
          <w:tcPr>
            <w:tcW w:w="976" w:type="dxa"/>
            <w:shd w:val="clear" w:color="auto" w:fill="BED600" w:themeFill="accent1"/>
            <w:noWrap/>
            <w:hideMark/>
          </w:tcPr>
          <w:p w14:paraId="695FB6A1" w14:textId="77777777" w:rsidR="008D13BD" w:rsidRPr="003465CB" w:rsidRDefault="008D13BD" w:rsidP="008D13BD">
            <w:pPr>
              <w:spacing w:after="0"/>
              <w:jc w:val="right"/>
              <w:cnfStyle w:val="100000000000" w:firstRow="1" w:lastRow="0" w:firstColumn="0" w:lastColumn="0" w:oddVBand="0" w:evenVBand="0" w:oddHBand="0" w:evenHBand="0" w:firstRowFirstColumn="0" w:firstRowLastColumn="0" w:lastRowFirstColumn="0" w:lastRowLastColumn="0"/>
              <w:rPr>
                <w:color w:val="000000"/>
              </w:rPr>
            </w:pPr>
            <w:r w:rsidRPr="003465CB">
              <w:rPr>
                <w:color w:val="000000"/>
              </w:rPr>
              <w:t>%</w:t>
            </w:r>
          </w:p>
        </w:tc>
      </w:tr>
      <w:tr w:rsidR="008D13BD" w:rsidRPr="001E7178" w14:paraId="28FE7271"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25C60D91" w14:textId="77777777" w:rsidR="008D13BD" w:rsidRPr="001E7178" w:rsidRDefault="008D13BD" w:rsidP="008D13BD">
            <w:pPr>
              <w:spacing w:after="0"/>
              <w:rPr>
                <w:color w:val="000000"/>
              </w:rPr>
            </w:pPr>
            <w:r w:rsidRPr="001E7178">
              <w:rPr>
                <w:color w:val="000000"/>
              </w:rPr>
              <w:t>Proximity to key clients / markets</w:t>
            </w:r>
          </w:p>
        </w:tc>
        <w:tc>
          <w:tcPr>
            <w:tcW w:w="976" w:type="dxa"/>
            <w:noWrap/>
            <w:hideMark/>
          </w:tcPr>
          <w:p w14:paraId="3A033B15"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22.2%</w:t>
            </w:r>
          </w:p>
        </w:tc>
      </w:tr>
      <w:tr w:rsidR="008D13BD" w:rsidRPr="001E7178" w14:paraId="4527BEB1"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44791C69" w14:textId="77777777" w:rsidR="008D13BD" w:rsidRPr="001E7178" w:rsidRDefault="008D13BD" w:rsidP="008D13BD">
            <w:pPr>
              <w:spacing w:after="0"/>
              <w:rPr>
                <w:color w:val="000000"/>
              </w:rPr>
            </w:pPr>
            <w:r w:rsidRPr="001E7178">
              <w:rPr>
                <w:color w:val="000000"/>
              </w:rPr>
              <w:t>Access to road network</w:t>
            </w:r>
          </w:p>
        </w:tc>
        <w:tc>
          <w:tcPr>
            <w:tcW w:w="976" w:type="dxa"/>
            <w:noWrap/>
            <w:hideMark/>
          </w:tcPr>
          <w:p w14:paraId="7543CD4B"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16.8%</w:t>
            </w:r>
          </w:p>
        </w:tc>
      </w:tr>
      <w:tr w:rsidR="008D13BD" w:rsidRPr="001E7178" w14:paraId="5457840A"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20CB5D4D" w14:textId="77777777" w:rsidR="008D13BD" w:rsidRPr="001E7178" w:rsidRDefault="008D13BD" w:rsidP="008D13BD">
            <w:pPr>
              <w:spacing w:after="0"/>
              <w:rPr>
                <w:color w:val="000000"/>
              </w:rPr>
            </w:pPr>
            <w:r w:rsidRPr="001E7178">
              <w:rPr>
                <w:color w:val="000000"/>
              </w:rPr>
              <w:t>Close to waterfront and / or port facilities</w:t>
            </w:r>
          </w:p>
        </w:tc>
        <w:tc>
          <w:tcPr>
            <w:tcW w:w="976" w:type="dxa"/>
            <w:noWrap/>
            <w:hideMark/>
          </w:tcPr>
          <w:p w14:paraId="34C71403"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14.8%</w:t>
            </w:r>
          </w:p>
        </w:tc>
      </w:tr>
      <w:tr w:rsidR="008D13BD" w:rsidRPr="001E7178" w14:paraId="4A011D5F"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3C716261" w14:textId="77777777" w:rsidR="008D13BD" w:rsidRPr="001E7178" w:rsidRDefault="008D13BD" w:rsidP="008D13BD">
            <w:pPr>
              <w:spacing w:after="0"/>
              <w:rPr>
                <w:color w:val="000000"/>
              </w:rPr>
            </w:pPr>
            <w:r w:rsidRPr="001E7178">
              <w:rPr>
                <w:color w:val="000000"/>
              </w:rPr>
              <w:t>Good environment / quality of life</w:t>
            </w:r>
          </w:p>
        </w:tc>
        <w:tc>
          <w:tcPr>
            <w:tcW w:w="976" w:type="dxa"/>
            <w:noWrap/>
            <w:hideMark/>
          </w:tcPr>
          <w:p w14:paraId="64D7E88C"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10.0%</w:t>
            </w:r>
          </w:p>
        </w:tc>
      </w:tr>
      <w:tr w:rsidR="008D13BD" w:rsidRPr="001E7178" w14:paraId="4FD674EC"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27D0AF89" w14:textId="77777777" w:rsidR="008D13BD" w:rsidRPr="001E7178" w:rsidRDefault="008D13BD" w:rsidP="008D13BD">
            <w:pPr>
              <w:spacing w:after="0"/>
              <w:rPr>
                <w:color w:val="000000"/>
              </w:rPr>
            </w:pPr>
            <w:r w:rsidRPr="001E7178">
              <w:rPr>
                <w:color w:val="000000"/>
              </w:rPr>
              <w:t>Proximity to key suppliers</w:t>
            </w:r>
          </w:p>
        </w:tc>
        <w:tc>
          <w:tcPr>
            <w:tcW w:w="976" w:type="dxa"/>
            <w:noWrap/>
            <w:hideMark/>
          </w:tcPr>
          <w:p w14:paraId="0BEAF570"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8.2%</w:t>
            </w:r>
          </w:p>
        </w:tc>
      </w:tr>
      <w:tr w:rsidR="008D13BD" w:rsidRPr="001E7178" w14:paraId="2DFA0731"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71505427" w14:textId="77777777" w:rsidR="008D13BD" w:rsidRPr="001E7178" w:rsidRDefault="008D13BD" w:rsidP="008D13BD">
            <w:pPr>
              <w:spacing w:after="0"/>
              <w:rPr>
                <w:color w:val="000000"/>
              </w:rPr>
            </w:pPr>
            <w:r w:rsidRPr="001E7178">
              <w:rPr>
                <w:color w:val="000000"/>
              </w:rPr>
              <w:t>Affordable premises</w:t>
            </w:r>
          </w:p>
        </w:tc>
        <w:tc>
          <w:tcPr>
            <w:tcW w:w="976" w:type="dxa"/>
            <w:noWrap/>
            <w:hideMark/>
          </w:tcPr>
          <w:p w14:paraId="31B954E1"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6.4%</w:t>
            </w:r>
          </w:p>
        </w:tc>
      </w:tr>
      <w:tr w:rsidR="008D13BD" w:rsidRPr="001E7178" w14:paraId="5CAB20A2"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6BF2B944" w14:textId="77777777" w:rsidR="008D13BD" w:rsidRPr="001E7178" w:rsidRDefault="008D13BD" w:rsidP="008D13BD">
            <w:pPr>
              <w:spacing w:after="0"/>
              <w:rPr>
                <w:color w:val="000000"/>
              </w:rPr>
            </w:pPr>
            <w:r w:rsidRPr="001E7178">
              <w:rPr>
                <w:color w:val="000000"/>
              </w:rPr>
              <w:t>Access to sea transport</w:t>
            </w:r>
          </w:p>
        </w:tc>
        <w:tc>
          <w:tcPr>
            <w:tcW w:w="976" w:type="dxa"/>
            <w:noWrap/>
            <w:hideMark/>
          </w:tcPr>
          <w:p w14:paraId="59BA5712"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6.1%</w:t>
            </w:r>
          </w:p>
        </w:tc>
      </w:tr>
      <w:tr w:rsidR="008D13BD" w:rsidRPr="001E7178" w14:paraId="3467963F"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2C0FD18D" w14:textId="77777777" w:rsidR="008D13BD" w:rsidRPr="001E7178" w:rsidRDefault="008D13BD" w:rsidP="008D13BD">
            <w:pPr>
              <w:spacing w:after="0"/>
              <w:rPr>
                <w:color w:val="000000"/>
              </w:rPr>
            </w:pPr>
            <w:r w:rsidRPr="001E7178">
              <w:rPr>
                <w:color w:val="000000"/>
              </w:rPr>
              <w:t>Appropriate type of premises</w:t>
            </w:r>
          </w:p>
        </w:tc>
        <w:tc>
          <w:tcPr>
            <w:tcW w:w="976" w:type="dxa"/>
            <w:noWrap/>
            <w:hideMark/>
          </w:tcPr>
          <w:p w14:paraId="75E6DADF"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5.8%</w:t>
            </w:r>
          </w:p>
        </w:tc>
      </w:tr>
      <w:tr w:rsidR="008D13BD" w:rsidRPr="001E7178" w14:paraId="212EF69A"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04FBC4D5" w14:textId="77777777" w:rsidR="008D13BD" w:rsidRPr="001E7178" w:rsidRDefault="008D13BD" w:rsidP="008D13BD">
            <w:pPr>
              <w:spacing w:after="0"/>
              <w:rPr>
                <w:color w:val="000000"/>
              </w:rPr>
            </w:pPr>
            <w:r w:rsidRPr="001E7178">
              <w:rPr>
                <w:color w:val="000000"/>
              </w:rPr>
              <w:t>Proximity to other related businesses</w:t>
            </w:r>
          </w:p>
        </w:tc>
        <w:tc>
          <w:tcPr>
            <w:tcW w:w="976" w:type="dxa"/>
            <w:noWrap/>
            <w:hideMark/>
          </w:tcPr>
          <w:p w14:paraId="49BADFF8"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3.4%</w:t>
            </w:r>
          </w:p>
        </w:tc>
      </w:tr>
      <w:tr w:rsidR="008D13BD" w:rsidRPr="001E7178" w14:paraId="5583CA10"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21B72CB1" w14:textId="77777777" w:rsidR="008D13BD" w:rsidRPr="001E7178" w:rsidRDefault="008D13BD" w:rsidP="008D13BD">
            <w:pPr>
              <w:spacing w:after="0"/>
              <w:rPr>
                <w:color w:val="000000"/>
              </w:rPr>
            </w:pPr>
            <w:r w:rsidRPr="001E7178">
              <w:rPr>
                <w:color w:val="000000"/>
              </w:rPr>
              <w:t>Access to rail network</w:t>
            </w:r>
          </w:p>
        </w:tc>
        <w:tc>
          <w:tcPr>
            <w:tcW w:w="976" w:type="dxa"/>
            <w:noWrap/>
            <w:hideMark/>
          </w:tcPr>
          <w:p w14:paraId="0B3A455D"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2.5%</w:t>
            </w:r>
          </w:p>
        </w:tc>
      </w:tr>
      <w:tr w:rsidR="008D13BD" w:rsidRPr="001E7178" w14:paraId="5D8C43EA"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3BEBBA61" w14:textId="77777777" w:rsidR="008D13BD" w:rsidRPr="001E7178" w:rsidRDefault="008D13BD" w:rsidP="008D13BD">
            <w:pPr>
              <w:spacing w:after="0"/>
              <w:rPr>
                <w:color w:val="000000"/>
              </w:rPr>
            </w:pPr>
            <w:r w:rsidRPr="001E7178">
              <w:rPr>
                <w:color w:val="000000"/>
              </w:rPr>
              <w:t>Nothing specific / Don't know</w:t>
            </w:r>
          </w:p>
        </w:tc>
        <w:tc>
          <w:tcPr>
            <w:tcW w:w="976" w:type="dxa"/>
            <w:noWrap/>
            <w:hideMark/>
          </w:tcPr>
          <w:p w14:paraId="5D59EAA9"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1.8%</w:t>
            </w:r>
          </w:p>
        </w:tc>
      </w:tr>
      <w:tr w:rsidR="008D13BD" w:rsidRPr="001E7178" w14:paraId="7B8B7FBB"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69163EC6" w14:textId="77777777" w:rsidR="008D13BD" w:rsidRPr="001E7178" w:rsidRDefault="008D13BD" w:rsidP="008D13BD">
            <w:pPr>
              <w:spacing w:after="0"/>
              <w:rPr>
                <w:color w:val="000000"/>
              </w:rPr>
            </w:pPr>
            <w:r w:rsidRPr="001E7178">
              <w:rPr>
                <w:color w:val="000000"/>
              </w:rPr>
              <w:t>Lack of competition / Niche market</w:t>
            </w:r>
          </w:p>
        </w:tc>
        <w:tc>
          <w:tcPr>
            <w:tcW w:w="976" w:type="dxa"/>
            <w:noWrap/>
            <w:hideMark/>
          </w:tcPr>
          <w:p w14:paraId="157318CF"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0.7%</w:t>
            </w:r>
          </w:p>
        </w:tc>
      </w:tr>
    </w:tbl>
    <w:p w14:paraId="31B03487" w14:textId="77777777" w:rsidR="008D13BD" w:rsidRPr="002805F3" w:rsidRDefault="008D13BD" w:rsidP="008D13BD">
      <w:pPr>
        <w:pStyle w:val="TableSource"/>
      </w:pPr>
      <w:r w:rsidRPr="002805F3">
        <w:t>Source: Hill Taylor and Atkins 2013. Atkins Ref: Survey –A25</w:t>
      </w:r>
      <w:r>
        <w:t>. Note: Figures do not add up to 100% because of small results being excluded</w:t>
      </w:r>
    </w:p>
    <w:p w14:paraId="4FDBE1CE" w14:textId="77777777" w:rsidR="008D13BD" w:rsidRPr="002805F3" w:rsidRDefault="008D13BD" w:rsidP="008D13BD">
      <w:pPr>
        <w:pStyle w:val="BodyText"/>
        <w:jc w:val="both"/>
        <w:rPr>
          <w:szCs w:val="22"/>
        </w:rPr>
      </w:pPr>
      <w:r>
        <w:rPr>
          <w:szCs w:val="22"/>
        </w:rPr>
        <w:t xml:space="preserve">Table 3.14 highlights the main reasons highlighted by a relatively few number of businesses whey the area is not considered a competitive location.  Key factors reflect issues of local accessibility and poor site and/or premises conditions.   </w:t>
      </w:r>
    </w:p>
    <w:p w14:paraId="41726F9B" w14:textId="77777777" w:rsidR="008D13BD" w:rsidRDefault="008D13BD" w:rsidP="008D13BD">
      <w:pPr>
        <w:pStyle w:val="Caption"/>
      </w:pPr>
      <w:r>
        <w:t xml:space="preserve">Table </w:t>
      </w:r>
      <w:fldSimple w:instr=" STYLEREF 1 \s  \* MERGEFORMAT ">
        <w:r w:rsidR="00E95E1A">
          <w:rPr>
            <w:noProof/>
          </w:rPr>
          <w:t>3</w:t>
        </w:r>
      </w:fldSimple>
      <w:r>
        <w:t>-</w:t>
      </w:r>
      <w:fldSimple w:instr=" SEQ Table \* ARABIC \s 1  \* MERGEFORMAT ">
        <w:r w:rsidR="00E95E1A">
          <w:rPr>
            <w:noProof/>
          </w:rPr>
          <w:t>14</w:t>
        </w:r>
      </w:fldSimple>
      <w:r>
        <w:tab/>
        <w:t>Reasons why NEL is not a competitive location</w:t>
      </w:r>
    </w:p>
    <w:tbl>
      <w:tblPr>
        <w:tblStyle w:val="Atkins14pt"/>
        <w:tblW w:w="5898" w:type="dxa"/>
        <w:tblLook w:val="04A0" w:firstRow="1" w:lastRow="0" w:firstColumn="1" w:lastColumn="0" w:noHBand="0" w:noVBand="1"/>
      </w:tblPr>
      <w:tblGrid>
        <w:gridCol w:w="4922"/>
        <w:gridCol w:w="976"/>
      </w:tblGrid>
      <w:tr w:rsidR="008D13BD" w:rsidRPr="001E7178" w14:paraId="17CA4F8F" w14:textId="77777777" w:rsidTr="008D13B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922" w:type="dxa"/>
            <w:shd w:val="clear" w:color="auto" w:fill="BED600" w:themeFill="accent1"/>
            <w:noWrap/>
            <w:hideMark/>
          </w:tcPr>
          <w:p w14:paraId="5E3069FE" w14:textId="77777777" w:rsidR="008D13BD" w:rsidRPr="001E7178" w:rsidRDefault="008D13BD" w:rsidP="008D13BD">
            <w:pPr>
              <w:spacing w:after="0"/>
              <w:rPr>
                <w:color w:val="000000"/>
              </w:rPr>
            </w:pPr>
            <w:r w:rsidRPr="001E7178">
              <w:rPr>
                <w:color w:val="000000"/>
              </w:rPr>
              <w:t>Reason</w:t>
            </w:r>
          </w:p>
        </w:tc>
        <w:tc>
          <w:tcPr>
            <w:tcW w:w="976" w:type="dxa"/>
            <w:shd w:val="clear" w:color="auto" w:fill="BED600" w:themeFill="accent1"/>
            <w:noWrap/>
            <w:hideMark/>
          </w:tcPr>
          <w:p w14:paraId="025F2991" w14:textId="77777777" w:rsidR="008D13BD" w:rsidRPr="001E7178" w:rsidRDefault="008D13BD" w:rsidP="008D13BD">
            <w:pPr>
              <w:spacing w:after="0"/>
              <w:jc w:val="right"/>
              <w:cnfStyle w:val="100000000000" w:firstRow="1" w:lastRow="0" w:firstColumn="0" w:lastColumn="0" w:oddVBand="0" w:evenVBand="0" w:oddHBand="0" w:evenHBand="0" w:firstRowFirstColumn="0" w:firstRowLastColumn="0" w:lastRowFirstColumn="0" w:lastRowLastColumn="0"/>
              <w:rPr>
                <w:color w:val="000000"/>
              </w:rPr>
            </w:pPr>
            <w:r w:rsidRPr="001E7178">
              <w:rPr>
                <w:color w:val="000000"/>
              </w:rPr>
              <w:t>%</w:t>
            </w:r>
          </w:p>
        </w:tc>
      </w:tr>
      <w:tr w:rsidR="008D13BD" w:rsidRPr="001E7178" w14:paraId="205FC1EE"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475AD70D" w14:textId="77777777" w:rsidR="008D13BD" w:rsidRPr="001E7178" w:rsidRDefault="008D13BD" w:rsidP="008D13BD">
            <w:pPr>
              <w:spacing w:after="0"/>
              <w:rPr>
                <w:color w:val="000000"/>
              </w:rPr>
            </w:pPr>
            <w:r w:rsidRPr="001E7178">
              <w:rPr>
                <w:color w:val="000000"/>
              </w:rPr>
              <w:t>Poor</w:t>
            </w:r>
            <w:r>
              <w:rPr>
                <w:color w:val="000000"/>
              </w:rPr>
              <w:t xml:space="preserve"> (local)</w:t>
            </w:r>
            <w:r w:rsidRPr="001E7178">
              <w:rPr>
                <w:color w:val="000000"/>
              </w:rPr>
              <w:t xml:space="preserve"> accessibility</w:t>
            </w:r>
          </w:p>
        </w:tc>
        <w:tc>
          <w:tcPr>
            <w:tcW w:w="976" w:type="dxa"/>
            <w:noWrap/>
            <w:hideMark/>
          </w:tcPr>
          <w:p w14:paraId="02F8DDC0"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24.1%</w:t>
            </w:r>
          </w:p>
        </w:tc>
      </w:tr>
      <w:tr w:rsidR="008D13BD" w:rsidRPr="001E7178" w14:paraId="0BD88E39"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149F7D44" w14:textId="77777777" w:rsidR="008D13BD" w:rsidRPr="001E7178" w:rsidRDefault="008D13BD" w:rsidP="008D13BD">
            <w:pPr>
              <w:spacing w:after="0"/>
              <w:rPr>
                <w:color w:val="000000"/>
              </w:rPr>
            </w:pPr>
            <w:r w:rsidRPr="001E7178">
              <w:rPr>
                <w:color w:val="000000"/>
              </w:rPr>
              <w:t>Lack of access to key clients / markets</w:t>
            </w:r>
          </w:p>
        </w:tc>
        <w:tc>
          <w:tcPr>
            <w:tcW w:w="976" w:type="dxa"/>
            <w:noWrap/>
            <w:hideMark/>
          </w:tcPr>
          <w:p w14:paraId="45954DDA"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21.5%</w:t>
            </w:r>
          </w:p>
        </w:tc>
      </w:tr>
      <w:tr w:rsidR="008D13BD" w:rsidRPr="001E7178" w14:paraId="49AD6593"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0DD4D503" w14:textId="77777777" w:rsidR="008D13BD" w:rsidRPr="001E7178" w:rsidRDefault="008D13BD" w:rsidP="008D13BD">
            <w:pPr>
              <w:spacing w:after="0"/>
              <w:rPr>
                <w:color w:val="000000"/>
              </w:rPr>
            </w:pPr>
            <w:r w:rsidRPr="001E7178">
              <w:rPr>
                <w:color w:val="000000"/>
              </w:rPr>
              <w:t>Poor environment / quality of life</w:t>
            </w:r>
          </w:p>
        </w:tc>
        <w:tc>
          <w:tcPr>
            <w:tcW w:w="976" w:type="dxa"/>
            <w:noWrap/>
            <w:hideMark/>
          </w:tcPr>
          <w:p w14:paraId="38FC7F53"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15.2%</w:t>
            </w:r>
          </w:p>
        </w:tc>
      </w:tr>
      <w:tr w:rsidR="008D13BD" w:rsidRPr="001E7178" w14:paraId="3A8DC87D"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1C1E8AC0" w14:textId="77777777" w:rsidR="008D13BD" w:rsidRPr="001E7178" w:rsidRDefault="008D13BD" w:rsidP="008D13BD">
            <w:pPr>
              <w:spacing w:after="0"/>
              <w:rPr>
                <w:color w:val="000000"/>
              </w:rPr>
            </w:pPr>
            <w:r w:rsidRPr="001E7178">
              <w:rPr>
                <w:color w:val="000000"/>
              </w:rPr>
              <w:t>Expensive premises</w:t>
            </w:r>
          </w:p>
        </w:tc>
        <w:tc>
          <w:tcPr>
            <w:tcW w:w="976" w:type="dxa"/>
            <w:noWrap/>
            <w:hideMark/>
          </w:tcPr>
          <w:p w14:paraId="5ABDB320"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7.6%</w:t>
            </w:r>
          </w:p>
        </w:tc>
      </w:tr>
      <w:tr w:rsidR="008D13BD" w:rsidRPr="001E7178" w14:paraId="3540BDD6"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6C513288" w14:textId="77777777" w:rsidR="008D13BD" w:rsidRPr="001E7178" w:rsidRDefault="008D13BD" w:rsidP="008D13BD">
            <w:pPr>
              <w:spacing w:after="0"/>
              <w:rPr>
                <w:color w:val="000000"/>
              </w:rPr>
            </w:pPr>
            <w:r w:rsidRPr="001E7178">
              <w:rPr>
                <w:color w:val="000000"/>
              </w:rPr>
              <w:t>Congestion</w:t>
            </w:r>
          </w:p>
        </w:tc>
        <w:tc>
          <w:tcPr>
            <w:tcW w:w="976" w:type="dxa"/>
            <w:noWrap/>
            <w:hideMark/>
          </w:tcPr>
          <w:p w14:paraId="020C846B"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5.1%</w:t>
            </w:r>
          </w:p>
        </w:tc>
      </w:tr>
      <w:tr w:rsidR="008D13BD" w:rsidRPr="001E7178" w14:paraId="44AC1222"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0FBF80BB" w14:textId="77777777" w:rsidR="008D13BD" w:rsidRPr="001E7178" w:rsidRDefault="008D13BD" w:rsidP="008D13BD">
            <w:pPr>
              <w:spacing w:after="0"/>
              <w:rPr>
                <w:color w:val="000000"/>
              </w:rPr>
            </w:pPr>
            <w:r w:rsidRPr="001E7178">
              <w:rPr>
                <w:color w:val="000000"/>
              </w:rPr>
              <w:t>Industry in decline / closing down</w:t>
            </w:r>
          </w:p>
        </w:tc>
        <w:tc>
          <w:tcPr>
            <w:tcW w:w="976" w:type="dxa"/>
            <w:noWrap/>
            <w:hideMark/>
          </w:tcPr>
          <w:p w14:paraId="40BA4313"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5.1%</w:t>
            </w:r>
          </w:p>
        </w:tc>
      </w:tr>
      <w:tr w:rsidR="008D13BD" w:rsidRPr="001E7178" w14:paraId="7622F305"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18408137" w14:textId="77777777" w:rsidR="008D13BD" w:rsidRPr="001E7178" w:rsidRDefault="008D13BD" w:rsidP="008D13BD">
            <w:pPr>
              <w:spacing w:after="0"/>
              <w:rPr>
                <w:color w:val="000000"/>
              </w:rPr>
            </w:pPr>
            <w:r w:rsidRPr="001E7178">
              <w:rPr>
                <w:color w:val="000000"/>
              </w:rPr>
              <w:t>Lack of suitable sites and premises</w:t>
            </w:r>
          </w:p>
        </w:tc>
        <w:tc>
          <w:tcPr>
            <w:tcW w:w="976" w:type="dxa"/>
            <w:noWrap/>
            <w:hideMark/>
          </w:tcPr>
          <w:p w14:paraId="7DA9CCCE"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3.8%</w:t>
            </w:r>
          </w:p>
        </w:tc>
      </w:tr>
      <w:tr w:rsidR="008D13BD" w:rsidRPr="001E7178" w14:paraId="79574CF8"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35D1EE25" w14:textId="77777777" w:rsidR="008D13BD" w:rsidRPr="001E7178" w:rsidRDefault="008D13BD" w:rsidP="008D13BD">
            <w:pPr>
              <w:spacing w:after="0"/>
              <w:rPr>
                <w:color w:val="000000"/>
              </w:rPr>
            </w:pPr>
            <w:r w:rsidRPr="001E7178">
              <w:rPr>
                <w:color w:val="000000"/>
              </w:rPr>
              <w:t>Lack of access to key suppliers</w:t>
            </w:r>
          </w:p>
        </w:tc>
        <w:tc>
          <w:tcPr>
            <w:tcW w:w="976" w:type="dxa"/>
            <w:noWrap/>
            <w:hideMark/>
          </w:tcPr>
          <w:p w14:paraId="51A9C780"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3.8%</w:t>
            </w:r>
          </w:p>
        </w:tc>
      </w:tr>
      <w:tr w:rsidR="008D13BD" w:rsidRPr="001E7178" w14:paraId="1A5F12F0"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2530AD46" w14:textId="77777777" w:rsidR="008D13BD" w:rsidRPr="001E7178" w:rsidRDefault="008D13BD" w:rsidP="008D13BD">
            <w:pPr>
              <w:spacing w:after="0"/>
              <w:rPr>
                <w:color w:val="000000"/>
              </w:rPr>
            </w:pPr>
            <w:r w:rsidRPr="001E7178">
              <w:rPr>
                <w:color w:val="000000"/>
              </w:rPr>
              <w:t>Lack of skilled labour / labour shortages</w:t>
            </w:r>
          </w:p>
        </w:tc>
        <w:tc>
          <w:tcPr>
            <w:tcW w:w="976" w:type="dxa"/>
            <w:noWrap/>
            <w:hideMark/>
          </w:tcPr>
          <w:p w14:paraId="57740E8D"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2.5%</w:t>
            </w:r>
          </w:p>
        </w:tc>
      </w:tr>
      <w:tr w:rsidR="008D13BD" w:rsidRPr="001E7178" w14:paraId="4200E5FB"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4C664140" w14:textId="77777777" w:rsidR="008D13BD" w:rsidRPr="001E7178" w:rsidRDefault="008D13BD" w:rsidP="008D13BD">
            <w:pPr>
              <w:spacing w:after="0"/>
              <w:rPr>
                <w:color w:val="000000"/>
              </w:rPr>
            </w:pPr>
            <w:r w:rsidRPr="001E7178">
              <w:rPr>
                <w:color w:val="000000"/>
              </w:rPr>
              <w:t>Competition from others</w:t>
            </w:r>
          </w:p>
        </w:tc>
        <w:tc>
          <w:tcPr>
            <w:tcW w:w="976" w:type="dxa"/>
            <w:noWrap/>
            <w:hideMark/>
          </w:tcPr>
          <w:p w14:paraId="09E219B5"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2.5%</w:t>
            </w:r>
          </w:p>
        </w:tc>
      </w:tr>
      <w:tr w:rsidR="008D13BD" w:rsidRPr="001E7178" w14:paraId="1F4F76AC"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3783B4FC" w14:textId="77777777" w:rsidR="008D13BD" w:rsidRPr="001E7178" w:rsidRDefault="008D13BD" w:rsidP="008D13BD">
            <w:pPr>
              <w:spacing w:after="0"/>
              <w:rPr>
                <w:color w:val="000000"/>
              </w:rPr>
            </w:pPr>
            <w:r w:rsidRPr="001E7178">
              <w:rPr>
                <w:color w:val="000000"/>
              </w:rPr>
              <w:t>Nothing particular</w:t>
            </w:r>
          </w:p>
        </w:tc>
        <w:tc>
          <w:tcPr>
            <w:tcW w:w="976" w:type="dxa"/>
            <w:noWrap/>
            <w:hideMark/>
          </w:tcPr>
          <w:p w14:paraId="52C3097A"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2.5%</w:t>
            </w:r>
          </w:p>
        </w:tc>
      </w:tr>
      <w:tr w:rsidR="008D13BD" w:rsidRPr="001E7178" w14:paraId="18D22160"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468866CC" w14:textId="77777777" w:rsidR="008D13BD" w:rsidRPr="001E7178" w:rsidRDefault="008D13BD" w:rsidP="008D13BD">
            <w:pPr>
              <w:spacing w:after="0"/>
              <w:rPr>
                <w:color w:val="000000"/>
              </w:rPr>
            </w:pPr>
            <w:r w:rsidRPr="001E7178">
              <w:rPr>
                <w:color w:val="000000"/>
              </w:rPr>
              <w:t>Rates / energy prices too high</w:t>
            </w:r>
          </w:p>
        </w:tc>
        <w:tc>
          <w:tcPr>
            <w:tcW w:w="976" w:type="dxa"/>
            <w:noWrap/>
            <w:hideMark/>
          </w:tcPr>
          <w:p w14:paraId="79DC706E"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1.3%</w:t>
            </w:r>
          </w:p>
        </w:tc>
      </w:tr>
      <w:tr w:rsidR="008D13BD" w:rsidRPr="001E7178" w14:paraId="76C0351C"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50572BA0" w14:textId="77777777" w:rsidR="008D13BD" w:rsidRPr="001E7178" w:rsidRDefault="008D13BD" w:rsidP="008D13BD">
            <w:pPr>
              <w:spacing w:after="0"/>
              <w:rPr>
                <w:color w:val="000000"/>
              </w:rPr>
            </w:pPr>
            <w:r w:rsidRPr="001E7178">
              <w:rPr>
                <w:color w:val="000000"/>
              </w:rPr>
              <w:t>Lack of broadband</w:t>
            </w:r>
          </w:p>
        </w:tc>
        <w:tc>
          <w:tcPr>
            <w:tcW w:w="976" w:type="dxa"/>
            <w:noWrap/>
            <w:hideMark/>
          </w:tcPr>
          <w:p w14:paraId="3B318B77"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1.3%</w:t>
            </w:r>
          </w:p>
        </w:tc>
      </w:tr>
      <w:tr w:rsidR="008D13BD" w:rsidRPr="001E7178" w14:paraId="52C7A503"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46C26E0E" w14:textId="77777777" w:rsidR="008D13BD" w:rsidRPr="001E7178" w:rsidRDefault="008D13BD" w:rsidP="008D13BD">
            <w:pPr>
              <w:spacing w:after="0"/>
              <w:rPr>
                <w:color w:val="000000"/>
              </w:rPr>
            </w:pPr>
            <w:r w:rsidRPr="001E7178">
              <w:rPr>
                <w:color w:val="000000"/>
              </w:rPr>
              <w:t>Poor roads</w:t>
            </w:r>
          </w:p>
        </w:tc>
        <w:tc>
          <w:tcPr>
            <w:tcW w:w="976" w:type="dxa"/>
            <w:noWrap/>
            <w:hideMark/>
          </w:tcPr>
          <w:p w14:paraId="2C04E4BB"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1.3%</w:t>
            </w:r>
          </w:p>
        </w:tc>
      </w:tr>
    </w:tbl>
    <w:p w14:paraId="50123E14" w14:textId="77777777" w:rsidR="008D13BD" w:rsidRPr="002805F3" w:rsidRDefault="008D13BD" w:rsidP="008D13BD">
      <w:pPr>
        <w:pStyle w:val="TableSource"/>
      </w:pPr>
      <w:r w:rsidRPr="002805F3">
        <w:t>Source: Hill Taylor and Atkins 2013. Atkins Ref: Survey –A25</w:t>
      </w:r>
      <w:r>
        <w:t>. Note: Figures do not add up to 100% because of small results being excluded</w:t>
      </w:r>
    </w:p>
    <w:p w14:paraId="66E464DF" w14:textId="77777777" w:rsidR="008D13BD" w:rsidRPr="002805F3" w:rsidRDefault="008D13BD" w:rsidP="008D13BD">
      <w:pPr>
        <w:pStyle w:val="BodyText"/>
        <w:jc w:val="both"/>
        <w:rPr>
          <w:szCs w:val="22"/>
        </w:rPr>
      </w:pPr>
      <w:r>
        <w:rPr>
          <w:szCs w:val="22"/>
        </w:rPr>
        <w:t xml:space="preserve">Businesses </w:t>
      </w:r>
      <w:r w:rsidRPr="002805F3">
        <w:rPr>
          <w:szCs w:val="22"/>
        </w:rPr>
        <w:t xml:space="preserve">were asked whether they had already tried to relocate or considered operating elsewhere, but had been unsuccessful or decided to remain at their existing premises. Only 7% of </w:t>
      </w:r>
      <w:r>
        <w:rPr>
          <w:szCs w:val="22"/>
        </w:rPr>
        <w:t>businesses reported</w:t>
      </w:r>
      <w:r w:rsidRPr="002805F3">
        <w:rPr>
          <w:szCs w:val="22"/>
        </w:rPr>
        <w:t xml:space="preserve"> they had tried to re-locate in the recent past</w:t>
      </w:r>
      <w:r>
        <w:rPr>
          <w:szCs w:val="22"/>
        </w:rPr>
        <w:t xml:space="preserve"> (see Figure 3.6)</w:t>
      </w:r>
      <w:r w:rsidRPr="002805F3">
        <w:rPr>
          <w:szCs w:val="22"/>
        </w:rPr>
        <w:t>. This could reflect the economic climate (e.g. difficulties in raising capital to move) but also satisfaction with the local area.</w:t>
      </w:r>
    </w:p>
    <w:p w14:paraId="62FEB685" w14:textId="77777777" w:rsidR="00863243" w:rsidRDefault="00863243">
      <w:pPr>
        <w:spacing w:after="200" w:line="276" w:lineRule="auto"/>
        <w:rPr>
          <w:b/>
          <w:bCs/>
          <w:szCs w:val="18"/>
        </w:rPr>
      </w:pPr>
      <w:r>
        <w:br w:type="page"/>
      </w:r>
    </w:p>
    <w:p w14:paraId="60AD01A7" w14:textId="77777777" w:rsidR="008D13BD" w:rsidRPr="002805F3" w:rsidRDefault="008D13BD" w:rsidP="008D13BD">
      <w:pPr>
        <w:pStyle w:val="Caption"/>
      </w:pPr>
      <w:r>
        <w:t xml:space="preserve">Figure </w:t>
      </w:r>
      <w:fldSimple w:instr=" STYLEREF 1 \s  \* MERGEFORMAT ">
        <w:r w:rsidR="00E95E1A">
          <w:rPr>
            <w:noProof/>
          </w:rPr>
          <w:t>3</w:t>
        </w:r>
      </w:fldSimple>
      <w:r>
        <w:t>-</w:t>
      </w:r>
      <w:fldSimple w:instr=" SEQ Figure \* ARABIC \s 1  \* MERGEFORMAT ">
        <w:r w:rsidR="00E95E1A">
          <w:rPr>
            <w:noProof/>
          </w:rPr>
          <w:t>8</w:t>
        </w:r>
      </w:fldSimple>
      <w:r>
        <w:tab/>
        <w:t>Incidence of Re-location by Firms</w:t>
      </w:r>
    </w:p>
    <w:p w14:paraId="68254EBD" w14:textId="77777777" w:rsidR="008D13BD" w:rsidRPr="002805F3" w:rsidRDefault="008D7250" w:rsidP="008D13BD">
      <w:pPr>
        <w:pStyle w:val="BodyText"/>
        <w:jc w:val="both"/>
        <w:rPr>
          <w:sz w:val="16"/>
          <w:szCs w:val="16"/>
        </w:rPr>
      </w:pPr>
      <w:r>
        <w:rPr>
          <w:noProof/>
          <w:szCs w:val="22"/>
          <w:lang w:eastAsia="en-GB"/>
        </w:rPr>
        <w:drawing>
          <wp:inline distT="0" distB="0" distL="0" distR="0" wp14:anchorId="69ED477C" wp14:editId="4EDC4CFE">
            <wp:extent cx="4572000" cy="2743200"/>
            <wp:effectExtent l="0" t="0" r="0" b="0"/>
            <wp:docPr id="2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A4A9826" w14:textId="77777777" w:rsidR="008D13BD" w:rsidRPr="002805F3" w:rsidRDefault="008D13BD" w:rsidP="008D13BD">
      <w:pPr>
        <w:pStyle w:val="TableSource"/>
      </w:pPr>
      <w:r w:rsidRPr="002805F3">
        <w:t>Source: Hill Taylor and Atkins 2013. Atkins Ref: Survey –A26</w:t>
      </w:r>
    </w:p>
    <w:p w14:paraId="1ABBF4CD" w14:textId="77777777" w:rsidR="008D13BD" w:rsidRPr="002805F3" w:rsidRDefault="008D13BD" w:rsidP="008D13BD">
      <w:pPr>
        <w:pStyle w:val="BodyText"/>
        <w:jc w:val="both"/>
        <w:rPr>
          <w:i/>
          <w:sz w:val="22"/>
          <w:szCs w:val="18"/>
        </w:rPr>
      </w:pPr>
      <w:r w:rsidRPr="002805F3">
        <w:rPr>
          <w:szCs w:val="22"/>
        </w:rPr>
        <w:t xml:space="preserve">Of </w:t>
      </w:r>
      <w:r>
        <w:rPr>
          <w:szCs w:val="22"/>
        </w:rPr>
        <w:t>the small number of</w:t>
      </w:r>
      <w:r w:rsidRPr="002805F3">
        <w:rPr>
          <w:szCs w:val="22"/>
        </w:rPr>
        <w:t xml:space="preserve"> </w:t>
      </w:r>
      <w:r>
        <w:rPr>
          <w:szCs w:val="22"/>
        </w:rPr>
        <w:t>businesses</w:t>
      </w:r>
      <w:r w:rsidRPr="002805F3">
        <w:rPr>
          <w:szCs w:val="22"/>
        </w:rPr>
        <w:t xml:space="preserve"> that had tried to relocate, </w:t>
      </w:r>
      <w:r>
        <w:rPr>
          <w:szCs w:val="22"/>
        </w:rPr>
        <w:t>most</w:t>
      </w:r>
      <w:r w:rsidRPr="002805F3">
        <w:rPr>
          <w:szCs w:val="22"/>
        </w:rPr>
        <w:t xml:space="preserve"> had </w:t>
      </w:r>
      <w:r>
        <w:rPr>
          <w:szCs w:val="22"/>
        </w:rPr>
        <w:t>considered elsewhere in</w:t>
      </w:r>
      <w:r w:rsidRPr="002805F3">
        <w:rPr>
          <w:szCs w:val="22"/>
        </w:rPr>
        <w:t xml:space="preserve"> </w:t>
      </w:r>
      <w:r>
        <w:rPr>
          <w:szCs w:val="22"/>
        </w:rPr>
        <w:t>North East Lincolnshire whilst some had looked at</w:t>
      </w:r>
      <w:r w:rsidRPr="002805F3">
        <w:rPr>
          <w:szCs w:val="22"/>
        </w:rPr>
        <w:t xml:space="preserve"> Hull, Lincoln and</w:t>
      </w:r>
      <w:r>
        <w:rPr>
          <w:szCs w:val="22"/>
        </w:rPr>
        <w:t xml:space="preserve"> parts of</w:t>
      </w:r>
      <w:r w:rsidRPr="002805F3">
        <w:rPr>
          <w:szCs w:val="22"/>
        </w:rPr>
        <w:t xml:space="preserve"> North Lincolnshire.</w:t>
      </w:r>
    </w:p>
    <w:p w14:paraId="37AB0DDA" w14:textId="77777777" w:rsidR="008D13BD" w:rsidRPr="002805F3" w:rsidRDefault="008D13BD" w:rsidP="008D13BD">
      <w:pPr>
        <w:pStyle w:val="BodyText"/>
        <w:jc w:val="both"/>
      </w:pPr>
      <w:r>
        <w:t>Businesses</w:t>
      </w:r>
      <w:r w:rsidRPr="002805F3">
        <w:t xml:space="preserve"> were asked whether</w:t>
      </w:r>
      <w:r>
        <w:t xml:space="preserve"> or not</w:t>
      </w:r>
      <w:r w:rsidRPr="002805F3">
        <w:t xml:space="preserve"> there were any other</w:t>
      </w:r>
      <w:r>
        <w:t xml:space="preserve"> notable</w:t>
      </w:r>
      <w:r w:rsidRPr="002805F3">
        <w:t xml:space="preserve"> location-related issues that have impacted on </w:t>
      </w:r>
      <w:r>
        <w:t>the efficient operation of their</w:t>
      </w:r>
      <w:r w:rsidRPr="002805F3">
        <w:t xml:space="preserve"> business</w:t>
      </w:r>
      <w:r>
        <w:t xml:space="preserve"> (Table 3.15)</w:t>
      </w:r>
      <w:r w:rsidRPr="002805F3">
        <w:t>. They most frequent responses to this</w:t>
      </w:r>
      <w:r>
        <w:t xml:space="preserve"> question included parking (16</w:t>
      </w:r>
      <w:r w:rsidRPr="002805F3">
        <w:t>%)</w:t>
      </w:r>
      <w:r>
        <w:t xml:space="preserve"> which is common across the country when such surveys are conducted.  </w:t>
      </w:r>
      <w:r w:rsidRPr="002805F3">
        <w:t xml:space="preserve"> </w:t>
      </w:r>
    </w:p>
    <w:p w14:paraId="383F3292" w14:textId="77777777" w:rsidR="008D13BD" w:rsidRDefault="008D13BD" w:rsidP="008D13BD">
      <w:pPr>
        <w:pStyle w:val="Caption"/>
      </w:pPr>
      <w:r>
        <w:t xml:space="preserve">Table </w:t>
      </w:r>
      <w:fldSimple w:instr=" STYLEREF 1 \s  \* MERGEFORMAT ">
        <w:r w:rsidR="00E95E1A">
          <w:rPr>
            <w:noProof/>
          </w:rPr>
          <w:t>3</w:t>
        </w:r>
      </w:fldSimple>
      <w:r>
        <w:t>-</w:t>
      </w:r>
      <w:fldSimple w:instr=" SEQ Table \* ARABIC \s 1  \* MERGEFORMAT ">
        <w:r w:rsidR="00E95E1A">
          <w:rPr>
            <w:noProof/>
          </w:rPr>
          <w:t>15</w:t>
        </w:r>
      </w:fldSimple>
      <w:r>
        <w:tab/>
        <w:t>Other Location-Related Issues Impacting on Business Efficiency</w:t>
      </w:r>
    </w:p>
    <w:tbl>
      <w:tblPr>
        <w:tblStyle w:val="Atkins14pt"/>
        <w:tblW w:w="5085" w:type="dxa"/>
        <w:tblLook w:val="04A0" w:firstRow="1" w:lastRow="0" w:firstColumn="1" w:lastColumn="0" w:noHBand="0" w:noVBand="1"/>
      </w:tblPr>
      <w:tblGrid>
        <w:gridCol w:w="4125"/>
        <w:gridCol w:w="960"/>
      </w:tblGrid>
      <w:tr w:rsidR="008D13BD" w:rsidRPr="001E7178" w14:paraId="6CAF8AC0" w14:textId="77777777" w:rsidTr="008D13B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125" w:type="dxa"/>
            <w:shd w:val="clear" w:color="auto" w:fill="BED600" w:themeFill="accent1"/>
            <w:noWrap/>
            <w:hideMark/>
          </w:tcPr>
          <w:p w14:paraId="6B83E4BA" w14:textId="77777777" w:rsidR="008D13BD" w:rsidRPr="001E7178" w:rsidRDefault="008D13BD" w:rsidP="008D13BD">
            <w:pPr>
              <w:spacing w:after="0"/>
              <w:rPr>
                <w:color w:val="000000"/>
              </w:rPr>
            </w:pPr>
            <w:r w:rsidRPr="001E7178">
              <w:rPr>
                <w:color w:val="000000"/>
              </w:rPr>
              <w:t>Issue</w:t>
            </w:r>
          </w:p>
        </w:tc>
        <w:tc>
          <w:tcPr>
            <w:tcW w:w="960" w:type="dxa"/>
            <w:shd w:val="clear" w:color="auto" w:fill="BED600" w:themeFill="accent1"/>
            <w:noWrap/>
            <w:hideMark/>
          </w:tcPr>
          <w:p w14:paraId="3DEA9DAB" w14:textId="77777777" w:rsidR="008D13BD" w:rsidRPr="001E7178" w:rsidRDefault="008D13BD" w:rsidP="008D13BD">
            <w:pPr>
              <w:spacing w:after="0"/>
              <w:jc w:val="right"/>
              <w:cnfStyle w:val="100000000000" w:firstRow="1" w:lastRow="0" w:firstColumn="0" w:lastColumn="0" w:oddVBand="0" w:evenVBand="0" w:oddHBand="0" w:evenHBand="0" w:firstRowFirstColumn="0" w:firstRowLastColumn="0" w:lastRowFirstColumn="0" w:lastRowLastColumn="0"/>
              <w:rPr>
                <w:color w:val="000000"/>
              </w:rPr>
            </w:pPr>
            <w:r w:rsidRPr="001E7178">
              <w:rPr>
                <w:color w:val="000000"/>
              </w:rPr>
              <w:t>%</w:t>
            </w:r>
          </w:p>
        </w:tc>
      </w:tr>
      <w:tr w:rsidR="008D13BD" w:rsidRPr="001E7178" w14:paraId="63B34F3B"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125" w:type="dxa"/>
            <w:noWrap/>
            <w:hideMark/>
          </w:tcPr>
          <w:p w14:paraId="256ADB97" w14:textId="77777777" w:rsidR="008D13BD" w:rsidRPr="001E7178" w:rsidRDefault="008D13BD" w:rsidP="008D13BD">
            <w:pPr>
              <w:spacing w:after="0"/>
              <w:rPr>
                <w:color w:val="000000"/>
              </w:rPr>
            </w:pPr>
            <w:r w:rsidRPr="001E7178">
              <w:rPr>
                <w:color w:val="000000"/>
              </w:rPr>
              <w:t>Not enough parking / parking costs</w:t>
            </w:r>
          </w:p>
        </w:tc>
        <w:tc>
          <w:tcPr>
            <w:tcW w:w="960" w:type="dxa"/>
            <w:noWrap/>
            <w:hideMark/>
          </w:tcPr>
          <w:p w14:paraId="0F7702CE"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16.1%</w:t>
            </w:r>
          </w:p>
        </w:tc>
      </w:tr>
      <w:tr w:rsidR="008D13BD" w:rsidRPr="001E7178" w14:paraId="02DC7113"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125" w:type="dxa"/>
            <w:noWrap/>
            <w:hideMark/>
          </w:tcPr>
          <w:p w14:paraId="70F385B0" w14:textId="77777777" w:rsidR="008D13BD" w:rsidRPr="001E7178" w:rsidRDefault="008D13BD" w:rsidP="008D13BD">
            <w:pPr>
              <w:spacing w:after="0"/>
              <w:rPr>
                <w:color w:val="000000"/>
              </w:rPr>
            </w:pPr>
            <w:r w:rsidRPr="001E7178">
              <w:rPr>
                <w:color w:val="000000"/>
              </w:rPr>
              <w:t>Planning restrictions</w:t>
            </w:r>
          </w:p>
        </w:tc>
        <w:tc>
          <w:tcPr>
            <w:tcW w:w="960" w:type="dxa"/>
            <w:noWrap/>
            <w:hideMark/>
          </w:tcPr>
          <w:p w14:paraId="495CA96C"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5.2%</w:t>
            </w:r>
          </w:p>
        </w:tc>
      </w:tr>
      <w:tr w:rsidR="008D13BD" w:rsidRPr="001E7178" w14:paraId="3C0FD916"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125" w:type="dxa"/>
            <w:noWrap/>
            <w:hideMark/>
          </w:tcPr>
          <w:p w14:paraId="5DEA9B66" w14:textId="77777777" w:rsidR="008D13BD" w:rsidRPr="001E7178" w:rsidRDefault="008D13BD" w:rsidP="008D13BD">
            <w:pPr>
              <w:spacing w:after="0"/>
              <w:rPr>
                <w:color w:val="000000"/>
              </w:rPr>
            </w:pPr>
            <w:r w:rsidRPr="001E7178">
              <w:rPr>
                <w:color w:val="000000"/>
              </w:rPr>
              <w:t>Poor roads / road links / access</w:t>
            </w:r>
          </w:p>
        </w:tc>
        <w:tc>
          <w:tcPr>
            <w:tcW w:w="960" w:type="dxa"/>
            <w:noWrap/>
            <w:hideMark/>
          </w:tcPr>
          <w:p w14:paraId="0C588C6D"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2.8%</w:t>
            </w:r>
          </w:p>
        </w:tc>
      </w:tr>
      <w:tr w:rsidR="008D13BD" w:rsidRPr="001E7178" w14:paraId="106A6C88"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125" w:type="dxa"/>
            <w:noWrap/>
            <w:hideMark/>
          </w:tcPr>
          <w:p w14:paraId="4707F044" w14:textId="77777777" w:rsidR="008D13BD" w:rsidRPr="001E7178" w:rsidRDefault="008D13BD" w:rsidP="008D13BD">
            <w:pPr>
              <w:spacing w:after="0"/>
              <w:rPr>
                <w:color w:val="000000"/>
              </w:rPr>
            </w:pPr>
            <w:r w:rsidRPr="001E7178">
              <w:rPr>
                <w:color w:val="000000"/>
              </w:rPr>
              <w:t>Premises too small</w:t>
            </w:r>
          </w:p>
        </w:tc>
        <w:tc>
          <w:tcPr>
            <w:tcW w:w="960" w:type="dxa"/>
            <w:noWrap/>
            <w:hideMark/>
          </w:tcPr>
          <w:p w14:paraId="1699414A"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2.3%</w:t>
            </w:r>
          </w:p>
        </w:tc>
      </w:tr>
      <w:tr w:rsidR="008D13BD" w:rsidRPr="001E7178" w14:paraId="2D66BE64"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125" w:type="dxa"/>
            <w:noWrap/>
            <w:hideMark/>
          </w:tcPr>
          <w:p w14:paraId="5DD25D2B" w14:textId="77777777" w:rsidR="008D13BD" w:rsidRPr="001E7178" w:rsidRDefault="008D13BD" w:rsidP="008D13BD">
            <w:pPr>
              <w:spacing w:after="0"/>
              <w:rPr>
                <w:color w:val="000000"/>
              </w:rPr>
            </w:pPr>
            <w:r w:rsidRPr="001E7178">
              <w:rPr>
                <w:color w:val="000000"/>
              </w:rPr>
              <w:t>Not enough custom / declining industry</w:t>
            </w:r>
          </w:p>
        </w:tc>
        <w:tc>
          <w:tcPr>
            <w:tcW w:w="960" w:type="dxa"/>
            <w:noWrap/>
            <w:hideMark/>
          </w:tcPr>
          <w:p w14:paraId="6A4D2A90"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2.3%</w:t>
            </w:r>
          </w:p>
        </w:tc>
      </w:tr>
      <w:tr w:rsidR="008D13BD" w:rsidRPr="001E7178" w14:paraId="6995AAE3"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125" w:type="dxa"/>
            <w:noWrap/>
            <w:hideMark/>
          </w:tcPr>
          <w:p w14:paraId="59A2C144" w14:textId="77777777" w:rsidR="008D13BD" w:rsidRPr="001E7178" w:rsidRDefault="008D13BD" w:rsidP="008D13BD">
            <w:pPr>
              <w:spacing w:after="0"/>
              <w:rPr>
                <w:color w:val="000000"/>
              </w:rPr>
            </w:pPr>
            <w:r w:rsidRPr="001E7178">
              <w:rPr>
                <w:color w:val="000000"/>
              </w:rPr>
              <w:t>Premises not suitable</w:t>
            </w:r>
          </w:p>
        </w:tc>
        <w:tc>
          <w:tcPr>
            <w:tcW w:w="960" w:type="dxa"/>
            <w:noWrap/>
            <w:hideMark/>
          </w:tcPr>
          <w:p w14:paraId="53DD3DB8"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1.8%</w:t>
            </w:r>
          </w:p>
        </w:tc>
      </w:tr>
      <w:tr w:rsidR="008D13BD" w:rsidRPr="001E7178" w14:paraId="7BA38966"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125" w:type="dxa"/>
            <w:noWrap/>
            <w:hideMark/>
          </w:tcPr>
          <w:p w14:paraId="2DC9A7A6" w14:textId="77777777" w:rsidR="008D13BD" w:rsidRPr="001E7178" w:rsidRDefault="008D13BD" w:rsidP="008D13BD">
            <w:pPr>
              <w:spacing w:after="0"/>
              <w:rPr>
                <w:color w:val="000000"/>
              </w:rPr>
            </w:pPr>
            <w:r w:rsidRPr="001E7178">
              <w:rPr>
                <w:color w:val="000000"/>
              </w:rPr>
              <w:t>Flooding</w:t>
            </w:r>
          </w:p>
        </w:tc>
        <w:tc>
          <w:tcPr>
            <w:tcW w:w="960" w:type="dxa"/>
            <w:noWrap/>
            <w:hideMark/>
          </w:tcPr>
          <w:p w14:paraId="2C315556"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1.0%</w:t>
            </w:r>
          </w:p>
        </w:tc>
      </w:tr>
      <w:tr w:rsidR="008D13BD" w:rsidRPr="001E7178" w14:paraId="4CEE01CA"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125" w:type="dxa"/>
            <w:noWrap/>
            <w:hideMark/>
          </w:tcPr>
          <w:p w14:paraId="4BDB00FF" w14:textId="77777777" w:rsidR="008D13BD" w:rsidRPr="001E7178" w:rsidRDefault="008D13BD" w:rsidP="008D13BD">
            <w:pPr>
              <w:spacing w:after="0"/>
              <w:rPr>
                <w:color w:val="000000"/>
              </w:rPr>
            </w:pPr>
            <w:r w:rsidRPr="001E7178">
              <w:rPr>
                <w:color w:val="000000"/>
              </w:rPr>
              <w:t>Usage restrictions</w:t>
            </w:r>
          </w:p>
        </w:tc>
        <w:tc>
          <w:tcPr>
            <w:tcW w:w="960" w:type="dxa"/>
            <w:noWrap/>
            <w:hideMark/>
          </w:tcPr>
          <w:p w14:paraId="2BC202B1"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0.8%</w:t>
            </w:r>
          </w:p>
        </w:tc>
      </w:tr>
      <w:tr w:rsidR="008D13BD" w:rsidRPr="001E7178" w14:paraId="670A0C67"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125" w:type="dxa"/>
            <w:noWrap/>
            <w:hideMark/>
          </w:tcPr>
          <w:p w14:paraId="61C772C7" w14:textId="77777777" w:rsidR="008D13BD" w:rsidRPr="001E7178" w:rsidRDefault="008D13BD" w:rsidP="008D13BD">
            <w:pPr>
              <w:spacing w:after="0"/>
              <w:rPr>
                <w:color w:val="000000"/>
              </w:rPr>
            </w:pPr>
            <w:r w:rsidRPr="001E7178">
              <w:rPr>
                <w:color w:val="000000"/>
              </w:rPr>
              <w:t>Crime / drug culture</w:t>
            </w:r>
          </w:p>
        </w:tc>
        <w:tc>
          <w:tcPr>
            <w:tcW w:w="960" w:type="dxa"/>
            <w:noWrap/>
            <w:hideMark/>
          </w:tcPr>
          <w:p w14:paraId="3B8B38AD"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0.8%</w:t>
            </w:r>
          </w:p>
        </w:tc>
      </w:tr>
      <w:tr w:rsidR="008D13BD" w:rsidRPr="001E7178" w14:paraId="27ACE390"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125" w:type="dxa"/>
            <w:noWrap/>
            <w:hideMark/>
          </w:tcPr>
          <w:p w14:paraId="078AB72B" w14:textId="77777777" w:rsidR="008D13BD" w:rsidRPr="001E7178" w:rsidRDefault="008D13BD" w:rsidP="008D13BD">
            <w:pPr>
              <w:spacing w:after="0"/>
              <w:rPr>
                <w:color w:val="000000"/>
              </w:rPr>
            </w:pPr>
            <w:r w:rsidRPr="001E7178">
              <w:rPr>
                <w:color w:val="000000"/>
              </w:rPr>
              <w:t>Poor broadband connectivity</w:t>
            </w:r>
          </w:p>
        </w:tc>
        <w:tc>
          <w:tcPr>
            <w:tcW w:w="960" w:type="dxa"/>
            <w:noWrap/>
            <w:hideMark/>
          </w:tcPr>
          <w:p w14:paraId="6FA1A7BD"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0.8%</w:t>
            </w:r>
          </w:p>
        </w:tc>
      </w:tr>
      <w:tr w:rsidR="008D13BD" w:rsidRPr="001E7178" w14:paraId="5667E1BF" w14:textId="77777777" w:rsidTr="008D13BD">
        <w:trPr>
          <w:trHeight w:val="300"/>
        </w:trPr>
        <w:tc>
          <w:tcPr>
            <w:cnfStyle w:val="001000000000" w:firstRow="0" w:lastRow="0" w:firstColumn="1" w:lastColumn="0" w:oddVBand="0" w:evenVBand="0" w:oddHBand="0" w:evenHBand="0" w:firstRowFirstColumn="0" w:firstRowLastColumn="0" w:lastRowFirstColumn="0" w:lastRowLastColumn="0"/>
            <w:tcW w:w="4125" w:type="dxa"/>
            <w:noWrap/>
            <w:hideMark/>
          </w:tcPr>
          <w:p w14:paraId="2EA2E65A" w14:textId="77777777" w:rsidR="008D13BD" w:rsidRPr="001E7178" w:rsidRDefault="008D13BD" w:rsidP="008D13BD">
            <w:pPr>
              <w:spacing w:after="0"/>
              <w:rPr>
                <w:color w:val="000000"/>
              </w:rPr>
            </w:pPr>
            <w:r w:rsidRPr="001E7178">
              <w:rPr>
                <w:color w:val="000000"/>
              </w:rPr>
              <w:t>Council not investing in the correct areas</w:t>
            </w:r>
          </w:p>
        </w:tc>
        <w:tc>
          <w:tcPr>
            <w:tcW w:w="960" w:type="dxa"/>
            <w:noWrap/>
            <w:hideMark/>
          </w:tcPr>
          <w:p w14:paraId="3A6BD8C5" w14:textId="77777777" w:rsidR="008D13BD" w:rsidRPr="001E7178" w:rsidRDefault="008D13BD" w:rsidP="008D13BD">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0.8%</w:t>
            </w:r>
          </w:p>
        </w:tc>
      </w:tr>
    </w:tbl>
    <w:p w14:paraId="6A4C309B" w14:textId="77777777" w:rsidR="008D13BD" w:rsidRPr="002805F3" w:rsidRDefault="008D13BD" w:rsidP="008D13BD">
      <w:pPr>
        <w:pStyle w:val="TableSource"/>
        <w:rPr>
          <w:sz w:val="22"/>
          <w:szCs w:val="18"/>
        </w:rPr>
      </w:pPr>
      <w:r w:rsidRPr="002805F3">
        <w:t>Source: Hill Taylor and Atkins 2013. Atkins Ref: Survey –A27</w:t>
      </w:r>
      <w:r>
        <w:t>. Note: Figures do not add up to 100% because of those lower than 0.;8% being excluded</w:t>
      </w:r>
    </w:p>
    <w:p w14:paraId="07F18A72" w14:textId="77777777" w:rsidR="008D7250" w:rsidRDefault="008D7250">
      <w:pPr>
        <w:jc w:val="both"/>
      </w:pPr>
    </w:p>
    <w:p w14:paraId="5858EC9D" w14:textId="77777777" w:rsidR="006F4A44" w:rsidRDefault="006F4A44" w:rsidP="00C93734">
      <w:pPr>
        <w:spacing w:after="200" w:line="276" w:lineRule="auto"/>
        <w:jc w:val="both"/>
        <w:rPr>
          <w:rFonts w:eastAsia="Times New Roman" w:cs="Times New Roman"/>
          <w:b/>
          <w:bCs/>
          <w:color w:val="394A58" w:themeColor="accent2"/>
          <w:sz w:val="48"/>
          <w:szCs w:val="28"/>
        </w:rPr>
      </w:pPr>
      <w:r>
        <w:br w:type="page"/>
      </w:r>
    </w:p>
    <w:p w14:paraId="667A1B86" w14:textId="77777777" w:rsidR="009B3D30" w:rsidRDefault="009B3D30" w:rsidP="00C93734">
      <w:pPr>
        <w:pStyle w:val="Heading1"/>
        <w:jc w:val="both"/>
        <w:sectPr w:rsidR="009B3D30" w:rsidSect="008D13BD">
          <w:headerReference w:type="first" r:id="rId45"/>
          <w:pgSz w:w="11906" w:h="16838" w:code="9"/>
          <w:pgMar w:top="964" w:right="1134" w:bottom="964" w:left="1134" w:header="510" w:footer="340" w:gutter="0"/>
          <w:cols w:space="708"/>
          <w:titlePg/>
          <w:docGrid w:linePitch="360"/>
        </w:sectPr>
      </w:pPr>
    </w:p>
    <w:p w14:paraId="757ED15F" w14:textId="77777777" w:rsidR="009B3D30" w:rsidRDefault="009B3D30" w:rsidP="00C93734">
      <w:pPr>
        <w:pStyle w:val="IntroHeading"/>
        <w:sectPr w:rsidR="009B3D30" w:rsidSect="009B3D30">
          <w:headerReference w:type="first" r:id="rId46"/>
          <w:pgSz w:w="11906" w:h="16838" w:code="9"/>
          <w:pgMar w:top="964" w:right="1134" w:bottom="964" w:left="1134" w:header="510" w:footer="340" w:gutter="0"/>
          <w:cols w:space="708"/>
          <w:titlePg/>
          <w:docGrid w:linePitch="360"/>
        </w:sectPr>
      </w:pPr>
      <w:bookmarkStart w:id="562" w:name="_Toc384034541"/>
      <w:bookmarkStart w:id="563" w:name="_Toc395103920"/>
      <w:r>
        <w:t>Port</w:t>
      </w:r>
      <w:r w:rsidR="00C10D29">
        <w:t>s</w:t>
      </w:r>
      <w:r>
        <w:t xml:space="preserve"> &amp; Logistics</w:t>
      </w:r>
      <w:bookmarkEnd w:id="562"/>
      <w:bookmarkEnd w:id="563"/>
    </w:p>
    <w:p w14:paraId="1D3326B8" w14:textId="77777777" w:rsidR="00B877A8" w:rsidRPr="00BE3C3A" w:rsidRDefault="0087408D" w:rsidP="00C93734">
      <w:pPr>
        <w:pStyle w:val="Heading1"/>
        <w:jc w:val="both"/>
      </w:pPr>
      <w:bookmarkStart w:id="564" w:name="_Ref391910834"/>
      <w:bookmarkStart w:id="565" w:name="_Toc395103921"/>
      <w:r>
        <w:t>Port</w:t>
      </w:r>
      <w:r w:rsidR="002E46EE">
        <w:t>s</w:t>
      </w:r>
      <w:r>
        <w:t xml:space="preserve"> &amp; L</w:t>
      </w:r>
      <w:r w:rsidR="00B877A8">
        <w:t>ogistics</w:t>
      </w:r>
      <w:bookmarkEnd w:id="564"/>
      <w:bookmarkEnd w:id="565"/>
    </w:p>
    <w:p w14:paraId="4E612866" w14:textId="77777777" w:rsidR="0087408D" w:rsidRDefault="00A32378" w:rsidP="00C93734">
      <w:pPr>
        <w:jc w:val="both"/>
      </w:pPr>
      <w:r>
        <w:t xml:space="preserve">The </w:t>
      </w:r>
      <w:r w:rsidR="009C51D4">
        <w:t xml:space="preserve">major ports of Grimsby and Immingham dominate the NEL’s port and logistics sector. </w:t>
      </w:r>
      <w:r w:rsidR="0087408D">
        <w:t xml:space="preserve">Although </w:t>
      </w:r>
      <w:r w:rsidR="002F4896">
        <w:t xml:space="preserve">the two locations are </w:t>
      </w:r>
      <w:r w:rsidR="0087408D">
        <w:t xml:space="preserve">geographically </w:t>
      </w:r>
      <w:r w:rsidR="002F4896">
        <w:t>distinct</w:t>
      </w:r>
      <w:r w:rsidR="00CC2BBD">
        <w:t xml:space="preserve">, the ports </w:t>
      </w:r>
      <w:r w:rsidR="0087408D">
        <w:t>combine</w:t>
      </w:r>
      <w:r w:rsidR="002F4896">
        <w:t>d</w:t>
      </w:r>
      <w:r w:rsidR="0087408D">
        <w:t xml:space="preserve"> </w:t>
      </w:r>
      <w:r w:rsidR="002F4896">
        <w:t>represent</w:t>
      </w:r>
      <w:r w:rsidR="0087408D">
        <w:t xml:space="preserve"> the </w:t>
      </w:r>
      <w:r w:rsidR="0087408D" w:rsidRPr="00E34E51">
        <w:t>UK's largest port by tonnage</w:t>
      </w:r>
      <w:r w:rsidR="002F4896">
        <w:t xml:space="preserve">, </w:t>
      </w:r>
      <w:r w:rsidR="0087408D" w:rsidRPr="00E34E51">
        <w:t xml:space="preserve">handling up to </w:t>
      </w:r>
      <w:r w:rsidR="003B3987">
        <w:t>66</w:t>
      </w:r>
      <w:r w:rsidR="0087408D" w:rsidRPr="00E34E51">
        <w:t xml:space="preserve"> million tonnes of cargo each year. </w:t>
      </w:r>
    </w:p>
    <w:p w14:paraId="0057BCCE" w14:textId="77777777" w:rsidR="00A578EB" w:rsidRPr="00A578EB" w:rsidRDefault="00A578EB" w:rsidP="00C93734">
      <w:pPr>
        <w:jc w:val="both"/>
        <w:rPr>
          <w:b/>
        </w:rPr>
      </w:pPr>
      <w:r w:rsidRPr="00A578EB">
        <w:rPr>
          <w:b/>
        </w:rPr>
        <w:t>Port of Grimsby</w:t>
      </w:r>
    </w:p>
    <w:p w14:paraId="40F2E5F4" w14:textId="77777777" w:rsidR="006321CA" w:rsidRDefault="00E34E51" w:rsidP="00C93734">
      <w:pPr>
        <w:jc w:val="both"/>
      </w:pPr>
      <w:r>
        <w:t>The Port of Grimsby is located just seven miles from the open sea, on the south bank of the River Humber and within easy reach of many urban areas. The port is owned</w:t>
      </w:r>
      <w:r w:rsidR="0087408D">
        <w:t xml:space="preserve"> by A</w:t>
      </w:r>
      <w:r>
        <w:t xml:space="preserve">ssociated British Ports </w:t>
      </w:r>
      <w:r w:rsidR="006321CA">
        <w:t xml:space="preserve">(ABP) </w:t>
      </w:r>
      <w:r>
        <w:t xml:space="preserve">and </w:t>
      </w:r>
      <w:r w:rsidR="0087408D">
        <w:t>is</w:t>
      </w:r>
      <w:r>
        <w:t xml:space="preserve"> one of</w:t>
      </w:r>
      <w:r w:rsidR="0087408D">
        <w:t xml:space="preserve"> the UK's major car import terminal</w:t>
      </w:r>
      <w:r>
        <w:t xml:space="preserve">s </w:t>
      </w:r>
      <w:r w:rsidR="00A32378">
        <w:t>with</w:t>
      </w:r>
      <w:r>
        <w:t xml:space="preserve"> dedicated roll on/roll off berths and a new </w:t>
      </w:r>
      <w:r w:rsidR="00281B18">
        <w:t>£23m</w:t>
      </w:r>
      <w:r>
        <w:t xml:space="preserve"> two-berth </w:t>
      </w:r>
      <w:r w:rsidR="00281B18">
        <w:t>river accessed</w:t>
      </w:r>
      <w:r>
        <w:t xml:space="preserve"> facility which can handle vessels carr</w:t>
      </w:r>
      <w:r w:rsidR="00943859">
        <w:t>ying up to 3,000 vehicles. The P</w:t>
      </w:r>
      <w:r>
        <w:t>ort is also important in providing acce</w:t>
      </w:r>
      <w:r w:rsidR="006321CA">
        <w:t xml:space="preserve">ss to offshore renewables </w:t>
      </w:r>
      <w:r w:rsidR="008430D5">
        <w:t>activities</w:t>
      </w:r>
      <w:r w:rsidR="00943859">
        <w:t xml:space="preserve"> and</w:t>
      </w:r>
      <w:r w:rsidR="006321CA">
        <w:t xml:space="preserve"> handles a va</w:t>
      </w:r>
      <w:r w:rsidR="008430D5">
        <w:t xml:space="preserve">riety of other goods including </w:t>
      </w:r>
      <w:r w:rsidR="00943859">
        <w:t>f</w:t>
      </w:r>
      <w:r w:rsidR="0087408D" w:rsidRPr="0087408D">
        <w:t xml:space="preserve">resh </w:t>
      </w:r>
      <w:r w:rsidR="006321CA">
        <w:t>and perishable</w:t>
      </w:r>
      <w:r w:rsidR="00943859">
        <w:t xml:space="preserve"> produce (e.g. fish)</w:t>
      </w:r>
      <w:r w:rsidR="006321CA">
        <w:t>, d</w:t>
      </w:r>
      <w:r w:rsidR="0087408D">
        <w:t>ry bulks</w:t>
      </w:r>
      <w:r w:rsidR="006321CA">
        <w:t>,</w:t>
      </w:r>
      <w:r w:rsidR="0087408D">
        <w:t xml:space="preserve"> </w:t>
      </w:r>
      <w:r w:rsidR="006321CA">
        <w:t>f</w:t>
      </w:r>
      <w:r w:rsidR="0087408D" w:rsidRPr="0087408D">
        <w:t>orest products</w:t>
      </w:r>
      <w:r w:rsidR="006321CA">
        <w:t xml:space="preserve"> and </w:t>
      </w:r>
      <w:r w:rsidR="0087408D">
        <w:t>agri</w:t>
      </w:r>
      <w:r w:rsidR="008430D5">
        <w:t>-</w:t>
      </w:r>
      <w:r w:rsidR="0087408D">
        <w:t>bulk products</w:t>
      </w:r>
      <w:r w:rsidR="007D52CD">
        <w:t xml:space="preserve">. </w:t>
      </w:r>
    </w:p>
    <w:p w14:paraId="416CA78B" w14:textId="77777777" w:rsidR="00A578EB" w:rsidRPr="00A578EB" w:rsidRDefault="00BE3C3A" w:rsidP="00C93734">
      <w:pPr>
        <w:jc w:val="both"/>
        <w:rPr>
          <w:b/>
        </w:rPr>
      </w:pPr>
      <w:r w:rsidRPr="00A578EB">
        <w:rPr>
          <w:b/>
        </w:rPr>
        <w:t>Port of Immingham</w:t>
      </w:r>
      <w:r w:rsidR="00A578EB" w:rsidRPr="00A578EB">
        <w:rPr>
          <w:b/>
        </w:rPr>
        <w:t xml:space="preserve"> </w:t>
      </w:r>
    </w:p>
    <w:p w14:paraId="006468ED" w14:textId="77777777" w:rsidR="00BE3C3A" w:rsidRDefault="006321CA" w:rsidP="00C93734">
      <w:pPr>
        <w:jc w:val="both"/>
      </w:pPr>
      <w:r>
        <w:t xml:space="preserve">The Port of Immingham is </w:t>
      </w:r>
      <w:r w:rsidR="00F043FB">
        <w:t xml:space="preserve">7 miles north of Grimsby </w:t>
      </w:r>
      <w:r>
        <w:t>and</w:t>
      </w:r>
      <w:r w:rsidR="00F043FB">
        <w:t xml:space="preserve"> is </w:t>
      </w:r>
      <w:r w:rsidR="00A578EB">
        <w:t>also</w:t>
      </w:r>
      <w:r>
        <w:t xml:space="preserve"> </w:t>
      </w:r>
      <w:r w:rsidR="0087408D">
        <w:t xml:space="preserve">owned </w:t>
      </w:r>
      <w:r w:rsidR="00A578EB">
        <w:t xml:space="preserve">and operated </w:t>
      </w:r>
      <w:r w:rsidR="0087408D">
        <w:t>by ABP</w:t>
      </w:r>
      <w:r>
        <w:t xml:space="preserve">. </w:t>
      </w:r>
      <w:r w:rsidR="00A32378">
        <w:t xml:space="preserve">Immingham accounts for the majority of trade being handled by the two NEL ports.  Handling </w:t>
      </w:r>
      <w:r w:rsidR="00A578EB">
        <w:t>approximately</w:t>
      </w:r>
      <w:r w:rsidRPr="006321CA">
        <w:t xml:space="preserve"> 20 million tonnes of oil and 10 million tonnes of </w:t>
      </w:r>
      <w:r w:rsidR="00821471">
        <w:t xml:space="preserve">coal, </w:t>
      </w:r>
      <w:r w:rsidR="00A32378">
        <w:t>Immingham</w:t>
      </w:r>
      <w:r w:rsidR="00821471">
        <w:t xml:space="preserve"> also facilitates </w:t>
      </w:r>
      <w:r w:rsidR="005C4043">
        <w:t xml:space="preserve">significant </w:t>
      </w:r>
      <w:r w:rsidR="005C4043" w:rsidRPr="006321CA">
        <w:t>freight</w:t>
      </w:r>
      <w:r w:rsidRPr="006321CA">
        <w:t xml:space="preserve"> services including containers, </w:t>
      </w:r>
      <w:r w:rsidR="00577236">
        <w:t>ro-ro</w:t>
      </w:r>
      <w:r w:rsidR="00577236" w:rsidRPr="006321CA">
        <w:t xml:space="preserve"> </w:t>
      </w:r>
      <w:r w:rsidRPr="006321CA">
        <w:t>berths, forest products, general cargo, liquid bulks and steel.</w:t>
      </w:r>
    </w:p>
    <w:p w14:paraId="2719EF04" w14:textId="77777777" w:rsidR="00821471" w:rsidRDefault="0087408D" w:rsidP="00C93734">
      <w:pPr>
        <w:jc w:val="both"/>
      </w:pPr>
      <w:r w:rsidRPr="00821471">
        <w:rPr>
          <w:b/>
        </w:rPr>
        <w:t>Port</w:t>
      </w:r>
      <w:r w:rsidR="006321CA" w:rsidRPr="00821471">
        <w:rPr>
          <w:b/>
        </w:rPr>
        <w:t>s</w:t>
      </w:r>
      <w:r w:rsidRPr="00821471">
        <w:rPr>
          <w:b/>
        </w:rPr>
        <w:t xml:space="preserve"> of Hull</w:t>
      </w:r>
      <w:r w:rsidR="006321CA" w:rsidRPr="00821471">
        <w:rPr>
          <w:b/>
        </w:rPr>
        <w:t xml:space="preserve"> and Goole (outside of North East Lincolnshire</w:t>
      </w:r>
      <w:r w:rsidR="00281B18">
        <w:rPr>
          <w:b/>
        </w:rPr>
        <w:t>, on North Bank of Humber Estuary)</w:t>
      </w:r>
    </w:p>
    <w:p w14:paraId="28F338A9" w14:textId="77777777" w:rsidR="006321CA" w:rsidRPr="006321CA" w:rsidRDefault="00821471" w:rsidP="00C93734">
      <w:pPr>
        <w:jc w:val="both"/>
      </w:pPr>
      <w:r>
        <w:t>ABP also own the p</w:t>
      </w:r>
      <w:r w:rsidR="006321CA">
        <w:t>ort</w:t>
      </w:r>
      <w:r>
        <w:t>s</w:t>
      </w:r>
      <w:r w:rsidR="006321CA">
        <w:t xml:space="preserve"> of Hull and Goole</w:t>
      </w:r>
      <w:r w:rsidR="002F4896">
        <w:t>.</w:t>
      </w:r>
      <w:r>
        <w:t xml:space="preserve"> </w:t>
      </w:r>
      <w:r w:rsidR="002F4896">
        <w:t>The Hull facility</w:t>
      </w:r>
      <w:r>
        <w:t xml:space="preserve"> </w:t>
      </w:r>
      <w:r w:rsidR="002F4896">
        <w:t xml:space="preserve">will provide </w:t>
      </w:r>
      <w:r>
        <w:t>the site for the Hull Green Port project</w:t>
      </w:r>
      <w:r w:rsidR="002F4896">
        <w:t>,</w:t>
      </w:r>
      <w:r>
        <w:t xml:space="preserve"> </w:t>
      </w:r>
      <w:r w:rsidR="002F4896">
        <w:t>which will</w:t>
      </w:r>
      <w:r>
        <w:t xml:space="preserve"> </w:t>
      </w:r>
      <w:r w:rsidR="007D52CD">
        <w:t>accommodate</w:t>
      </w:r>
      <w:r w:rsidR="002F4896">
        <w:t xml:space="preserve"> a planned</w:t>
      </w:r>
      <w:r w:rsidR="007D52CD">
        <w:t xml:space="preserve"> </w:t>
      </w:r>
      <w:r w:rsidR="008430D5">
        <w:t>Siemen</w:t>
      </w:r>
      <w:r w:rsidR="006321CA" w:rsidRPr="006321CA">
        <w:t>s</w:t>
      </w:r>
      <w:r>
        <w:t xml:space="preserve"> </w:t>
      </w:r>
      <w:r w:rsidR="006321CA" w:rsidRPr="006321CA">
        <w:t xml:space="preserve">offshore wind turbine manufacturing and assembly </w:t>
      </w:r>
      <w:r>
        <w:t>facility</w:t>
      </w:r>
      <w:r w:rsidR="002F4896">
        <w:t>,</w:t>
      </w:r>
      <w:r>
        <w:t xml:space="preserve"> aimed primarily at serving</w:t>
      </w:r>
      <w:r w:rsidR="006321CA" w:rsidRPr="006321CA">
        <w:t xml:space="preserve"> </w:t>
      </w:r>
      <w:r>
        <w:t>the</w:t>
      </w:r>
      <w:r w:rsidR="006321CA" w:rsidRPr="006321CA">
        <w:t xml:space="preserve"> Round 3 offshore </w:t>
      </w:r>
      <w:r w:rsidR="00F81FCB">
        <w:t>windfarm</w:t>
      </w:r>
      <w:r w:rsidR="006321CA" w:rsidRPr="006321CA">
        <w:t xml:space="preserve">s. Hull is building </w:t>
      </w:r>
      <w:r>
        <w:t xml:space="preserve">on </w:t>
      </w:r>
      <w:r w:rsidR="00A32378">
        <w:t>its</w:t>
      </w:r>
      <w:r>
        <w:t xml:space="preserve"> strong market</w:t>
      </w:r>
      <w:r w:rsidR="006321CA" w:rsidRPr="006321CA">
        <w:t xml:space="preserve"> position in handling fore</w:t>
      </w:r>
      <w:r>
        <w:t xml:space="preserve">st products from Scandinavia and other </w:t>
      </w:r>
      <w:r w:rsidR="006321CA" w:rsidRPr="006321CA">
        <w:t>bulk commodities. Goole, the UK's most inland port, continues to support logistics through key distribution centres and proximity to Leeds, Sheffield, and Manchester.</w:t>
      </w:r>
      <w:r w:rsidR="006321CA">
        <w:t xml:space="preserve"> </w:t>
      </w:r>
    </w:p>
    <w:p w14:paraId="15D162D8" w14:textId="77777777" w:rsidR="00D27A14" w:rsidRDefault="0087408D" w:rsidP="00C93734">
      <w:pPr>
        <w:jc w:val="both"/>
      </w:pPr>
      <w:r w:rsidRPr="00D27A14">
        <w:rPr>
          <w:b/>
        </w:rPr>
        <w:t>ABLE Marine Energy Park</w:t>
      </w:r>
      <w:r w:rsidR="006321CA" w:rsidRPr="00D27A14">
        <w:rPr>
          <w:b/>
        </w:rPr>
        <w:t xml:space="preserve"> </w:t>
      </w:r>
      <w:r w:rsidR="00D27A14">
        <w:rPr>
          <w:b/>
        </w:rPr>
        <w:t>(</w:t>
      </w:r>
      <w:r w:rsidR="008430D5" w:rsidRPr="00D27A14">
        <w:rPr>
          <w:b/>
        </w:rPr>
        <w:t xml:space="preserve">North </w:t>
      </w:r>
      <w:r w:rsidR="003243EA" w:rsidRPr="00D27A14">
        <w:rPr>
          <w:b/>
        </w:rPr>
        <w:t>Lincolnshire</w:t>
      </w:r>
      <w:r w:rsidR="00D27A14">
        <w:t>)</w:t>
      </w:r>
      <w:r w:rsidR="006321CA">
        <w:t xml:space="preserve"> </w:t>
      </w:r>
    </w:p>
    <w:p w14:paraId="1CC9BBD5" w14:textId="77777777" w:rsidR="00A331B2" w:rsidRDefault="00D27A14" w:rsidP="00C93734">
      <w:pPr>
        <w:jc w:val="both"/>
      </w:pPr>
      <w:r>
        <w:t>When completed</w:t>
      </w:r>
      <w:r w:rsidR="006321CA">
        <w:t>, ABLE Marine</w:t>
      </w:r>
      <w:r>
        <w:t xml:space="preserve"> Energy Park (AMEP) will offer substantial multi-user facilities</w:t>
      </w:r>
      <w:r w:rsidR="006321CA" w:rsidRPr="00943859">
        <w:t xml:space="preserve"> for the manufacture, storage, assembly and deployment of next generation offshore wind turbines (OWTs) and their associated supply chain(s).</w:t>
      </w:r>
      <w:r w:rsidR="00943859" w:rsidRPr="00943859">
        <w:t xml:space="preserve"> </w:t>
      </w:r>
      <w:r w:rsidR="008430D5">
        <w:t xml:space="preserve">Recently approved, </w:t>
      </w:r>
      <w:r w:rsidR="00943859" w:rsidRPr="00943859">
        <w:t xml:space="preserve">AMEP </w:t>
      </w:r>
      <w:r w:rsidR="00943859">
        <w:t xml:space="preserve">is to be located on the </w:t>
      </w:r>
      <w:r w:rsidR="002F4896">
        <w:t>s</w:t>
      </w:r>
      <w:r w:rsidR="00943859">
        <w:t xml:space="preserve">outh </w:t>
      </w:r>
      <w:r w:rsidR="002F4896">
        <w:t>b</w:t>
      </w:r>
      <w:r w:rsidR="00943859">
        <w:t>ank of the Humber</w:t>
      </w:r>
      <w:r w:rsidR="002F4896">
        <w:t>,</w:t>
      </w:r>
      <w:r w:rsidR="00943859">
        <w:t xml:space="preserve"> adjacent to the Humber Sea Terminal. </w:t>
      </w:r>
      <w:r>
        <w:t>Along</w:t>
      </w:r>
      <w:r w:rsidR="00A331B2">
        <w:t>side</w:t>
      </w:r>
      <w:r>
        <w:t xml:space="preserve"> Hull Green Port, AMEP </w:t>
      </w:r>
      <w:r w:rsidR="00A331B2">
        <w:t xml:space="preserve">will </w:t>
      </w:r>
      <w:r w:rsidR="002F4896">
        <w:t xml:space="preserve">potentially contribute to </w:t>
      </w:r>
      <w:r w:rsidR="00A331B2">
        <w:t xml:space="preserve">the </w:t>
      </w:r>
      <w:r w:rsidR="002F4896">
        <w:t xml:space="preserve">development of the </w:t>
      </w:r>
      <w:r w:rsidR="00A331B2">
        <w:t>Humber</w:t>
      </w:r>
      <w:r>
        <w:t xml:space="preserve"> as </w:t>
      </w:r>
      <w:r w:rsidR="002F4896">
        <w:t>an</w:t>
      </w:r>
      <w:r w:rsidR="00A331B2">
        <w:t xml:space="preserve"> offshore renewable industry</w:t>
      </w:r>
      <w:r>
        <w:t xml:space="preserve"> cluster</w:t>
      </w:r>
      <w:r w:rsidR="002F4896">
        <w:t xml:space="preserve"> of global importance, as </w:t>
      </w:r>
      <w:r>
        <w:t>p</w:t>
      </w:r>
      <w:r w:rsidR="008430D5">
        <w:t>roximity</w:t>
      </w:r>
      <w:r w:rsidR="00943859" w:rsidRPr="00BA63E5">
        <w:t xml:space="preserve"> to</w:t>
      </w:r>
      <w:r w:rsidR="008430D5">
        <w:t xml:space="preserve"> the</w:t>
      </w:r>
      <w:r w:rsidR="00943859" w:rsidRPr="00BA63E5">
        <w:t xml:space="preserve"> North </w:t>
      </w:r>
      <w:r>
        <w:t xml:space="preserve">Sea </w:t>
      </w:r>
      <w:r w:rsidR="002F4896">
        <w:t>allows</w:t>
      </w:r>
      <w:r w:rsidR="00943859" w:rsidRPr="00BA63E5">
        <w:t xml:space="preserve"> </w:t>
      </w:r>
      <w:r w:rsidR="002F4896">
        <w:t xml:space="preserve">access to </w:t>
      </w:r>
      <w:r w:rsidR="00943859" w:rsidRPr="00BA63E5">
        <w:t>the largest offshore wind market in the world.</w:t>
      </w:r>
      <w:r w:rsidR="00943859">
        <w:t xml:space="preserve"> </w:t>
      </w:r>
      <w:r w:rsidR="00943859" w:rsidRPr="00BA63E5">
        <w:t xml:space="preserve">In conjunction with AMEP, the ABLE Logistics Park (ALP) </w:t>
      </w:r>
      <w:r w:rsidR="00A331B2">
        <w:t>is also planned</w:t>
      </w:r>
      <w:r w:rsidR="00943859" w:rsidRPr="00BA63E5">
        <w:t>. This site offers 1,</w:t>
      </w:r>
      <w:r w:rsidR="00A331B2">
        <w:t>230</w:t>
      </w:r>
      <w:r w:rsidR="00943859" w:rsidRPr="00BA63E5">
        <w:t xml:space="preserve"> acres</w:t>
      </w:r>
      <w:r w:rsidR="00A331B2">
        <w:t xml:space="preserve"> of waterside land</w:t>
      </w:r>
      <w:r w:rsidR="00943859" w:rsidRPr="00BA63E5">
        <w:t xml:space="preserve"> with full planning permission for the creation of extensive warehousing, external storage and transportation depots.</w:t>
      </w:r>
    </w:p>
    <w:p w14:paraId="0237992C" w14:textId="77777777" w:rsidR="005A4DF1" w:rsidRPr="003C31F0" w:rsidRDefault="003C31F0" w:rsidP="00C93734">
      <w:pPr>
        <w:jc w:val="both"/>
        <w:rPr>
          <w:b/>
        </w:rPr>
      </w:pPr>
      <w:r>
        <w:rPr>
          <w:b/>
        </w:rPr>
        <w:t>Humberside Airport</w:t>
      </w:r>
    </w:p>
    <w:p w14:paraId="29FBE8B4" w14:textId="77777777" w:rsidR="005A4DF1" w:rsidRPr="00BE3C3A" w:rsidRDefault="00A42092" w:rsidP="00C93734">
      <w:pPr>
        <w:jc w:val="both"/>
        <w:rPr>
          <w:rFonts w:cs="Arial"/>
        </w:rPr>
      </w:pPr>
      <w:r>
        <w:t>NEL</w:t>
      </w:r>
      <w:r w:rsidR="003C31F0">
        <w:t xml:space="preserve"> is located in close proximity to Humberside </w:t>
      </w:r>
      <w:r w:rsidR="005A4DF1">
        <w:t xml:space="preserve">Airport. </w:t>
      </w:r>
      <w:r w:rsidR="003C31F0">
        <w:t>Driven by the offshore market, t</w:t>
      </w:r>
      <w:r w:rsidR="005A4DF1">
        <w:t>he airport is</w:t>
      </w:r>
      <w:r w:rsidR="005A4DF1" w:rsidRPr="00DE55B9">
        <w:t xml:space="preserve"> the </w:t>
      </w:r>
      <w:r w:rsidR="005A4DF1">
        <w:t>largest in England for helicopter</w:t>
      </w:r>
      <w:r w:rsidR="005A4DF1" w:rsidRPr="00DE55B9">
        <w:t xml:space="preserve"> journeys</w:t>
      </w:r>
      <w:r w:rsidR="003C31F0">
        <w:t xml:space="preserve"> </w:t>
      </w:r>
      <w:r w:rsidR="005A4DF1" w:rsidRPr="00DE55B9">
        <w:t xml:space="preserve">and has three of the </w:t>
      </w:r>
      <w:r>
        <w:t>largest</w:t>
      </w:r>
      <w:r w:rsidRPr="00DE55B9">
        <w:t xml:space="preserve"> </w:t>
      </w:r>
      <w:r w:rsidR="005A4DF1" w:rsidRPr="00DE55B9">
        <w:t xml:space="preserve">UK </w:t>
      </w:r>
      <w:r>
        <w:rPr>
          <w:bCs/>
        </w:rPr>
        <w:t>h</w:t>
      </w:r>
      <w:r w:rsidRPr="00BE3C3A">
        <w:rPr>
          <w:bCs/>
        </w:rPr>
        <w:t>elicopter</w:t>
      </w:r>
      <w:r w:rsidRPr="00303794">
        <w:t xml:space="preserve"> </w:t>
      </w:r>
      <w:r w:rsidR="005A4DF1" w:rsidRPr="00DE55B9">
        <w:t xml:space="preserve">operators based at the airport. There are regular </w:t>
      </w:r>
      <w:r w:rsidR="003B3987">
        <w:t>scheduled flights to</w:t>
      </w:r>
      <w:r w:rsidR="005A4DF1" w:rsidRPr="00DE55B9">
        <w:t xml:space="preserve"> Aberdeen</w:t>
      </w:r>
      <w:r>
        <w:t xml:space="preserve"> and </w:t>
      </w:r>
      <w:r w:rsidR="005A4DF1" w:rsidRPr="00DE55B9">
        <w:t>Amsterdam</w:t>
      </w:r>
      <w:r>
        <w:t xml:space="preserve"> </w:t>
      </w:r>
      <w:r w:rsidR="005A4DF1" w:rsidRPr="00DE55B9">
        <w:t>Schiphol</w:t>
      </w:r>
      <w:r>
        <w:t>,</w:t>
      </w:r>
      <w:r w:rsidR="005A4DF1" w:rsidRPr="00DE55B9">
        <w:t xml:space="preserve"> </w:t>
      </w:r>
      <w:r w:rsidR="003C31F0">
        <w:t>with</w:t>
      </w:r>
      <w:r w:rsidR="005A4DF1" w:rsidRPr="00DE55B9">
        <w:t xml:space="preserve"> new </w:t>
      </w:r>
      <w:r w:rsidR="003B3987">
        <w:t xml:space="preserve">charter </w:t>
      </w:r>
      <w:r w:rsidR="005A4DF1" w:rsidRPr="00DE55B9">
        <w:t>services to other European destinations (</w:t>
      </w:r>
      <w:r w:rsidR="005A4DF1">
        <w:t>Scandinavia</w:t>
      </w:r>
      <w:r w:rsidR="005A4DF1" w:rsidRPr="00DE55B9">
        <w:t>)</w:t>
      </w:r>
      <w:r>
        <w:t>. The connectivity provided by the airport is</w:t>
      </w:r>
      <w:r w:rsidR="003219F8">
        <w:t xml:space="preserve"> important </w:t>
      </w:r>
      <w:r>
        <w:t xml:space="preserve">for </w:t>
      </w:r>
      <w:r w:rsidR="003219F8">
        <w:t>serving business associated with the renewables and other port-related sectors in the Humber sub</w:t>
      </w:r>
      <w:r>
        <w:t>-</w:t>
      </w:r>
      <w:r w:rsidR="003219F8">
        <w:t xml:space="preserve">region. </w:t>
      </w:r>
    </w:p>
    <w:p w14:paraId="401B1251" w14:textId="77777777" w:rsidR="008430D5" w:rsidRDefault="008430D5" w:rsidP="00C93734">
      <w:pPr>
        <w:spacing w:after="200" w:line="276" w:lineRule="auto"/>
        <w:jc w:val="both"/>
        <w:rPr>
          <w:b/>
          <w:bCs/>
          <w:noProof/>
          <w:szCs w:val="18"/>
          <w:lang w:eastAsia="en-GB"/>
        </w:rPr>
      </w:pPr>
      <w:bookmarkStart w:id="566" w:name="_Toc383159690"/>
      <w:r>
        <w:rPr>
          <w:noProof/>
          <w:lang w:eastAsia="en-GB"/>
        </w:rPr>
        <w:br w:type="page"/>
      </w:r>
    </w:p>
    <w:bookmarkEnd w:id="566"/>
    <w:p w14:paraId="699A7E7F" w14:textId="77777777" w:rsidR="00A24DE8" w:rsidRDefault="00A24DE8" w:rsidP="00C93734">
      <w:pPr>
        <w:pStyle w:val="Heading3"/>
        <w:jc w:val="both"/>
      </w:pPr>
      <w:r>
        <w:t>Sector Size</w:t>
      </w:r>
    </w:p>
    <w:p w14:paraId="66F3BC81" w14:textId="77777777" w:rsidR="00A24DE8" w:rsidRDefault="003219F8" w:rsidP="00C93734">
      <w:pPr>
        <w:jc w:val="both"/>
        <w:rPr>
          <w:rFonts w:cs="Arial"/>
        </w:rPr>
      </w:pPr>
      <w:r>
        <w:rPr>
          <w:rFonts w:cs="Arial"/>
        </w:rPr>
        <w:t xml:space="preserve">Based on IDBR data, </w:t>
      </w:r>
      <w:r w:rsidR="00A24DE8">
        <w:rPr>
          <w:rFonts w:cs="Arial"/>
        </w:rPr>
        <w:t xml:space="preserve">the </w:t>
      </w:r>
      <w:r>
        <w:rPr>
          <w:rFonts w:cs="Arial"/>
        </w:rPr>
        <w:t xml:space="preserve">port and logistics </w:t>
      </w:r>
      <w:r w:rsidR="00A24DE8">
        <w:rPr>
          <w:rFonts w:cs="Arial"/>
        </w:rPr>
        <w:t xml:space="preserve">sector </w:t>
      </w:r>
      <w:r w:rsidR="007075FE">
        <w:rPr>
          <w:rFonts w:cs="Arial"/>
        </w:rPr>
        <w:t>in</w:t>
      </w:r>
      <w:r>
        <w:rPr>
          <w:rFonts w:cs="Arial"/>
        </w:rPr>
        <w:t xml:space="preserve"> NEL </w:t>
      </w:r>
      <w:r w:rsidR="00C10D29">
        <w:rPr>
          <w:rFonts w:cs="Arial"/>
        </w:rPr>
        <w:t>comprises approximately</w:t>
      </w:r>
      <w:r w:rsidR="00A24DE8">
        <w:rPr>
          <w:rFonts w:cs="Arial"/>
        </w:rPr>
        <w:t xml:space="preserve"> 230 firms employing almost 5</w:t>
      </w:r>
      <w:r>
        <w:rPr>
          <w:rFonts w:cs="Arial"/>
        </w:rPr>
        <w:t xml:space="preserve">,000 people (around 5% of NEL’s total </w:t>
      </w:r>
      <w:r w:rsidR="00A24DE8">
        <w:rPr>
          <w:rFonts w:cs="Arial"/>
        </w:rPr>
        <w:t>labour market).</w:t>
      </w:r>
      <w:r w:rsidR="00B34F79">
        <w:rPr>
          <w:rFonts w:cs="Arial"/>
        </w:rPr>
        <w:t xml:space="preserve"> </w:t>
      </w:r>
      <w:r w:rsidR="005004EB">
        <w:rPr>
          <w:rFonts w:cs="Arial"/>
        </w:rPr>
        <w:t xml:space="preserve">Whilst there are some </w:t>
      </w:r>
      <w:r>
        <w:rPr>
          <w:rFonts w:cs="Arial"/>
        </w:rPr>
        <w:t xml:space="preserve">large employers, the </w:t>
      </w:r>
      <w:r w:rsidR="00E71A5B">
        <w:rPr>
          <w:rFonts w:cs="Arial"/>
        </w:rPr>
        <w:t xml:space="preserve">sector </w:t>
      </w:r>
      <w:r w:rsidR="00DD793A">
        <w:rPr>
          <w:rFonts w:cs="Arial"/>
        </w:rPr>
        <w:t>still has a high</w:t>
      </w:r>
      <w:r w:rsidR="00E71A5B">
        <w:rPr>
          <w:rFonts w:cs="Arial"/>
        </w:rPr>
        <w:t xml:space="preserve"> proportion of businesses which </w:t>
      </w:r>
      <w:r>
        <w:rPr>
          <w:rFonts w:cs="Arial"/>
        </w:rPr>
        <w:t>employ less than</w:t>
      </w:r>
      <w:r w:rsidR="0094173C">
        <w:rPr>
          <w:rFonts w:cs="Arial"/>
        </w:rPr>
        <w:t xml:space="preserve"> </w:t>
      </w:r>
      <w:r w:rsidR="007D52CD">
        <w:rPr>
          <w:rFonts w:cs="Arial"/>
        </w:rPr>
        <w:t>20 workers</w:t>
      </w:r>
      <w:r w:rsidR="0094173C">
        <w:rPr>
          <w:rFonts w:cs="Arial"/>
        </w:rPr>
        <w:t xml:space="preserve"> (77</w:t>
      </w:r>
      <w:r>
        <w:rPr>
          <w:rFonts w:cs="Arial"/>
        </w:rPr>
        <w:t>%</w:t>
      </w:r>
      <w:r w:rsidR="00F25094">
        <w:rPr>
          <w:rFonts w:cs="Arial"/>
        </w:rPr>
        <w:t>)</w:t>
      </w:r>
      <w:r w:rsidR="00DD793A">
        <w:rPr>
          <w:rFonts w:cs="Arial"/>
        </w:rPr>
        <w:t xml:space="preserve">. </w:t>
      </w:r>
      <w:r w:rsidR="0094173C">
        <w:rPr>
          <w:rFonts w:cs="Arial"/>
        </w:rPr>
        <w:t xml:space="preserve"> Many of these small businesses will be providing vital support services to port and transport operations including haulage, storage</w:t>
      </w:r>
      <w:r w:rsidR="005B2A05">
        <w:rPr>
          <w:rFonts w:cs="Arial"/>
        </w:rPr>
        <w:t xml:space="preserve">, cargo handling, shipping services and stevedoring. </w:t>
      </w:r>
    </w:p>
    <w:p w14:paraId="2F93900F" w14:textId="77777777" w:rsidR="00F25094" w:rsidRDefault="00F25094" w:rsidP="00C93734">
      <w:pPr>
        <w:pStyle w:val="Caption"/>
        <w:jc w:val="both"/>
      </w:pPr>
      <w:bookmarkStart w:id="567" w:name="_Toc383159691"/>
      <w:r>
        <w:t xml:space="preserve">Table </w:t>
      </w:r>
      <w:fldSimple w:instr=" STYLEREF 1 \s  \* MERGEFORMAT ">
        <w:r w:rsidR="00E95E1A">
          <w:rPr>
            <w:noProof/>
          </w:rPr>
          <w:t>4</w:t>
        </w:r>
      </w:fldSimple>
      <w:r>
        <w:t>-</w:t>
      </w:r>
      <w:fldSimple w:instr=" SEQ Table \* ARABIC \s 1  \* MERGEFORMAT ">
        <w:r w:rsidR="00E95E1A">
          <w:rPr>
            <w:noProof/>
          </w:rPr>
          <w:t>1</w:t>
        </w:r>
      </w:fldSimple>
      <w:r>
        <w:tab/>
      </w:r>
      <w:r w:rsidR="00DD793A">
        <w:t xml:space="preserve">% of </w:t>
      </w:r>
      <w:r>
        <w:t xml:space="preserve">Firms by Employment Size </w:t>
      </w:r>
      <w:r w:rsidR="009405CE">
        <w:t>B</w:t>
      </w:r>
      <w:r>
        <w:t>and</w:t>
      </w:r>
      <w:bookmarkEnd w:id="567"/>
    </w:p>
    <w:tbl>
      <w:tblPr>
        <w:tblStyle w:val="Atkins14pt"/>
        <w:tblW w:w="9781" w:type="dxa"/>
        <w:tblLayout w:type="fixed"/>
        <w:tblLook w:val="04A0" w:firstRow="1" w:lastRow="0" w:firstColumn="1" w:lastColumn="0" w:noHBand="0" w:noVBand="1"/>
      </w:tblPr>
      <w:tblGrid>
        <w:gridCol w:w="1560"/>
        <w:gridCol w:w="1055"/>
        <w:gridCol w:w="1056"/>
        <w:gridCol w:w="1055"/>
        <w:gridCol w:w="1056"/>
        <w:gridCol w:w="1055"/>
        <w:gridCol w:w="1056"/>
        <w:gridCol w:w="1055"/>
        <w:gridCol w:w="833"/>
      </w:tblGrid>
      <w:tr w:rsidR="00F25094" w:rsidRPr="00F25094" w14:paraId="0F3C48D4" w14:textId="77777777" w:rsidTr="005A0F99">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560" w:type="dxa"/>
            <w:noWrap/>
            <w:hideMark/>
          </w:tcPr>
          <w:p w14:paraId="4B0A5834" w14:textId="77777777" w:rsidR="00F25094" w:rsidRPr="001D3CC8" w:rsidRDefault="00F25094" w:rsidP="00C93734">
            <w:pPr>
              <w:spacing w:after="0"/>
              <w:jc w:val="both"/>
              <w:rPr>
                <w:rFonts w:eastAsia="Times New Roman"/>
                <w:color w:val="000000"/>
              </w:rPr>
            </w:pPr>
            <w:r w:rsidRPr="001D3CC8">
              <w:rPr>
                <w:rFonts w:eastAsia="Times New Roman"/>
                <w:color w:val="000000"/>
              </w:rPr>
              <w:t>Size</w:t>
            </w:r>
          </w:p>
        </w:tc>
        <w:tc>
          <w:tcPr>
            <w:tcW w:w="1055" w:type="dxa"/>
            <w:noWrap/>
            <w:hideMark/>
          </w:tcPr>
          <w:p w14:paraId="66E6AB0A" w14:textId="77777777" w:rsidR="00F25094" w:rsidRPr="001D3CC8" w:rsidRDefault="00F25094"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1D3CC8">
              <w:rPr>
                <w:rFonts w:eastAsia="Times New Roman"/>
                <w:color w:val="000000"/>
              </w:rPr>
              <w:t>a. 0-10</w:t>
            </w:r>
          </w:p>
        </w:tc>
        <w:tc>
          <w:tcPr>
            <w:tcW w:w="1056" w:type="dxa"/>
            <w:noWrap/>
            <w:hideMark/>
          </w:tcPr>
          <w:p w14:paraId="3A3C8AE8" w14:textId="77777777" w:rsidR="00F25094" w:rsidRPr="001D3CC8" w:rsidRDefault="00F25094"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1D3CC8">
              <w:rPr>
                <w:rFonts w:eastAsia="Times New Roman"/>
                <w:color w:val="000000"/>
              </w:rPr>
              <w:t>b. 11-20</w:t>
            </w:r>
          </w:p>
        </w:tc>
        <w:tc>
          <w:tcPr>
            <w:tcW w:w="1055" w:type="dxa"/>
            <w:noWrap/>
            <w:hideMark/>
          </w:tcPr>
          <w:p w14:paraId="3FA9ABD1" w14:textId="77777777" w:rsidR="00F25094" w:rsidRPr="001D3CC8" w:rsidRDefault="00F25094"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1D3CC8">
              <w:rPr>
                <w:rFonts w:eastAsia="Times New Roman"/>
                <w:color w:val="000000"/>
              </w:rPr>
              <w:t>c. 21-50</w:t>
            </w:r>
          </w:p>
        </w:tc>
        <w:tc>
          <w:tcPr>
            <w:tcW w:w="1056" w:type="dxa"/>
            <w:noWrap/>
            <w:hideMark/>
          </w:tcPr>
          <w:p w14:paraId="6B3139FB" w14:textId="77777777" w:rsidR="00F25094" w:rsidRPr="001D3CC8" w:rsidRDefault="00F25094"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1D3CC8">
              <w:rPr>
                <w:rFonts w:eastAsia="Times New Roman"/>
                <w:color w:val="000000"/>
              </w:rPr>
              <w:t>e. 51-100</w:t>
            </w:r>
          </w:p>
        </w:tc>
        <w:tc>
          <w:tcPr>
            <w:tcW w:w="1055" w:type="dxa"/>
            <w:noWrap/>
            <w:hideMark/>
          </w:tcPr>
          <w:p w14:paraId="5A8A2FD8" w14:textId="77777777" w:rsidR="00F25094" w:rsidRPr="001D3CC8" w:rsidRDefault="00F25094"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1D3CC8">
              <w:rPr>
                <w:rFonts w:eastAsia="Times New Roman"/>
                <w:color w:val="000000"/>
              </w:rPr>
              <w:t>f. 101-250</w:t>
            </w:r>
          </w:p>
        </w:tc>
        <w:tc>
          <w:tcPr>
            <w:tcW w:w="1056" w:type="dxa"/>
            <w:noWrap/>
            <w:hideMark/>
          </w:tcPr>
          <w:p w14:paraId="025A4D69" w14:textId="77777777" w:rsidR="00F25094" w:rsidRPr="001D3CC8" w:rsidRDefault="00F25094"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1D3CC8">
              <w:rPr>
                <w:rFonts w:eastAsia="Times New Roman"/>
                <w:color w:val="000000"/>
              </w:rPr>
              <w:t>g. 250-500</w:t>
            </w:r>
          </w:p>
        </w:tc>
        <w:tc>
          <w:tcPr>
            <w:tcW w:w="1055" w:type="dxa"/>
            <w:noWrap/>
            <w:hideMark/>
          </w:tcPr>
          <w:p w14:paraId="5D5863C0" w14:textId="77777777" w:rsidR="00F25094" w:rsidRPr="001D3CC8" w:rsidRDefault="00F25094"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1D3CC8">
              <w:rPr>
                <w:rFonts w:eastAsia="Times New Roman"/>
                <w:color w:val="000000"/>
              </w:rPr>
              <w:t>h. 500+</w:t>
            </w:r>
          </w:p>
        </w:tc>
        <w:tc>
          <w:tcPr>
            <w:tcW w:w="833" w:type="dxa"/>
            <w:noWrap/>
            <w:hideMark/>
          </w:tcPr>
          <w:p w14:paraId="22F795D8" w14:textId="77777777" w:rsidR="00F25094" w:rsidRPr="001D3CC8" w:rsidRDefault="00F25094"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1D3CC8">
              <w:rPr>
                <w:rFonts w:eastAsia="Times New Roman"/>
                <w:color w:val="000000"/>
              </w:rPr>
              <w:t>Total</w:t>
            </w:r>
          </w:p>
        </w:tc>
      </w:tr>
      <w:tr w:rsidR="00E5137A" w:rsidRPr="00F25094" w14:paraId="34F16BE4" w14:textId="77777777" w:rsidTr="00E5137A">
        <w:trPr>
          <w:trHeight w:val="321"/>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6C299D3" w14:textId="77777777" w:rsidR="00E5137A" w:rsidRPr="001D3CC8" w:rsidRDefault="00E5137A" w:rsidP="00C93734">
            <w:pPr>
              <w:spacing w:after="0"/>
              <w:jc w:val="both"/>
              <w:rPr>
                <w:rFonts w:eastAsia="Times New Roman"/>
                <w:color w:val="000000"/>
              </w:rPr>
            </w:pPr>
            <w:r w:rsidRPr="001D3CC8">
              <w:rPr>
                <w:rFonts w:eastAsia="Times New Roman"/>
                <w:color w:val="000000"/>
              </w:rPr>
              <w:t>Port &amp; Logistics</w:t>
            </w:r>
          </w:p>
        </w:tc>
        <w:tc>
          <w:tcPr>
            <w:tcW w:w="1055" w:type="dxa"/>
            <w:noWrap/>
            <w:vAlign w:val="bottom"/>
            <w:hideMark/>
          </w:tcPr>
          <w:p w14:paraId="4293FEF5" w14:textId="77777777" w:rsidR="00E5137A" w:rsidRPr="001D3CC8" w:rsidRDefault="002C1B79" w:rsidP="00C93734">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62.6</w:t>
            </w:r>
            <w:r w:rsidR="00E5137A" w:rsidRPr="001D3CC8">
              <w:rPr>
                <w:color w:val="000000"/>
              </w:rPr>
              <w:t>%</w:t>
            </w:r>
          </w:p>
        </w:tc>
        <w:tc>
          <w:tcPr>
            <w:tcW w:w="1056" w:type="dxa"/>
            <w:noWrap/>
            <w:vAlign w:val="bottom"/>
            <w:hideMark/>
          </w:tcPr>
          <w:p w14:paraId="42A8C589" w14:textId="77777777" w:rsidR="00E5137A" w:rsidRPr="001D3CC8" w:rsidRDefault="00E5137A"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D3CC8">
              <w:rPr>
                <w:color w:val="000000"/>
              </w:rPr>
              <w:t>15.2%</w:t>
            </w:r>
          </w:p>
        </w:tc>
        <w:tc>
          <w:tcPr>
            <w:tcW w:w="1055" w:type="dxa"/>
            <w:noWrap/>
            <w:vAlign w:val="bottom"/>
            <w:hideMark/>
          </w:tcPr>
          <w:p w14:paraId="5FAEEC03" w14:textId="77777777" w:rsidR="00E5137A" w:rsidRPr="001D3CC8" w:rsidRDefault="002C1B79" w:rsidP="00C93734">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12.2</w:t>
            </w:r>
            <w:r w:rsidR="00E5137A" w:rsidRPr="001D3CC8">
              <w:rPr>
                <w:color w:val="000000"/>
              </w:rPr>
              <w:t>%</w:t>
            </w:r>
          </w:p>
        </w:tc>
        <w:tc>
          <w:tcPr>
            <w:tcW w:w="1056" w:type="dxa"/>
            <w:noWrap/>
            <w:vAlign w:val="bottom"/>
            <w:hideMark/>
          </w:tcPr>
          <w:p w14:paraId="54A127B9" w14:textId="77777777" w:rsidR="00E5137A" w:rsidRPr="001D3CC8" w:rsidRDefault="002C1B79" w:rsidP="00C93734">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5.2</w:t>
            </w:r>
            <w:r w:rsidR="00E5137A" w:rsidRPr="001D3CC8">
              <w:rPr>
                <w:color w:val="000000"/>
              </w:rPr>
              <w:t>%</w:t>
            </w:r>
          </w:p>
        </w:tc>
        <w:tc>
          <w:tcPr>
            <w:tcW w:w="1055" w:type="dxa"/>
            <w:noWrap/>
            <w:vAlign w:val="bottom"/>
            <w:hideMark/>
          </w:tcPr>
          <w:p w14:paraId="457DCEFB" w14:textId="77777777" w:rsidR="00E5137A" w:rsidRPr="001D3CC8" w:rsidRDefault="002C1B79" w:rsidP="00C93734">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3.9</w:t>
            </w:r>
            <w:r w:rsidR="00E5137A" w:rsidRPr="001D3CC8">
              <w:rPr>
                <w:color w:val="000000"/>
              </w:rPr>
              <w:t>%</w:t>
            </w:r>
          </w:p>
        </w:tc>
        <w:tc>
          <w:tcPr>
            <w:tcW w:w="1056" w:type="dxa"/>
            <w:noWrap/>
            <w:vAlign w:val="bottom"/>
            <w:hideMark/>
          </w:tcPr>
          <w:p w14:paraId="067A46CF" w14:textId="77777777" w:rsidR="00E5137A" w:rsidRPr="001D3CC8" w:rsidRDefault="00E5137A"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D3CC8">
              <w:rPr>
                <w:color w:val="000000"/>
              </w:rPr>
              <w:t>0.4%</w:t>
            </w:r>
          </w:p>
        </w:tc>
        <w:tc>
          <w:tcPr>
            <w:tcW w:w="1055" w:type="dxa"/>
            <w:noWrap/>
            <w:vAlign w:val="bottom"/>
            <w:hideMark/>
          </w:tcPr>
          <w:p w14:paraId="1BFB1B97" w14:textId="77777777" w:rsidR="00E5137A" w:rsidRPr="001D3CC8" w:rsidRDefault="00E5137A"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D3CC8">
              <w:rPr>
                <w:color w:val="000000"/>
              </w:rPr>
              <w:t>0.4%</w:t>
            </w:r>
          </w:p>
        </w:tc>
        <w:tc>
          <w:tcPr>
            <w:tcW w:w="833" w:type="dxa"/>
            <w:noWrap/>
            <w:vAlign w:val="bottom"/>
            <w:hideMark/>
          </w:tcPr>
          <w:p w14:paraId="0B5E1FAA" w14:textId="77777777" w:rsidR="00E5137A" w:rsidRPr="001D3CC8" w:rsidRDefault="00E5137A"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D3CC8">
              <w:rPr>
                <w:color w:val="000000"/>
              </w:rPr>
              <w:t>100%</w:t>
            </w:r>
          </w:p>
        </w:tc>
      </w:tr>
      <w:tr w:rsidR="00DD793A" w:rsidRPr="00F25094" w14:paraId="6733FCF5" w14:textId="77777777" w:rsidTr="00364F4A">
        <w:trPr>
          <w:trHeight w:val="30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CC4C6F9" w14:textId="77777777" w:rsidR="00DD793A" w:rsidRPr="001D3CC8" w:rsidRDefault="00364F4A" w:rsidP="00C93734">
            <w:pPr>
              <w:spacing w:after="0"/>
              <w:jc w:val="both"/>
              <w:rPr>
                <w:rFonts w:eastAsia="Times New Roman"/>
                <w:color w:val="000000"/>
              </w:rPr>
            </w:pPr>
            <w:r w:rsidRPr="001D3CC8">
              <w:rPr>
                <w:rFonts w:eastAsia="Times New Roman"/>
                <w:color w:val="000000"/>
              </w:rPr>
              <w:t>NEL Economy</w:t>
            </w:r>
          </w:p>
        </w:tc>
        <w:tc>
          <w:tcPr>
            <w:tcW w:w="1055" w:type="dxa"/>
            <w:noWrap/>
            <w:vAlign w:val="bottom"/>
            <w:hideMark/>
          </w:tcPr>
          <w:p w14:paraId="1411FA54" w14:textId="77777777" w:rsidR="00DD793A" w:rsidRPr="001D3CC8" w:rsidRDefault="00DD793A"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D3CC8">
              <w:rPr>
                <w:color w:val="000000"/>
              </w:rPr>
              <w:t>76.4%</w:t>
            </w:r>
          </w:p>
        </w:tc>
        <w:tc>
          <w:tcPr>
            <w:tcW w:w="1056" w:type="dxa"/>
            <w:noWrap/>
            <w:vAlign w:val="bottom"/>
            <w:hideMark/>
          </w:tcPr>
          <w:p w14:paraId="10BD2104" w14:textId="77777777" w:rsidR="00DD793A" w:rsidRPr="001D3CC8" w:rsidRDefault="00DD793A"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D3CC8">
              <w:rPr>
                <w:color w:val="000000"/>
              </w:rPr>
              <w:t>10.2%</w:t>
            </w:r>
          </w:p>
        </w:tc>
        <w:tc>
          <w:tcPr>
            <w:tcW w:w="1055" w:type="dxa"/>
            <w:noWrap/>
            <w:vAlign w:val="bottom"/>
            <w:hideMark/>
          </w:tcPr>
          <w:p w14:paraId="42A84848" w14:textId="77777777" w:rsidR="00DD793A" w:rsidRPr="001D3CC8" w:rsidRDefault="00DD793A"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D3CC8">
              <w:rPr>
                <w:color w:val="000000"/>
              </w:rPr>
              <w:t>8.4%</w:t>
            </w:r>
          </w:p>
        </w:tc>
        <w:tc>
          <w:tcPr>
            <w:tcW w:w="1056" w:type="dxa"/>
            <w:noWrap/>
            <w:vAlign w:val="bottom"/>
            <w:hideMark/>
          </w:tcPr>
          <w:p w14:paraId="4CE9C3FA" w14:textId="77777777" w:rsidR="00DD793A" w:rsidRPr="001D3CC8" w:rsidRDefault="00DD793A"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D3CC8">
              <w:rPr>
                <w:color w:val="000000"/>
              </w:rPr>
              <w:t>2.8%</w:t>
            </w:r>
          </w:p>
        </w:tc>
        <w:tc>
          <w:tcPr>
            <w:tcW w:w="1055" w:type="dxa"/>
            <w:noWrap/>
            <w:vAlign w:val="bottom"/>
            <w:hideMark/>
          </w:tcPr>
          <w:p w14:paraId="3F103526" w14:textId="77777777" w:rsidR="00DD793A" w:rsidRPr="001D3CC8" w:rsidRDefault="00DD793A"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D3CC8">
              <w:rPr>
                <w:color w:val="000000"/>
              </w:rPr>
              <w:t>1.5%</w:t>
            </w:r>
          </w:p>
        </w:tc>
        <w:tc>
          <w:tcPr>
            <w:tcW w:w="1056" w:type="dxa"/>
            <w:noWrap/>
            <w:vAlign w:val="bottom"/>
            <w:hideMark/>
          </w:tcPr>
          <w:p w14:paraId="6BD3B8C9" w14:textId="77777777" w:rsidR="00DD793A" w:rsidRPr="001D3CC8" w:rsidRDefault="00DD793A"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D3CC8">
              <w:rPr>
                <w:color w:val="000000"/>
              </w:rPr>
              <w:t>0.6%</w:t>
            </w:r>
          </w:p>
        </w:tc>
        <w:tc>
          <w:tcPr>
            <w:tcW w:w="1055" w:type="dxa"/>
            <w:noWrap/>
            <w:vAlign w:val="bottom"/>
            <w:hideMark/>
          </w:tcPr>
          <w:p w14:paraId="3464E9E3" w14:textId="77777777" w:rsidR="00DD793A" w:rsidRPr="001D3CC8" w:rsidRDefault="00DD793A"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D3CC8">
              <w:rPr>
                <w:color w:val="000000"/>
              </w:rPr>
              <w:t>0.2%</w:t>
            </w:r>
          </w:p>
        </w:tc>
        <w:tc>
          <w:tcPr>
            <w:tcW w:w="833" w:type="dxa"/>
            <w:noWrap/>
            <w:vAlign w:val="bottom"/>
            <w:hideMark/>
          </w:tcPr>
          <w:p w14:paraId="1E6D6E7A" w14:textId="77777777" w:rsidR="00DD793A" w:rsidRPr="001D3CC8" w:rsidRDefault="00DD793A"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D3CC8">
              <w:rPr>
                <w:color w:val="000000"/>
              </w:rPr>
              <w:t>100%</w:t>
            </w:r>
          </w:p>
        </w:tc>
      </w:tr>
    </w:tbl>
    <w:p w14:paraId="507C3D83" w14:textId="77777777" w:rsidR="00364F4A" w:rsidRDefault="009405CE" w:rsidP="009405CE">
      <w:pPr>
        <w:pStyle w:val="TableSource"/>
      </w:pPr>
      <w:r>
        <w:t xml:space="preserve"> Source: IDBR </w:t>
      </w:r>
      <w:r w:rsidR="00F25094">
        <w:t>20</w:t>
      </w:r>
      <w:r>
        <w:t>13</w:t>
      </w:r>
      <w:r w:rsidR="00364F4A" w:rsidRPr="00364F4A">
        <w:t xml:space="preserve"> </w:t>
      </w:r>
    </w:p>
    <w:p w14:paraId="4950A3C1" w14:textId="77777777" w:rsidR="00E02AFC" w:rsidRPr="004A7709" w:rsidRDefault="00E02AFC" w:rsidP="00C93734">
      <w:pPr>
        <w:pStyle w:val="Heading3"/>
        <w:jc w:val="both"/>
      </w:pPr>
      <w:r>
        <w:t xml:space="preserve">Sector profile </w:t>
      </w:r>
    </w:p>
    <w:p w14:paraId="35A702CC" w14:textId="77777777" w:rsidR="00C16FE9" w:rsidRDefault="00C16FE9" w:rsidP="00C93734">
      <w:pPr>
        <w:jc w:val="both"/>
        <w:rPr>
          <w:rFonts w:cs="Arial"/>
        </w:rPr>
      </w:pPr>
      <w:r>
        <w:rPr>
          <w:rFonts w:cs="Arial"/>
        </w:rPr>
        <w:t>Our statistically significant</w:t>
      </w:r>
      <w:r w:rsidR="00B34F79">
        <w:rPr>
          <w:rFonts w:cs="Arial"/>
        </w:rPr>
        <w:t xml:space="preserve"> empirical</w:t>
      </w:r>
      <w:r w:rsidR="00F5463F">
        <w:rPr>
          <w:rFonts w:cs="Arial"/>
        </w:rPr>
        <w:t xml:space="preserve"> survey of </w:t>
      </w:r>
      <w:r>
        <w:rPr>
          <w:rFonts w:cs="Arial"/>
        </w:rPr>
        <w:t>established bu</w:t>
      </w:r>
      <w:r w:rsidR="0094173C">
        <w:rPr>
          <w:rFonts w:cs="Arial"/>
        </w:rPr>
        <w:t>sinesses in the area provides a</w:t>
      </w:r>
      <w:r w:rsidR="00A42092">
        <w:rPr>
          <w:rFonts w:cs="Arial"/>
        </w:rPr>
        <w:t xml:space="preserve"> direct </w:t>
      </w:r>
      <w:r w:rsidR="0094173C">
        <w:rPr>
          <w:rFonts w:cs="Arial"/>
        </w:rPr>
        <w:t xml:space="preserve">empirical </w:t>
      </w:r>
      <w:r>
        <w:rPr>
          <w:rFonts w:cs="Arial"/>
        </w:rPr>
        <w:t xml:space="preserve">insight into the </w:t>
      </w:r>
      <w:r w:rsidR="00A42092">
        <w:rPr>
          <w:rFonts w:cs="Arial"/>
        </w:rPr>
        <w:t xml:space="preserve">characteristics </w:t>
      </w:r>
      <w:r>
        <w:rPr>
          <w:rFonts w:cs="Arial"/>
        </w:rPr>
        <w:t xml:space="preserve">of the local </w:t>
      </w:r>
      <w:r w:rsidR="00A42092">
        <w:rPr>
          <w:rFonts w:cs="Arial"/>
        </w:rPr>
        <w:t>economy</w:t>
      </w:r>
      <w:r>
        <w:rPr>
          <w:rFonts w:cs="Arial"/>
        </w:rPr>
        <w:t>.  The following provides a summary of findings from the business survey for the sector with full details being presented in Appendix B.</w:t>
      </w:r>
    </w:p>
    <w:p w14:paraId="63232439" w14:textId="77777777" w:rsidR="00F5463F" w:rsidRPr="00F103FE" w:rsidRDefault="00F5463F" w:rsidP="00C93734">
      <w:pPr>
        <w:jc w:val="both"/>
        <w:rPr>
          <w:rFonts w:cs="Arial"/>
          <w:b/>
        </w:rPr>
      </w:pPr>
      <w:r w:rsidRPr="00F103FE">
        <w:rPr>
          <w:rFonts w:cs="Arial"/>
          <w:b/>
        </w:rPr>
        <w:t>Output</w:t>
      </w:r>
    </w:p>
    <w:p w14:paraId="56318FEC" w14:textId="77777777" w:rsidR="00E6140A" w:rsidRPr="007D52CD" w:rsidRDefault="00FE641D" w:rsidP="00C93734">
      <w:pPr>
        <w:jc w:val="both"/>
        <w:rPr>
          <w:b/>
          <w:bCs/>
          <w:szCs w:val="18"/>
        </w:rPr>
      </w:pPr>
      <w:r>
        <w:rPr>
          <w:rFonts w:cs="Arial"/>
        </w:rPr>
        <w:t>Results from our sample survey indicates that t</w:t>
      </w:r>
      <w:r w:rsidR="00F5463F">
        <w:rPr>
          <w:rFonts w:cs="Arial"/>
        </w:rPr>
        <w:t xml:space="preserve">he </w:t>
      </w:r>
      <w:r w:rsidR="005C4043">
        <w:rPr>
          <w:rFonts w:cs="Arial"/>
        </w:rPr>
        <w:t>port and logistics</w:t>
      </w:r>
      <w:r w:rsidR="004A52C7">
        <w:rPr>
          <w:rFonts w:cs="Arial"/>
        </w:rPr>
        <w:t xml:space="preserve"> sector contributes</w:t>
      </w:r>
      <w:r>
        <w:rPr>
          <w:rFonts w:cs="Arial"/>
        </w:rPr>
        <w:t xml:space="preserve"> approximately £</w:t>
      </w:r>
      <w:r w:rsidR="008D65D4">
        <w:rPr>
          <w:rFonts w:cs="Arial"/>
        </w:rPr>
        <w:t xml:space="preserve">632 </w:t>
      </w:r>
      <w:r w:rsidR="008D65D4" w:rsidRPr="007D52CD">
        <w:rPr>
          <w:rFonts w:cs="Arial"/>
        </w:rPr>
        <w:t>million</w:t>
      </w:r>
      <w:r w:rsidRPr="007D52CD">
        <w:rPr>
          <w:rFonts w:cs="Arial"/>
        </w:rPr>
        <w:t xml:space="preserve"> to the local</w:t>
      </w:r>
      <w:r w:rsidR="003F4677" w:rsidRPr="007D52CD">
        <w:rPr>
          <w:rFonts w:cs="Arial"/>
        </w:rPr>
        <w:t xml:space="preserve"> economy</w:t>
      </w:r>
      <w:r w:rsidRPr="007D52CD">
        <w:rPr>
          <w:rFonts w:cs="Arial"/>
        </w:rPr>
        <w:t xml:space="preserve">, </w:t>
      </w:r>
      <w:r w:rsidR="003F4677" w:rsidRPr="007D52CD">
        <w:rPr>
          <w:rFonts w:cs="Arial"/>
        </w:rPr>
        <w:t xml:space="preserve">equivalent to approximately </w:t>
      </w:r>
      <w:r w:rsidR="005B2A05" w:rsidRPr="007D52CD">
        <w:rPr>
          <w:rFonts w:cs="Arial"/>
        </w:rPr>
        <w:t>21</w:t>
      </w:r>
      <w:r w:rsidR="00F5463F" w:rsidRPr="007D52CD">
        <w:rPr>
          <w:rFonts w:cs="Arial"/>
        </w:rPr>
        <w:t xml:space="preserve">% of </w:t>
      </w:r>
      <w:r w:rsidR="004A52C7" w:rsidRPr="007D52CD">
        <w:rPr>
          <w:rFonts w:cs="Arial"/>
        </w:rPr>
        <w:t xml:space="preserve">total </w:t>
      </w:r>
      <w:r w:rsidR="005C4043">
        <w:rPr>
          <w:rFonts w:cs="Arial"/>
        </w:rPr>
        <w:t>NEL</w:t>
      </w:r>
      <w:r w:rsidR="00347DF8" w:rsidRPr="00347DF8">
        <w:rPr>
          <w:rFonts w:cs="Arial"/>
        </w:rPr>
        <w:t xml:space="preserve"> GDP</w:t>
      </w:r>
      <w:r w:rsidR="00C10D29">
        <w:rPr>
          <w:rFonts w:cs="Arial"/>
          <w:u w:val="single"/>
        </w:rPr>
        <w:t xml:space="preserve"> (</w:t>
      </w:r>
      <w:r w:rsidR="0038652B">
        <w:t>£3,021 million)</w:t>
      </w:r>
      <w:r w:rsidR="00E6140A" w:rsidRPr="007D52CD">
        <w:rPr>
          <w:rFonts w:cs="Arial"/>
        </w:rPr>
        <w:t xml:space="preserve">.  </w:t>
      </w:r>
      <w:r w:rsidR="00F5463F" w:rsidRPr="007D52CD">
        <w:rPr>
          <w:rFonts w:cs="Arial"/>
        </w:rPr>
        <w:t xml:space="preserve"> </w:t>
      </w:r>
    </w:p>
    <w:p w14:paraId="466B3C2E" w14:textId="77777777" w:rsidR="00F5463F" w:rsidRPr="007D52CD" w:rsidRDefault="00AF2D59" w:rsidP="00C93734">
      <w:pPr>
        <w:pStyle w:val="Caption"/>
        <w:jc w:val="both"/>
      </w:pPr>
      <w:r w:rsidRPr="007D52CD">
        <w:t xml:space="preserve">Table </w:t>
      </w:r>
      <w:fldSimple w:instr=" STYLEREF 1 \s  \* MERGEFORMAT ">
        <w:r w:rsidR="00E95E1A">
          <w:rPr>
            <w:noProof/>
          </w:rPr>
          <w:t>4</w:t>
        </w:r>
      </w:fldSimple>
      <w:r w:rsidRPr="007D52CD">
        <w:t>-</w:t>
      </w:r>
      <w:fldSimple w:instr=" SEQ Table \* ARABIC \s 1  \* MERGEFORMAT ">
        <w:r w:rsidR="00E95E1A">
          <w:rPr>
            <w:noProof/>
          </w:rPr>
          <w:t>2</w:t>
        </w:r>
      </w:fldSimple>
      <w:r w:rsidRPr="007D52CD">
        <w:tab/>
        <w:t xml:space="preserve">Port &amp; Logistics </w:t>
      </w:r>
      <w:r w:rsidR="001B70DF">
        <w:t>Economic</w:t>
      </w:r>
      <w:r w:rsidRPr="007D52CD">
        <w:t xml:space="preserve"> Contribution</w:t>
      </w:r>
    </w:p>
    <w:tbl>
      <w:tblPr>
        <w:tblStyle w:val="Atkins14pt"/>
        <w:tblW w:w="9072" w:type="dxa"/>
        <w:tblLayout w:type="fixed"/>
        <w:tblLook w:val="04A0" w:firstRow="1" w:lastRow="0" w:firstColumn="1" w:lastColumn="0" w:noHBand="0" w:noVBand="1"/>
      </w:tblPr>
      <w:tblGrid>
        <w:gridCol w:w="1134"/>
        <w:gridCol w:w="1323"/>
        <w:gridCol w:w="1323"/>
        <w:gridCol w:w="1323"/>
        <w:gridCol w:w="1323"/>
        <w:gridCol w:w="1323"/>
        <w:gridCol w:w="1323"/>
      </w:tblGrid>
      <w:tr w:rsidR="008A51D4" w:rsidRPr="007D52CD" w14:paraId="215CE583" w14:textId="77777777" w:rsidTr="008A51D4">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134" w:type="dxa"/>
            <w:noWrap/>
            <w:hideMark/>
          </w:tcPr>
          <w:p w14:paraId="1AF09CAF" w14:textId="77777777" w:rsidR="008A51D4" w:rsidRPr="007D52CD" w:rsidRDefault="008A51D4" w:rsidP="00C93734">
            <w:pPr>
              <w:keepNext/>
              <w:keepLines/>
              <w:spacing w:after="120"/>
              <w:jc w:val="both"/>
              <w:outlineLvl w:val="0"/>
              <w:rPr>
                <w:color w:val="000000"/>
                <w:sz w:val="18"/>
              </w:rPr>
            </w:pPr>
            <w:r w:rsidRPr="007D52CD">
              <w:rPr>
                <w:color w:val="000000"/>
                <w:sz w:val="18"/>
                <w:szCs w:val="22"/>
              </w:rPr>
              <w:t>Sector</w:t>
            </w:r>
          </w:p>
        </w:tc>
        <w:tc>
          <w:tcPr>
            <w:tcW w:w="1323" w:type="dxa"/>
            <w:noWrap/>
            <w:hideMark/>
          </w:tcPr>
          <w:p w14:paraId="1BB7B59A" w14:textId="77777777" w:rsidR="008A51D4" w:rsidRPr="007D52CD" w:rsidRDefault="008A51D4" w:rsidP="00C93734">
            <w:pPr>
              <w:keepNext/>
              <w:keepLines/>
              <w:spacing w:after="120"/>
              <w:jc w:val="both"/>
              <w:outlineLvl w:val="0"/>
              <w:cnfStyle w:val="100000000000" w:firstRow="1" w:lastRow="0" w:firstColumn="0" w:lastColumn="0" w:oddVBand="0" w:evenVBand="0" w:oddHBand="0" w:evenHBand="0" w:firstRowFirstColumn="0" w:firstRowLastColumn="0" w:lastRowFirstColumn="0" w:lastRowLastColumn="0"/>
              <w:rPr>
                <w:color w:val="000000"/>
                <w:sz w:val="18"/>
              </w:rPr>
            </w:pPr>
            <w:r w:rsidRPr="007D52CD">
              <w:rPr>
                <w:color w:val="000000"/>
                <w:sz w:val="18"/>
                <w:szCs w:val="22"/>
              </w:rPr>
              <w:t>GDP</w:t>
            </w:r>
          </w:p>
        </w:tc>
        <w:tc>
          <w:tcPr>
            <w:tcW w:w="1323" w:type="dxa"/>
            <w:noWrap/>
            <w:hideMark/>
          </w:tcPr>
          <w:p w14:paraId="71BE881E" w14:textId="77777777" w:rsidR="008A51D4" w:rsidRPr="007D52CD" w:rsidRDefault="008A51D4" w:rsidP="00C93734">
            <w:pPr>
              <w:keepNext/>
              <w:keepLines/>
              <w:spacing w:after="120"/>
              <w:jc w:val="both"/>
              <w:outlineLvl w:val="0"/>
              <w:cnfStyle w:val="100000000000" w:firstRow="1" w:lastRow="0" w:firstColumn="0" w:lastColumn="0" w:oddVBand="0" w:evenVBand="0" w:oddHBand="0" w:evenHBand="0" w:firstRowFirstColumn="0" w:firstRowLastColumn="0" w:lastRowFirstColumn="0" w:lastRowLastColumn="0"/>
              <w:rPr>
                <w:color w:val="000000"/>
                <w:sz w:val="18"/>
              </w:rPr>
            </w:pPr>
            <w:r w:rsidRPr="007D52CD">
              <w:rPr>
                <w:color w:val="000000"/>
                <w:sz w:val="18"/>
                <w:szCs w:val="22"/>
              </w:rPr>
              <w:t>Total Purchases</w:t>
            </w:r>
          </w:p>
        </w:tc>
        <w:tc>
          <w:tcPr>
            <w:tcW w:w="1323" w:type="dxa"/>
            <w:noWrap/>
            <w:hideMark/>
          </w:tcPr>
          <w:p w14:paraId="3578E96D" w14:textId="77777777" w:rsidR="008A51D4" w:rsidRPr="007D52CD" w:rsidRDefault="008A51D4" w:rsidP="00C93734">
            <w:pPr>
              <w:keepNext/>
              <w:keepLines/>
              <w:spacing w:after="120"/>
              <w:jc w:val="both"/>
              <w:outlineLvl w:val="0"/>
              <w:cnfStyle w:val="100000000000" w:firstRow="1" w:lastRow="0" w:firstColumn="0" w:lastColumn="0" w:oddVBand="0" w:evenVBand="0" w:oddHBand="0" w:evenHBand="0" w:firstRowFirstColumn="0" w:firstRowLastColumn="0" w:lastRowFirstColumn="0" w:lastRowLastColumn="0"/>
              <w:rPr>
                <w:color w:val="000000"/>
                <w:sz w:val="18"/>
              </w:rPr>
            </w:pPr>
            <w:r w:rsidRPr="007D52CD">
              <w:rPr>
                <w:color w:val="000000"/>
                <w:sz w:val="18"/>
                <w:szCs w:val="22"/>
              </w:rPr>
              <w:t>Payroll</w:t>
            </w:r>
          </w:p>
        </w:tc>
        <w:tc>
          <w:tcPr>
            <w:tcW w:w="1323" w:type="dxa"/>
            <w:noWrap/>
            <w:hideMark/>
          </w:tcPr>
          <w:p w14:paraId="7A9FBE41" w14:textId="77777777" w:rsidR="008A51D4" w:rsidRPr="007D52CD" w:rsidRDefault="008A51D4" w:rsidP="00C93734">
            <w:pPr>
              <w:keepNext/>
              <w:keepLines/>
              <w:spacing w:after="120"/>
              <w:jc w:val="both"/>
              <w:outlineLvl w:val="0"/>
              <w:cnfStyle w:val="100000000000" w:firstRow="1" w:lastRow="0" w:firstColumn="0" w:lastColumn="0" w:oddVBand="0" w:evenVBand="0" w:oddHBand="0" w:evenHBand="0" w:firstRowFirstColumn="0" w:firstRowLastColumn="0" w:lastRowFirstColumn="0" w:lastRowLastColumn="0"/>
              <w:rPr>
                <w:color w:val="000000"/>
                <w:sz w:val="18"/>
              </w:rPr>
            </w:pPr>
            <w:r w:rsidRPr="007D52CD">
              <w:rPr>
                <w:color w:val="000000"/>
                <w:sz w:val="18"/>
                <w:szCs w:val="22"/>
              </w:rPr>
              <w:t>Land or property</w:t>
            </w:r>
          </w:p>
        </w:tc>
        <w:tc>
          <w:tcPr>
            <w:tcW w:w="1323" w:type="dxa"/>
            <w:noWrap/>
            <w:hideMark/>
          </w:tcPr>
          <w:p w14:paraId="5D52C4A3" w14:textId="77777777" w:rsidR="008A51D4" w:rsidRPr="007D52CD" w:rsidRDefault="008A51D4" w:rsidP="00C93734">
            <w:pPr>
              <w:keepNext/>
              <w:keepLines/>
              <w:spacing w:after="120"/>
              <w:jc w:val="both"/>
              <w:outlineLvl w:val="0"/>
              <w:cnfStyle w:val="100000000000" w:firstRow="1" w:lastRow="0" w:firstColumn="0" w:lastColumn="0" w:oddVBand="0" w:evenVBand="0" w:oddHBand="0" w:evenHBand="0" w:firstRowFirstColumn="0" w:firstRowLastColumn="0" w:lastRowFirstColumn="0" w:lastRowLastColumn="0"/>
              <w:rPr>
                <w:color w:val="000000"/>
                <w:sz w:val="18"/>
              </w:rPr>
            </w:pPr>
            <w:r w:rsidRPr="007D52CD">
              <w:rPr>
                <w:color w:val="000000"/>
                <w:sz w:val="18"/>
                <w:szCs w:val="22"/>
              </w:rPr>
              <w:t>Gross Profit</w:t>
            </w:r>
          </w:p>
        </w:tc>
        <w:tc>
          <w:tcPr>
            <w:tcW w:w="1323" w:type="dxa"/>
            <w:noWrap/>
            <w:hideMark/>
          </w:tcPr>
          <w:p w14:paraId="4B4E9953" w14:textId="77777777" w:rsidR="008A51D4" w:rsidRPr="007D52CD" w:rsidRDefault="008A51D4" w:rsidP="00C93734">
            <w:pPr>
              <w:keepNext/>
              <w:keepLines/>
              <w:spacing w:after="120"/>
              <w:jc w:val="both"/>
              <w:outlineLvl w:val="0"/>
              <w:cnfStyle w:val="100000000000" w:firstRow="1" w:lastRow="0" w:firstColumn="0" w:lastColumn="0" w:oddVBand="0" w:evenVBand="0" w:oddHBand="0" w:evenHBand="0" w:firstRowFirstColumn="0" w:firstRowLastColumn="0" w:lastRowFirstColumn="0" w:lastRowLastColumn="0"/>
              <w:rPr>
                <w:color w:val="000000"/>
                <w:sz w:val="18"/>
              </w:rPr>
            </w:pPr>
            <w:r w:rsidRPr="007D52CD">
              <w:rPr>
                <w:color w:val="000000"/>
                <w:sz w:val="18"/>
                <w:szCs w:val="22"/>
              </w:rPr>
              <w:t>GVA</w:t>
            </w:r>
          </w:p>
        </w:tc>
      </w:tr>
      <w:tr w:rsidR="008A51D4" w:rsidRPr="007D52CD" w14:paraId="55796AA7" w14:textId="77777777" w:rsidTr="008A51D4">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03DD9CB3" w14:textId="77777777" w:rsidR="008A51D4" w:rsidRPr="007D52CD" w:rsidRDefault="008A51D4" w:rsidP="00C93734">
            <w:pPr>
              <w:keepNext/>
              <w:keepLines/>
              <w:spacing w:after="120"/>
              <w:jc w:val="both"/>
              <w:outlineLvl w:val="0"/>
              <w:rPr>
                <w:color w:val="000000"/>
                <w:sz w:val="18"/>
              </w:rPr>
            </w:pPr>
            <w:r w:rsidRPr="007D52CD">
              <w:rPr>
                <w:color w:val="000000"/>
                <w:sz w:val="18"/>
                <w:szCs w:val="22"/>
              </w:rPr>
              <w:t>Ports &amp; Logistics</w:t>
            </w:r>
          </w:p>
        </w:tc>
        <w:tc>
          <w:tcPr>
            <w:tcW w:w="1323" w:type="dxa"/>
            <w:noWrap/>
            <w:vAlign w:val="center"/>
            <w:hideMark/>
          </w:tcPr>
          <w:p w14:paraId="67D124CA" w14:textId="77777777" w:rsidR="008A51D4" w:rsidRPr="007D52CD" w:rsidRDefault="008A51D4"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7D52CD">
              <w:rPr>
                <w:color w:val="000000"/>
                <w:sz w:val="18"/>
                <w:szCs w:val="22"/>
              </w:rPr>
              <w:t xml:space="preserve">£ 632,181,800 </w:t>
            </w:r>
          </w:p>
        </w:tc>
        <w:tc>
          <w:tcPr>
            <w:tcW w:w="1323" w:type="dxa"/>
            <w:noWrap/>
            <w:vAlign w:val="center"/>
            <w:hideMark/>
          </w:tcPr>
          <w:p w14:paraId="5D7D4833" w14:textId="77777777" w:rsidR="008A51D4" w:rsidRPr="007D52CD" w:rsidRDefault="008A51D4"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7D52CD">
              <w:rPr>
                <w:color w:val="000000"/>
                <w:sz w:val="18"/>
                <w:szCs w:val="22"/>
              </w:rPr>
              <w:t xml:space="preserve">£258,983,800 </w:t>
            </w:r>
          </w:p>
        </w:tc>
        <w:tc>
          <w:tcPr>
            <w:tcW w:w="1323" w:type="dxa"/>
            <w:noWrap/>
            <w:vAlign w:val="center"/>
            <w:hideMark/>
          </w:tcPr>
          <w:p w14:paraId="2A47BF2B" w14:textId="77777777" w:rsidR="008A51D4" w:rsidRPr="007D52CD" w:rsidRDefault="008A51D4"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7D52CD">
              <w:rPr>
                <w:color w:val="000000"/>
                <w:sz w:val="18"/>
                <w:szCs w:val="22"/>
              </w:rPr>
              <w:t xml:space="preserve">£159,428,300 </w:t>
            </w:r>
          </w:p>
        </w:tc>
        <w:tc>
          <w:tcPr>
            <w:tcW w:w="1323" w:type="dxa"/>
            <w:noWrap/>
            <w:vAlign w:val="center"/>
            <w:hideMark/>
          </w:tcPr>
          <w:p w14:paraId="1D7DAB04" w14:textId="77777777" w:rsidR="008A51D4" w:rsidRPr="007D52CD" w:rsidRDefault="008A51D4"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7D52CD">
              <w:rPr>
                <w:color w:val="000000"/>
                <w:sz w:val="18"/>
                <w:szCs w:val="22"/>
              </w:rPr>
              <w:t xml:space="preserve">£68,886,000 </w:t>
            </w:r>
          </w:p>
        </w:tc>
        <w:tc>
          <w:tcPr>
            <w:tcW w:w="1323" w:type="dxa"/>
            <w:noWrap/>
            <w:vAlign w:val="center"/>
            <w:hideMark/>
          </w:tcPr>
          <w:p w14:paraId="79167C7C" w14:textId="77777777" w:rsidR="008A51D4" w:rsidRPr="007D52CD" w:rsidRDefault="008A51D4"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7D52CD">
              <w:rPr>
                <w:color w:val="000000"/>
                <w:sz w:val="18"/>
                <w:szCs w:val="22"/>
              </w:rPr>
              <w:t xml:space="preserve">£167,419,200 </w:t>
            </w:r>
          </w:p>
        </w:tc>
        <w:tc>
          <w:tcPr>
            <w:tcW w:w="1323" w:type="dxa"/>
            <w:noWrap/>
            <w:vAlign w:val="center"/>
            <w:hideMark/>
          </w:tcPr>
          <w:p w14:paraId="6EB29E8D" w14:textId="77777777" w:rsidR="008A51D4" w:rsidRPr="007D52CD" w:rsidRDefault="008A51D4"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7D52CD">
              <w:rPr>
                <w:color w:val="000000"/>
                <w:sz w:val="18"/>
                <w:szCs w:val="22"/>
              </w:rPr>
              <w:t xml:space="preserve">£326,847,500 </w:t>
            </w:r>
          </w:p>
        </w:tc>
      </w:tr>
      <w:tr w:rsidR="008A51D4" w:rsidRPr="007D52CD" w14:paraId="47F9B9E7" w14:textId="77777777" w:rsidTr="008A51D4">
        <w:trPr>
          <w:trHeight w:val="255"/>
        </w:trPr>
        <w:tc>
          <w:tcPr>
            <w:cnfStyle w:val="001000000000" w:firstRow="0" w:lastRow="0" w:firstColumn="1" w:lastColumn="0" w:oddVBand="0" w:evenVBand="0" w:oddHBand="0" w:evenHBand="0" w:firstRowFirstColumn="0" w:firstRowLastColumn="0" w:lastRowFirstColumn="0" w:lastRowLastColumn="0"/>
            <w:tcW w:w="1134" w:type="dxa"/>
            <w:shd w:val="clear" w:color="auto" w:fill="E6E4DE" w:themeFill="accent6"/>
            <w:noWrap/>
            <w:hideMark/>
          </w:tcPr>
          <w:p w14:paraId="2DFD6402" w14:textId="77777777" w:rsidR="008A51D4" w:rsidRPr="007D52CD" w:rsidRDefault="008A51D4" w:rsidP="00C93734">
            <w:pPr>
              <w:spacing w:after="120"/>
              <w:jc w:val="both"/>
              <w:rPr>
                <w:color w:val="000000"/>
                <w:sz w:val="18"/>
              </w:rPr>
            </w:pPr>
            <w:r w:rsidRPr="007D52CD">
              <w:rPr>
                <w:color w:val="000000"/>
                <w:sz w:val="18"/>
                <w:szCs w:val="22"/>
              </w:rPr>
              <w:t>All Key Sectors</w:t>
            </w:r>
          </w:p>
        </w:tc>
        <w:tc>
          <w:tcPr>
            <w:tcW w:w="1323" w:type="dxa"/>
            <w:shd w:val="clear" w:color="auto" w:fill="E6E4DE" w:themeFill="accent6"/>
            <w:noWrap/>
            <w:vAlign w:val="center"/>
            <w:hideMark/>
          </w:tcPr>
          <w:p w14:paraId="6CF2644F" w14:textId="77777777" w:rsidR="008A51D4" w:rsidRPr="007D52CD" w:rsidRDefault="008A51D4"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7D52CD">
              <w:rPr>
                <w:color w:val="000000"/>
                <w:sz w:val="18"/>
                <w:szCs w:val="18"/>
              </w:rPr>
              <w:t xml:space="preserve">£1,740,618,300 </w:t>
            </w:r>
          </w:p>
        </w:tc>
        <w:tc>
          <w:tcPr>
            <w:tcW w:w="1323" w:type="dxa"/>
            <w:shd w:val="clear" w:color="auto" w:fill="E6E4DE" w:themeFill="accent6"/>
            <w:noWrap/>
            <w:vAlign w:val="center"/>
            <w:hideMark/>
          </w:tcPr>
          <w:p w14:paraId="29FF24C2" w14:textId="77777777" w:rsidR="008A51D4" w:rsidRPr="007D52CD" w:rsidRDefault="008A51D4"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7D52CD">
              <w:rPr>
                <w:color w:val="000000"/>
                <w:sz w:val="18"/>
                <w:szCs w:val="18"/>
              </w:rPr>
              <w:t xml:space="preserve">£687,591,325 </w:t>
            </w:r>
          </w:p>
        </w:tc>
        <w:tc>
          <w:tcPr>
            <w:tcW w:w="1323" w:type="dxa"/>
            <w:shd w:val="clear" w:color="auto" w:fill="E6E4DE" w:themeFill="accent6"/>
            <w:noWrap/>
            <w:vAlign w:val="center"/>
            <w:hideMark/>
          </w:tcPr>
          <w:p w14:paraId="3C31FC45" w14:textId="77777777" w:rsidR="008A51D4" w:rsidRPr="007D52CD" w:rsidRDefault="008A51D4"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7D52CD">
              <w:rPr>
                <w:color w:val="000000"/>
                <w:sz w:val="18"/>
                <w:szCs w:val="18"/>
              </w:rPr>
              <w:t xml:space="preserve">£464,748,498 </w:t>
            </w:r>
          </w:p>
        </w:tc>
        <w:tc>
          <w:tcPr>
            <w:tcW w:w="1323" w:type="dxa"/>
            <w:shd w:val="clear" w:color="auto" w:fill="E6E4DE" w:themeFill="accent6"/>
            <w:noWrap/>
            <w:vAlign w:val="center"/>
            <w:hideMark/>
          </w:tcPr>
          <w:p w14:paraId="64A7BC14" w14:textId="77777777" w:rsidR="008A51D4" w:rsidRPr="007D52CD" w:rsidRDefault="008A51D4"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7D52CD">
              <w:rPr>
                <w:color w:val="000000"/>
                <w:sz w:val="18"/>
                <w:szCs w:val="18"/>
              </w:rPr>
              <w:t xml:space="preserve">£182,392,375 </w:t>
            </w:r>
          </w:p>
        </w:tc>
        <w:tc>
          <w:tcPr>
            <w:tcW w:w="1323" w:type="dxa"/>
            <w:shd w:val="clear" w:color="auto" w:fill="E6E4DE" w:themeFill="accent6"/>
            <w:noWrap/>
            <w:vAlign w:val="center"/>
            <w:hideMark/>
          </w:tcPr>
          <w:p w14:paraId="11E74361" w14:textId="77777777" w:rsidR="008A51D4" w:rsidRPr="007D52CD" w:rsidRDefault="008A51D4"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7D52CD">
              <w:rPr>
                <w:color w:val="000000"/>
                <w:sz w:val="18"/>
                <w:szCs w:val="18"/>
              </w:rPr>
              <w:t xml:space="preserve">£448,059,002 </w:t>
            </w:r>
          </w:p>
        </w:tc>
        <w:tc>
          <w:tcPr>
            <w:tcW w:w="1323" w:type="dxa"/>
            <w:shd w:val="clear" w:color="auto" w:fill="E6E4DE" w:themeFill="accent6"/>
            <w:noWrap/>
            <w:vAlign w:val="center"/>
            <w:hideMark/>
          </w:tcPr>
          <w:p w14:paraId="70109A3B" w14:textId="77777777" w:rsidR="008A51D4" w:rsidRPr="007D52CD" w:rsidRDefault="008A51D4"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7D52CD">
              <w:rPr>
                <w:color w:val="000000"/>
                <w:sz w:val="18"/>
                <w:szCs w:val="18"/>
              </w:rPr>
              <w:t xml:space="preserve">£912,807,499 </w:t>
            </w:r>
          </w:p>
        </w:tc>
      </w:tr>
    </w:tbl>
    <w:p w14:paraId="525D9F1F" w14:textId="77777777" w:rsidR="00F5463F" w:rsidRPr="002805F3" w:rsidRDefault="00AF2D59" w:rsidP="00C93734">
      <w:pPr>
        <w:pStyle w:val="TableSource"/>
        <w:jc w:val="both"/>
      </w:pPr>
      <w:r w:rsidRPr="007D52CD">
        <w:t>Source: Hill Taylor &amp; Atkins 2013. Atkins Ref: Survey – A5.1/L20.</w:t>
      </w:r>
      <w:r w:rsidR="00F5463F" w:rsidRPr="002805F3">
        <w:t xml:space="preserve"> </w:t>
      </w:r>
    </w:p>
    <w:p w14:paraId="6CAE37AF" w14:textId="77777777" w:rsidR="00F5463F" w:rsidRPr="00F103FE" w:rsidRDefault="00F5463F" w:rsidP="00C93734">
      <w:pPr>
        <w:jc w:val="both"/>
        <w:rPr>
          <w:rFonts w:cs="Arial"/>
          <w:b/>
        </w:rPr>
      </w:pPr>
      <w:r w:rsidRPr="00F103FE">
        <w:rPr>
          <w:rFonts w:cs="Arial"/>
          <w:b/>
        </w:rPr>
        <w:t xml:space="preserve">Employment </w:t>
      </w:r>
    </w:p>
    <w:p w14:paraId="729B2317" w14:textId="77777777" w:rsidR="00F5463F" w:rsidRDefault="00F5463F" w:rsidP="00C93734">
      <w:pPr>
        <w:jc w:val="both"/>
        <w:rPr>
          <w:rFonts w:cs="Arial"/>
        </w:rPr>
      </w:pPr>
      <w:r w:rsidRPr="000402AD">
        <w:rPr>
          <w:rFonts w:cs="Arial"/>
        </w:rPr>
        <w:t>The sector contribu</w:t>
      </w:r>
      <w:r w:rsidR="00FE641D" w:rsidRPr="000402AD">
        <w:rPr>
          <w:rFonts w:cs="Arial"/>
        </w:rPr>
        <w:t xml:space="preserve">tes significantly to local and </w:t>
      </w:r>
      <w:r w:rsidR="000331B4" w:rsidRPr="000402AD">
        <w:rPr>
          <w:rFonts w:cs="Arial"/>
        </w:rPr>
        <w:t>sub-regional</w:t>
      </w:r>
      <w:r w:rsidRPr="000402AD">
        <w:rPr>
          <w:rFonts w:cs="Arial"/>
        </w:rPr>
        <w:t xml:space="preserve"> </w:t>
      </w:r>
      <w:r w:rsidR="00FE641D" w:rsidRPr="000402AD">
        <w:rPr>
          <w:rFonts w:cs="Arial"/>
        </w:rPr>
        <w:t>employment, providing</w:t>
      </w:r>
      <w:r w:rsidRPr="000402AD">
        <w:rPr>
          <w:rFonts w:cs="Arial"/>
        </w:rPr>
        <w:t xml:space="preserve"> almost 5,000 </w:t>
      </w:r>
      <w:r w:rsidR="00FE641D" w:rsidRPr="000402AD">
        <w:rPr>
          <w:rFonts w:cs="Arial"/>
        </w:rPr>
        <w:t xml:space="preserve">direct </w:t>
      </w:r>
      <w:r w:rsidRPr="000402AD">
        <w:rPr>
          <w:rFonts w:cs="Arial"/>
        </w:rPr>
        <w:t>local jobs</w:t>
      </w:r>
      <w:r w:rsidRPr="000402AD">
        <w:rPr>
          <w:rStyle w:val="FootnoteReference"/>
          <w:rFonts w:cs="Arial"/>
        </w:rPr>
        <w:footnoteReference w:id="8"/>
      </w:r>
      <w:r w:rsidR="00FE641D" w:rsidRPr="000402AD">
        <w:rPr>
          <w:rFonts w:cs="Arial"/>
        </w:rPr>
        <w:t xml:space="preserve">. The survey indicates that in addition, the sector supports </w:t>
      </w:r>
      <w:r w:rsidR="003429A2" w:rsidRPr="000402AD">
        <w:rPr>
          <w:rFonts w:cs="Arial"/>
        </w:rPr>
        <w:t xml:space="preserve">around </w:t>
      </w:r>
      <w:r w:rsidR="007D52CD" w:rsidRPr="000402AD">
        <w:rPr>
          <w:rFonts w:cs="Arial"/>
        </w:rPr>
        <w:t>5</w:t>
      </w:r>
      <w:r w:rsidRPr="000402AD">
        <w:rPr>
          <w:rFonts w:cs="Arial"/>
        </w:rPr>
        <w:t>,</w:t>
      </w:r>
      <w:r w:rsidR="007D52CD" w:rsidRPr="000402AD">
        <w:rPr>
          <w:rFonts w:cs="Arial"/>
        </w:rPr>
        <w:t>73</w:t>
      </w:r>
      <w:r w:rsidRPr="000402AD">
        <w:rPr>
          <w:rFonts w:cs="Arial"/>
        </w:rPr>
        <w:t xml:space="preserve">0 indirect jobs across the whole economy </w:t>
      </w:r>
      <w:r w:rsidR="00FE641D" w:rsidRPr="000402AD">
        <w:rPr>
          <w:rFonts w:cs="Arial"/>
        </w:rPr>
        <w:t>with</w:t>
      </w:r>
      <w:r w:rsidRPr="000402AD">
        <w:rPr>
          <w:rFonts w:cs="Arial"/>
        </w:rPr>
        <w:t xml:space="preserve"> a further 2,890 induced</w:t>
      </w:r>
      <w:r w:rsidR="003429A2" w:rsidRPr="000402AD">
        <w:rPr>
          <w:rFonts w:cs="Arial"/>
        </w:rPr>
        <w:t xml:space="preserve"> </w:t>
      </w:r>
      <w:r w:rsidR="00FE641D" w:rsidRPr="000402AD">
        <w:rPr>
          <w:rFonts w:cs="Arial"/>
        </w:rPr>
        <w:t>through expenditure of income into the economy</w:t>
      </w:r>
      <w:r w:rsidRPr="000402AD">
        <w:rPr>
          <w:rFonts w:cs="Arial"/>
        </w:rPr>
        <w:t>.</w:t>
      </w:r>
      <w:r w:rsidR="00FE641D" w:rsidRPr="000402AD">
        <w:rPr>
          <w:rFonts w:cs="Arial"/>
        </w:rPr>
        <w:t xml:space="preserve"> Overall, </w:t>
      </w:r>
      <w:r w:rsidR="00A42092">
        <w:rPr>
          <w:rFonts w:cs="Arial"/>
        </w:rPr>
        <w:t>the survey</w:t>
      </w:r>
      <w:r w:rsidR="00A42092" w:rsidRPr="000402AD">
        <w:rPr>
          <w:rFonts w:cs="Arial"/>
        </w:rPr>
        <w:t xml:space="preserve"> </w:t>
      </w:r>
      <w:r w:rsidR="00FE641D" w:rsidRPr="000402AD">
        <w:rPr>
          <w:rFonts w:cs="Arial"/>
        </w:rPr>
        <w:t xml:space="preserve">indicates that the </w:t>
      </w:r>
      <w:r w:rsidR="005C4043">
        <w:rPr>
          <w:rFonts w:cs="Arial"/>
        </w:rPr>
        <w:t>p</w:t>
      </w:r>
      <w:r w:rsidRPr="000402AD">
        <w:rPr>
          <w:rFonts w:cs="Arial"/>
        </w:rPr>
        <w:t xml:space="preserve">orts </w:t>
      </w:r>
      <w:r w:rsidR="005C4043">
        <w:rPr>
          <w:rFonts w:cs="Arial"/>
        </w:rPr>
        <w:t>and logistics</w:t>
      </w:r>
      <w:r w:rsidRPr="000402AD">
        <w:rPr>
          <w:rFonts w:cs="Arial"/>
        </w:rPr>
        <w:t xml:space="preserve"> </w:t>
      </w:r>
      <w:r w:rsidR="005C4043">
        <w:rPr>
          <w:rFonts w:cs="Arial"/>
        </w:rPr>
        <w:t>s</w:t>
      </w:r>
      <w:r w:rsidRPr="000402AD">
        <w:rPr>
          <w:rFonts w:cs="Arial"/>
        </w:rPr>
        <w:t xml:space="preserve">ector in </w:t>
      </w:r>
      <w:r w:rsidR="00A42092">
        <w:rPr>
          <w:rFonts w:cs="Arial"/>
        </w:rPr>
        <w:t>NEL</w:t>
      </w:r>
      <w:r w:rsidRPr="000402AD">
        <w:rPr>
          <w:rFonts w:cs="Arial"/>
        </w:rPr>
        <w:t xml:space="preserve"> supports a total of </w:t>
      </w:r>
      <w:r w:rsidR="000331B4" w:rsidRPr="000402AD">
        <w:rPr>
          <w:rFonts w:cs="Arial"/>
        </w:rPr>
        <w:t>approximately 15,30</w:t>
      </w:r>
      <w:r w:rsidRPr="000402AD">
        <w:rPr>
          <w:rFonts w:cs="Arial"/>
        </w:rPr>
        <w:t>0 jobs.</w:t>
      </w:r>
    </w:p>
    <w:p w14:paraId="449E2690" w14:textId="77777777" w:rsidR="00E168E4" w:rsidRDefault="00E168E4">
      <w:pPr>
        <w:spacing w:after="200" w:line="276" w:lineRule="auto"/>
        <w:rPr>
          <w:b/>
          <w:bCs/>
          <w:szCs w:val="18"/>
        </w:rPr>
      </w:pPr>
      <w:r>
        <w:br w:type="page"/>
      </w:r>
    </w:p>
    <w:p w14:paraId="023A29E0" w14:textId="77777777" w:rsidR="00F5463F" w:rsidRDefault="00F5463F" w:rsidP="00C93734">
      <w:pPr>
        <w:pStyle w:val="Caption"/>
        <w:jc w:val="both"/>
      </w:pPr>
      <w:r>
        <w:t xml:space="preserve">Table </w:t>
      </w:r>
      <w:fldSimple w:instr=" STYLEREF 1 \s  \* MERGEFORMAT ">
        <w:r w:rsidR="00E95E1A">
          <w:rPr>
            <w:noProof/>
          </w:rPr>
          <w:t>4</w:t>
        </w:r>
      </w:fldSimple>
      <w:r>
        <w:t>-</w:t>
      </w:r>
      <w:fldSimple w:instr=" SEQ Table \* ARABIC \s 1  \* MERGEFORMAT ">
        <w:r w:rsidR="00E95E1A">
          <w:rPr>
            <w:noProof/>
          </w:rPr>
          <w:t>3</w:t>
        </w:r>
      </w:fldSimple>
      <w:r>
        <w:tab/>
        <w:t>Key Sector Employment Summary</w:t>
      </w:r>
      <w:r w:rsidR="0005147B">
        <w:t xml:space="preserve"> – Ports &amp; Logistics</w:t>
      </w:r>
    </w:p>
    <w:tbl>
      <w:tblPr>
        <w:tblStyle w:val="Atkins14pt"/>
        <w:tblW w:w="4993" w:type="dxa"/>
        <w:tblLook w:val="04A0" w:firstRow="1" w:lastRow="0" w:firstColumn="1" w:lastColumn="0" w:noHBand="0" w:noVBand="1"/>
      </w:tblPr>
      <w:tblGrid>
        <w:gridCol w:w="3232"/>
        <w:gridCol w:w="1761"/>
      </w:tblGrid>
      <w:tr w:rsidR="00C415F6" w:rsidRPr="0058323C" w14:paraId="23B785E2" w14:textId="77777777" w:rsidTr="00825B5E">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3232" w:type="dxa"/>
            <w:shd w:val="clear" w:color="auto" w:fill="BED600" w:themeFill="accent1"/>
            <w:noWrap/>
            <w:hideMark/>
          </w:tcPr>
          <w:p w14:paraId="0C651566" w14:textId="77777777" w:rsidR="00C415F6" w:rsidRPr="0058323C" w:rsidRDefault="00C415F6" w:rsidP="00C93734">
            <w:pPr>
              <w:jc w:val="both"/>
              <w:rPr>
                <w:rFonts w:eastAsia="Times New Roman"/>
                <w:b w:val="0"/>
                <w:bCs/>
                <w:color w:val="000000"/>
              </w:rPr>
            </w:pPr>
            <w:r w:rsidRPr="0058323C">
              <w:rPr>
                <w:rFonts w:eastAsia="Times New Roman"/>
                <w:bCs/>
                <w:color w:val="000000"/>
              </w:rPr>
              <w:t>Geography</w:t>
            </w:r>
          </w:p>
        </w:tc>
        <w:tc>
          <w:tcPr>
            <w:tcW w:w="1761" w:type="dxa"/>
            <w:shd w:val="clear" w:color="auto" w:fill="BED600" w:themeFill="accent1"/>
            <w:noWrap/>
            <w:hideMark/>
          </w:tcPr>
          <w:p w14:paraId="1CF2A52E" w14:textId="77777777" w:rsidR="00C415F6" w:rsidRPr="0058323C" w:rsidRDefault="00C415F6" w:rsidP="00C93734">
            <w:pPr>
              <w:jc w:val="both"/>
              <w:cnfStyle w:val="100000000000" w:firstRow="1" w:lastRow="0" w:firstColumn="0" w:lastColumn="0" w:oddVBand="0" w:evenVBand="0" w:oddHBand="0" w:evenHBand="0" w:firstRowFirstColumn="0" w:firstRowLastColumn="0" w:lastRowFirstColumn="0" w:lastRowLastColumn="0"/>
              <w:rPr>
                <w:rFonts w:eastAsia="Times New Roman"/>
                <w:b w:val="0"/>
                <w:bCs/>
                <w:color w:val="000000"/>
              </w:rPr>
            </w:pPr>
            <w:r w:rsidRPr="0058323C">
              <w:rPr>
                <w:rFonts w:eastAsia="Times New Roman"/>
                <w:bCs/>
                <w:color w:val="000000"/>
              </w:rPr>
              <w:t>Ports &amp; Logistics</w:t>
            </w:r>
          </w:p>
        </w:tc>
      </w:tr>
      <w:tr w:rsidR="00C415F6" w:rsidRPr="0058323C" w14:paraId="6AC1E3CA" w14:textId="77777777" w:rsidTr="00825B5E">
        <w:trPr>
          <w:trHeight w:val="270"/>
        </w:trPr>
        <w:tc>
          <w:tcPr>
            <w:cnfStyle w:val="001000000000" w:firstRow="0" w:lastRow="0" w:firstColumn="1" w:lastColumn="0" w:oddVBand="0" w:evenVBand="0" w:oddHBand="0" w:evenHBand="0" w:firstRowFirstColumn="0" w:firstRowLastColumn="0" w:lastRowFirstColumn="0" w:lastRowLastColumn="0"/>
            <w:tcW w:w="3232" w:type="dxa"/>
            <w:shd w:val="clear" w:color="auto" w:fill="E6E4DE" w:themeFill="accent6"/>
            <w:noWrap/>
            <w:hideMark/>
          </w:tcPr>
          <w:p w14:paraId="5297F1D3" w14:textId="77777777" w:rsidR="00C415F6" w:rsidRPr="0058323C" w:rsidRDefault="00C415F6" w:rsidP="00C93734">
            <w:pPr>
              <w:jc w:val="both"/>
              <w:rPr>
                <w:rFonts w:eastAsia="Times New Roman"/>
                <w:b/>
                <w:bCs/>
                <w:color w:val="000000"/>
              </w:rPr>
            </w:pPr>
            <w:r>
              <w:rPr>
                <w:rFonts w:eastAsia="Times New Roman"/>
                <w:b/>
                <w:bCs/>
                <w:color w:val="000000"/>
              </w:rPr>
              <w:t>Direct</w:t>
            </w:r>
            <w:r w:rsidRPr="0058323C">
              <w:rPr>
                <w:rFonts w:eastAsia="Times New Roman"/>
                <w:b/>
                <w:bCs/>
                <w:color w:val="000000"/>
              </w:rPr>
              <w:t xml:space="preserve"> Jobs</w:t>
            </w:r>
          </w:p>
        </w:tc>
        <w:tc>
          <w:tcPr>
            <w:tcW w:w="1761" w:type="dxa"/>
            <w:shd w:val="clear" w:color="auto" w:fill="E6E4DE" w:themeFill="accent6"/>
            <w:hideMark/>
          </w:tcPr>
          <w:p w14:paraId="2A250F1F" w14:textId="77777777" w:rsidR="00C415F6" w:rsidRPr="0058323C" w:rsidRDefault="00C415F6"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8323C">
              <w:rPr>
                <w:rFonts w:eastAsia="Times New Roman"/>
                <w:color w:val="000000"/>
              </w:rPr>
              <w:t> </w:t>
            </w:r>
          </w:p>
        </w:tc>
      </w:tr>
      <w:tr w:rsidR="00C415F6" w:rsidRPr="0058323C" w14:paraId="3E996F61" w14:textId="77777777" w:rsidTr="00825B5E">
        <w:trPr>
          <w:trHeight w:val="270"/>
        </w:trPr>
        <w:tc>
          <w:tcPr>
            <w:cnfStyle w:val="001000000000" w:firstRow="0" w:lastRow="0" w:firstColumn="1" w:lastColumn="0" w:oddVBand="0" w:evenVBand="0" w:oddHBand="0" w:evenHBand="0" w:firstRowFirstColumn="0" w:firstRowLastColumn="0" w:lastRowFirstColumn="0" w:lastRowLastColumn="0"/>
            <w:tcW w:w="3232" w:type="dxa"/>
            <w:noWrap/>
            <w:hideMark/>
          </w:tcPr>
          <w:p w14:paraId="2B4C99D2" w14:textId="77777777" w:rsidR="00C415F6" w:rsidRPr="0058323C" w:rsidRDefault="00C415F6" w:rsidP="00C93734">
            <w:pPr>
              <w:jc w:val="both"/>
              <w:rPr>
                <w:rFonts w:eastAsia="Times New Roman"/>
                <w:color w:val="000000"/>
              </w:rPr>
            </w:pPr>
            <w:r w:rsidRPr="0058323C">
              <w:rPr>
                <w:rFonts w:eastAsia="Times New Roman"/>
                <w:color w:val="000000"/>
              </w:rPr>
              <w:t>North East Lincolnshire</w:t>
            </w:r>
          </w:p>
        </w:tc>
        <w:tc>
          <w:tcPr>
            <w:tcW w:w="1761" w:type="dxa"/>
            <w:noWrap/>
            <w:hideMark/>
          </w:tcPr>
          <w:p w14:paraId="34B5D42C" w14:textId="77777777" w:rsidR="00C415F6" w:rsidRPr="0058323C" w:rsidRDefault="00C415F6"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8323C">
              <w:rPr>
                <w:rFonts w:eastAsia="Times New Roman"/>
                <w:color w:val="000000"/>
              </w:rPr>
              <w:t>4,820</w:t>
            </w:r>
          </w:p>
        </w:tc>
      </w:tr>
      <w:tr w:rsidR="00C415F6" w:rsidRPr="0058323C" w14:paraId="587F6F48" w14:textId="77777777" w:rsidTr="00825B5E">
        <w:trPr>
          <w:trHeight w:val="270"/>
        </w:trPr>
        <w:tc>
          <w:tcPr>
            <w:cnfStyle w:val="001000000000" w:firstRow="0" w:lastRow="0" w:firstColumn="1" w:lastColumn="0" w:oddVBand="0" w:evenVBand="0" w:oddHBand="0" w:evenHBand="0" w:firstRowFirstColumn="0" w:firstRowLastColumn="0" w:lastRowFirstColumn="0" w:lastRowLastColumn="0"/>
            <w:tcW w:w="3232" w:type="dxa"/>
            <w:shd w:val="clear" w:color="auto" w:fill="E6E4DE" w:themeFill="accent6"/>
            <w:noWrap/>
            <w:hideMark/>
          </w:tcPr>
          <w:p w14:paraId="1F52BC73" w14:textId="77777777" w:rsidR="00C415F6" w:rsidRPr="0058323C" w:rsidRDefault="00C415F6" w:rsidP="00C93734">
            <w:pPr>
              <w:jc w:val="both"/>
              <w:rPr>
                <w:rFonts w:eastAsia="Times New Roman"/>
                <w:b/>
                <w:bCs/>
                <w:color w:val="000000"/>
              </w:rPr>
            </w:pPr>
            <w:r w:rsidRPr="0058323C">
              <w:rPr>
                <w:rFonts w:eastAsia="Times New Roman"/>
                <w:b/>
                <w:bCs/>
                <w:color w:val="000000"/>
              </w:rPr>
              <w:t>Indirect Jobs</w:t>
            </w:r>
          </w:p>
        </w:tc>
        <w:tc>
          <w:tcPr>
            <w:tcW w:w="1761" w:type="dxa"/>
            <w:shd w:val="clear" w:color="auto" w:fill="E6E4DE" w:themeFill="accent6"/>
            <w:hideMark/>
          </w:tcPr>
          <w:p w14:paraId="441443F2" w14:textId="77777777" w:rsidR="00C415F6" w:rsidRPr="0058323C" w:rsidRDefault="00C415F6"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8323C">
              <w:rPr>
                <w:rFonts w:eastAsia="Times New Roman"/>
                <w:color w:val="000000"/>
              </w:rPr>
              <w:t> </w:t>
            </w:r>
          </w:p>
        </w:tc>
      </w:tr>
      <w:tr w:rsidR="00C415F6" w:rsidRPr="00FC5EBD" w14:paraId="7A316C91" w14:textId="77777777" w:rsidTr="00825B5E">
        <w:trPr>
          <w:trHeight w:val="270"/>
        </w:trPr>
        <w:tc>
          <w:tcPr>
            <w:cnfStyle w:val="001000000000" w:firstRow="0" w:lastRow="0" w:firstColumn="1" w:lastColumn="0" w:oddVBand="0" w:evenVBand="0" w:oddHBand="0" w:evenHBand="0" w:firstRowFirstColumn="0" w:firstRowLastColumn="0" w:lastRowFirstColumn="0" w:lastRowLastColumn="0"/>
            <w:tcW w:w="3232" w:type="dxa"/>
            <w:noWrap/>
            <w:hideMark/>
          </w:tcPr>
          <w:p w14:paraId="2BDD0B3A" w14:textId="77777777" w:rsidR="00C415F6" w:rsidRPr="007D52CD" w:rsidRDefault="00AF2D59" w:rsidP="00C93734">
            <w:pPr>
              <w:jc w:val="both"/>
              <w:rPr>
                <w:rFonts w:eastAsia="Times New Roman"/>
                <w:color w:val="000000"/>
              </w:rPr>
            </w:pPr>
            <w:r w:rsidRPr="007D52CD">
              <w:rPr>
                <w:rFonts w:eastAsia="Times New Roman"/>
                <w:color w:val="000000"/>
                <w:szCs w:val="22"/>
              </w:rPr>
              <w:t>N.&amp; N.E Lincolnshire &amp; Humber</w:t>
            </w:r>
          </w:p>
        </w:tc>
        <w:tc>
          <w:tcPr>
            <w:tcW w:w="1761" w:type="dxa"/>
            <w:noWrap/>
            <w:hideMark/>
          </w:tcPr>
          <w:p w14:paraId="5A048364" w14:textId="77777777" w:rsidR="00C415F6" w:rsidRPr="007D52CD" w:rsidRDefault="0064631B" w:rsidP="0064631B">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szCs w:val="22"/>
              </w:rPr>
              <w:t>2,580</w:t>
            </w:r>
          </w:p>
        </w:tc>
      </w:tr>
      <w:tr w:rsidR="00C415F6" w:rsidRPr="00FC5EBD" w14:paraId="3A82338F" w14:textId="77777777" w:rsidTr="00825B5E">
        <w:trPr>
          <w:trHeight w:val="270"/>
        </w:trPr>
        <w:tc>
          <w:tcPr>
            <w:cnfStyle w:val="001000000000" w:firstRow="0" w:lastRow="0" w:firstColumn="1" w:lastColumn="0" w:oddVBand="0" w:evenVBand="0" w:oddHBand="0" w:evenHBand="0" w:firstRowFirstColumn="0" w:firstRowLastColumn="0" w:lastRowFirstColumn="0" w:lastRowLastColumn="0"/>
            <w:tcW w:w="3232" w:type="dxa"/>
            <w:noWrap/>
            <w:hideMark/>
          </w:tcPr>
          <w:p w14:paraId="551EDD54" w14:textId="77777777" w:rsidR="00C415F6" w:rsidRPr="007D52CD" w:rsidRDefault="00AF2D59" w:rsidP="00C93734">
            <w:pPr>
              <w:jc w:val="both"/>
              <w:rPr>
                <w:rFonts w:eastAsia="Times New Roman"/>
                <w:color w:val="000000"/>
              </w:rPr>
            </w:pPr>
            <w:r w:rsidRPr="007D52CD">
              <w:rPr>
                <w:rFonts w:eastAsia="Times New Roman"/>
                <w:color w:val="000000"/>
                <w:szCs w:val="22"/>
              </w:rPr>
              <w:t>Elsewhere in Yorkshire and Humber</w:t>
            </w:r>
          </w:p>
        </w:tc>
        <w:tc>
          <w:tcPr>
            <w:tcW w:w="1761" w:type="dxa"/>
            <w:noWrap/>
            <w:hideMark/>
          </w:tcPr>
          <w:p w14:paraId="1C1DB3AA" w14:textId="77777777" w:rsidR="00C415F6" w:rsidRPr="007D52CD" w:rsidRDefault="0064631B"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szCs w:val="22"/>
              </w:rPr>
              <w:t>1,830</w:t>
            </w:r>
          </w:p>
        </w:tc>
      </w:tr>
      <w:tr w:rsidR="00C415F6" w:rsidRPr="00FC5EBD" w14:paraId="734C4EF2" w14:textId="77777777" w:rsidTr="00825B5E">
        <w:trPr>
          <w:trHeight w:val="270"/>
        </w:trPr>
        <w:tc>
          <w:tcPr>
            <w:cnfStyle w:val="001000000000" w:firstRow="0" w:lastRow="0" w:firstColumn="1" w:lastColumn="0" w:oddVBand="0" w:evenVBand="0" w:oddHBand="0" w:evenHBand="0" w:firstRowFirstColumn="0" w:firstRowLastColumn="0" w:lastRowFirstColumn="0" w:lastRowLastColumn="0"/>
            <w:tcW w:w="3232" w:type="dxa"/>
            <w:noWrap/>
            <w:hideMark/>
          </w:tcPr>
          <w:p w14:paraId="3000D4A2" w14:textId="77777777" w:rsidR="00C415F6" w:rsidRPr="007D52CD" w:rsidRDefault="00AF2D59" w:rsidP="00C93734">
            <w:pPr>
              <w:jc w:val="both"/>
              <w:rPr>
                <w:rFonts w:eastAsia="Times New Roman"/>
                <w:color w:val="000000"/>
              </w:rPr>
            </w:pPr>
            <w:r w:rsidRPr="007D52CD">
              <w:rPr>
                <w:rFonts w:eastAsia="Times New Roman"/>
                <w:color w:val="000000"/>
                <w:szCs w:val="22"/>
              </w:rPr>
              <w:t>Outside L/H</w:t>
            </w:r>
          </w:p>
        </w:tc>
        <w:tc>
          <w:tcPr>
            <w:tcW w:w="1761" w:type="dxa"/>
            <w:noWrap/>
            <w:hideMark/>
          </w:tcPr>
          <w:p w14:paraId="2AEA22F8" w14:textId="77777777" w:rsidR="00C415F6" w:rsidRPr="007D52CD" w:rsidRDefault="0064631B"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szCs w:val="22"/>
              </w:rPr>
              <w:t>3,140</w:t>
            </w:r>
          </w:p>
        </w:tc>
      </w:tr>
      <w:tr w:rsidR="00C415F6" w:rsidRPr="00FC5EBD" w14:paraId="4C71E075" w14:textId="77777777" w:rsidTr="00825B5E">
        <w:trPr>
          <w:trHeight w:val="270"/>
        </w:trPr>
        <w:tc>
          <w:tcPr>
            <w:cnfStyle w:val="001000000000" w:firstRow="0" w:lastRow="0" w:firstColumn="1" w:lastColumn="0" w:oddVBand="0" w:evenVBand="0" w:oddHBand="0" w:evenHBand="0" w:firstRowFirstColumn="0" w:firstRowLastColumn="0" w:lastRowFirstColumn="0" w:lastRowLastColumn="0"/>
            <w:tcW w:w="3232" w:type="dxa"/>
            <w:shd w:val="clear" w:color="auto" w:fill="auto"/>
            <w:noWrap/>
            <w:hideMark/>
          </w:tcPr>
          <w:p w14:paraId="517D855C" w14:textId="77777777" w:rsidR="00C415F6" w:rsidRPr="007D52CD" w:rsidRDefault="00AF2D59" w:rsidP="00C93734">
            <w:pPr>
              <w:jc w:val="both"/>
              <w:rPr>
                <w:rFonts w:eastAsia="Times New Roman"/>
                <w:b/>
                <w:bCs/>
                <w:color w:val="000000"/>
              </w:rPr>
            </w:pPr>
            <w:r w:rsidRPr="007D52CD">
              <w:rPr>
                <w:rFonts w:eastAsia="Times New Roman"/>
                <w:b/>
                <w:bCs/>
                <w:color w:val="000000"/>
                <w:szCs w:val="22"/>
              </w:rPr>
              <w:t>Total</w:t>
            </w:r>
          </w:p>
        </w:tc>
        <w:tc>
          <w:tcPr>
            <w:tcW w:w="1761" w:type="dxa"/>
            <w:shd w:val="clear" w:color="auto" w:fill="auto"/>
            <w:noWrap/>
            <w:hideMark/>
          </w:tcPr>
          <w:p w14:paraId="5772068B" w14:textId="77777777" w:rsidR="00C415F6" w:rsidRPr="007D52CD" w:rsidRDefault="0064631B" w:rsidP="00C93734">
            <w:pPr>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b/>
                <w:color w:val="000000"/>
                <w:szCs w:val="22"/>
              </w:rPr>
              <w:t>7,550</w:t>
            </w:r>
          </w:p>
        </w:tc>
      </w:tr>
      <w:tr w:rsidR="00C415F6" w:rsidRPr="0058323C" w14:paraId="20D0F46F" w14:textId="77777777" w:rsidTr="00825B5E">
        <w:trPr>
          <w:trHeight w:val="270"/>
        </w:trPr>
        <w:tc>
          <w:tcPr>
            <w:cnfStyle w:val="001000000000" w:firstRow="0" w:lastRow="0" w:firstColumn="1" w:lastColumn="0" w:oddVBand="0" w:evenVBand="0" w:oddHBand="0" w:evenHBand="0" w:firstRowFirstColumn="0" w:firstRowLastColumn="0" w:lastRowFirstColumn="0" w:lastRowLastColumn="0"/>
            <w:tcW w:w="3232" w:type="dxa"/>
            <w:shd w:val="clear" w:color="auto" w:fill="E6E4DE" w:themeFill="accent6"/>
            <w:noWrap/>
            <w:hideMark/>
          </w:tcPr>
          <w:p w14:paraId="47BCB9CD" w14:textId="77777777" w:rsidR="00C415F6" w:rsidRPr="0058323C" w:rsidRDefault="00C415F6" w:rsidP="00C93734">
            <w:pPr>
              <w:jc w:val="both"/>
              <w:rPr>
                <w:rFonts w:eastAsia="Times New Roman"/>
                <w:b/>
                <w:bCs/>
                <w:color w:val="000000"/>
              </w:rPr>
            </w:pPr>
            <w:r w:rsidRPr="0058323C">
              <w:rPr>
                <w:rFonts w:eastAsia="Times New Roman"/>
                <w:b/>
                <w:bCs/>
                <w:color w:val="000000"/>
              </w:rPr>
              <w:t>Induced</w:t>
            </w:r>
          </w:p>
        </w:tc>
        <w:tc>
          <w:tcPr>
            <w:tcW w:w="1761" w:type="dxa"/>
            <w:shd w:val="clear" w:color="auto" w:fill="E6E4DE" w:themeFill="accent6"/>
            <w:hideMark/>
          </w:tcPr>
          <w:p w14:paraId="2E30CA63" w14:textId="77777777" w:rsidR="00C415F6" w:rsidRPr="0058323C" w:rsidRDefault="00C415F6"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8323C">
              <w:rPr>
                <w:rFonts w:eastAsia="Times New Roman"/>
                <w:color w:val="000000"/>
              </w:rPr>
              <w:t> </w:t>
            </w:r>
          </w:p>
        </w:tc>
      </w:tr>
      <w:tr w:rsidR="00C415F6" w:rsidRPr="0058323C" w14:paraId="181AB524" w14:textId="77777777" w:rsidTr="00825B5E">
        <w:trPr>
          <w:trHeight w:val="270"/>
        </w:trPr>
        <w:tc>
          <w:tcPr>
            <w:cnfStyle w:val="001000000000" w:firstRow="0" w:lastRow="0" w:firstColumn="1" w:lastColumn="0" w:oddVBand="0" w:evenVBand="0" w:oddHBand="0" w:evenHBand="0" w:firstRowFirstColumn="0" w:firstRowLastColumn="0" w:lastRowFirstColumn="0" w:lastRowLastColumn="0"/>
            <w:tcW w:w="3232" w:type="dxa"/>
            <w:noWrap/>
            <w:hideMark/>
          </w:tcPr>
          <w:p w14:paraId="0B3E1035" w14:textId="77777777" w:rsidR="00C415F6" w:rsidRPr="0058323C" w:rsidRDefault="00C415F6" w:rsidP="00C93734">
            <w:pPr>
              <w:jc w:val="both"/>
              <w:rPr>
                <w:rFonts w:eastAsia="Times New Roman"/>
                <w:color w:val="000000"/>
              </w:rPr>
            </w:pPr>
            <w:r w:rsidRPr="0058323C">
              <w:rPr>
                <w:rFonts w:eastAsia="Times New Roman"/>
                <w:color w:val="000000"/>
              </w:rPr>
              <w:t>N.&amp; N.E Lincolnshire &amp; Humber</w:t>
            </w:r>
          </w:p>
        </w:tc>
        <w:tc>
          <w:tcPr>
            <w:tcW w:w="1761" w:type="dxa"/>
            <w:noWrap/>
            <w:hideMark/>
          </w:tcPr>
          <w:p w14:paraId="67007879" w14:textId="77777777" w:rsidR="00C415F6" w:rsidRPr="0058323C" w:rsidRDefault="00C415F6"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8323C">
              <w:rPr>
                <w:rFonts w:eastAsia="Times New Roman"/>
                <w:color w:val="000000"/>
              </w:rPr>
              <w:t>990</w:t>
            </w:r>
          </w:p>
        </w:tc>
      </w:tr>
      <w:tr w:rsidR="00C415F6" w:rsidRPr="0058323C" w14:paraId="2EF4E8D1" w14:textId="77777777" w:rsidTr="00825B5E">
        <w:trPr>
          <w:trHeight w:val="270"/>
        </w:trPr>
        <w:tc>
          <w:tcPr>
            <w:cnfStyle w:val="001000000000" w:firstRow="0" w:lastRow="0" w:firstColumn="1" w:lastColumn="0" w:oddVBand="0" w:evenVBand="0" w:oddHBand="0" w:evenHBand="0" w:firstRowFirstColumn="0" w:firstRowLastColumn="0" w:lastRowFirstColumn="0" w:lastRowLastColumn="0"/>
            <w:tcW w:w="3232" w:type="dxa"/>
            <w:noWrap/>
            <w:hideMark/>
          </w:tcPr>
          <w:p w14:paraId="53A3F13B" w14:textId="77777777" w:rsidR="00C415F6" w:rsidRPr="0058323C" w:rsidRDefault="00C415F6" w:rsidP="00C93734">
            <w:pPr>
              <w:jc w:val="both"/>
              <w:rPr>
                <w:rFonts w:eastAsia="Times New Roman"/>
                <w:color w:val="000000"/>
              </w:rPr>
            </w:pPr>
            <w:r w:rsidRPr="0058323C">
              <w:rPr>
                <w:rFonts w:eastAsia="Times New Roman"/>
                <w:color w:val="000000"/>
              </w:rPr>
              <w:t>Elsewhere in Yorkshire and Humber</w:t>
            </w:r>
          </w:p>
        </w:tc>
        <w:tc>
          <w:tcPr>
            <w:tcW w:w="1761" w:type="dxa"/>
            <w:noWrap/>
            <w:hideMark/>
          </w:tcPr>
          <w:p w14:paraId="536A4564" w14:textId="77777777" w:rsidR="00C415F6" w:rsidRPr="0058323C" w:rsidRDefault="00C415F6"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8323C">
              <w:rPr>
                <w:rFonts w:eastAsia="Times New Roman"/>
                <w:color w:val="000000"/>
              </w:rPr>
              <w:t>700</w:t>
            </w:r>
          </w:p>
        </w:tc>
      </w:tr>
      <w:tr w:rsidR="00C415F6" w:rsidRPr="0058323C" w14:paraId="6A8F3BE6" w14:textId="77777777" w:rsidTr="00825B5E">
        <w:trPr>
          <w:trHeight w:val="270"/>
        </w:trPr>
        <w:tc>
          <w:tcPr>
            <w:cnfStyle w:val="001000000000" w:firstRow="0" w:lastRow="0" w:firstColumn="1" w:lastColumn="0" w:oddVBand="0" w:evenVBand="0" w:oddHBand="0" w:evenHBand="0" w:firstRowFirstColumn="0" w:firstRowLastColumn="0" w:lastRowFirstColumn="0" w:lastRowLastColumn="0"/>
            <w:tcW w:w="3232" w:type="dxa"/>
            <w:noWrap/>
            <w:hideMark/>
          </w:tcPr>
          <w:p w14:paraId="04946B74" w14:textId="77777777" w:rsidR="00C415F6" w:rsidRPr="0058323C" w:rsidRDefault="00C415F6" w:rsidP="00C93734">
            <w:pPr>
              <w:jc w:val="both"/>
              <w:rPr>
                <w:rFonts w:eastAsia="Times New Roman"/>
                <w:color w:val="000000"/>
              </w:rPr>
            </w:pPr>
            <w:r w:rsidRPr="0058323C">
              <w:rPr>
                <w:rFonts w:eastAsia="Times New Roman"/>
                <w:color w:val="000000"/>
              </w:rPr>
              <w:t>Outside Yorkshire</w:t>
            </w:r>
          </w:p>
        </w:tc>
        <w:tc>
          <w:tcPr>
            <w:tcW w:w="1761" w:type="dxa"/>
            <w:noWrap/>
            <w:hideMark/>
          </w:tcPr>
          <w:p w14:paraId="4CEAE63B" w14:textId="77777777" w:rsidR="00C415F6" w:rsidRPr="0058323C" w:rsidRDefault="00C415F6"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8323C">
              <w:rPr>
                <w:rFonts w:eastAsia="Times New Roman"/>
                <w:color w:val="000000"/>
              </w:rPr>
              <w:t>1,200</w:t>
            </w:r>
          </w:p>
        </w:tc>
      </w:tr>
      <w:tr w:rsidR="00825B5E" w:rsidRPr="0058323C" w14:paraId="2EB00ED8" w14:textId="77777777" w:rsidTr="00825B5E">
        <w:trPr>
          <w:trHeight w:val="270"/>
        </w:trPr>
        <w:tc>
          <w:tcPr>
            <w:cnfStyle w:val="001000000000" w:firstRow="0" w:lastRow="0" w:firstColumn="1" w:lastColumn="0" w:oddVBand="0" w:evenVBand="0" w:oddHBand="0" w:evenHBand="0" w:firstRowFirstColumn="0" w:firstRowLastColumn="0" w:lastRowFirstColumn="0" w:lastRowLastColumn="0"/>
            <w:tcW w:w="3232" w:type="dxa"/>
            <w:noWrap/>
            <w:hideMark/>
          </w:tcPr>
          <w:p w14:paraId="13F9D7ED" w14:textId="77777777" w:rsidR="00825B5E" w:rsidRPr="00612E42" w:rsidRDefault="00347DF8" w:rsidP="00C93734">
            <w:pPr>
              <w:jc w:val="both"/>
              <w:rPr>
                <w:rFonts w:eastAsia="Times New Roman"/>
                <w:b/>
                <w:color w:val="000000"/>
              </w:rPr>
            </w:pPr>
            <w:r w:rsidRPr="00347DF8">
              <w:rPr>
                <w:rFonts w:eastAsia="Times New Roman"/>
                <w:b/>
                <w:color w:val="000000"/>
              </w:rPr>
              <w:t>Total</w:t>
            </w:r>
          </w:p>
        </w:tc>
        <w:tc>
          <w:tcPr>
            <w:tcW w:w="1761" w:type="dxa"/>
            <w:noWrap/>
            <w:hideMark/>
          </w:tcPr>
          <w:p w14:paraId="72DD4BC1" w14:textId="77777777" w:rsidR="00825B5E" w:rsidRPr="00612E42" w:rsidRDefault="00347DF8" w:rsidP="00C93734">
            <w:pPr>
              <w:jc w:val="both"/>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347DF8">
              <w:rPr>
                <w:rFonts w:eastAsia="Times New Roman"/>
                <w:b/>
                <w:color w:val="000000"/>
              </w:rPr>
              <w:t>2,890</w:t>
            </w:r>
          </w:p>
        </w:tc>
      </w:tr>
      <w:tr w:rsidR="00C415F6" w:rsidRPr="0058323C" w14:paraId="6A37B905" w14:textId="77777777" w:rsidTr="00612E42">
        <w:trPr>
          <w:trHeight w:val="270"/>
        </w:trPr>
        <w:tc>
          <w:tcPr>
            <w:cnfStyle w:val="001000000000" w:firstRow="0" w:lastRow="0" w:firstColumn="1" w:lastColumn="0" w:oddVBand="0" w:evenVBand="0" w:oddHBand="0" w:evenHBand="0" w:firstRowFirstColumn="0" w:firstRowLastColumn="0" w:lastRowFirstColumn="0" w:lastRowLastColumn="0"/>
            <w:tcW w:w="3232" w:type="dxa"/>
            <w:shd w:val="clear" w:color="auto" w:fill="E6E4DE" w:themeFill="accent6"/>
            <w:noWrap/>
            <w:hideMark/>
          </w:tcPr>
          <w:p w14:paraId="33364551" w14:textId="77777777" w:rsidR="00C415F6" w:rsidRPr="0058323C" w:rsidRDefault="00C415F6" w:rsidP="00C93734">
            <w:pPr>
              <w:jc w:val="both"/>
              <w:rPr>
                <w:rFonts w:eastAsia="Times New Roman"/>
                <w:b/>
                <w:bCs/>
                <w:color w:val="000000"/>
              </w:rPr>
            </w:pPr>
            <w:r w:rsidRPr="0058323C">
              <w:rPr>
                <w:rFonts w:eastAsia="Times New Roman"/>
                <w:b/>
                <w:bCs/>
                <w:color w:val="000000"/>
              </w:rPr>
              <w:t xml:space="preserve">Total </w:t>
            </w:r>
          </w:p>
        </w:tc>
        <w:tc>
          <w:tcPr>
            <w:tcW w:w="960" w:type="dxa"/>
            <w:shd w:val="clear" w:color="auto" w:fill="E6E4DE" w:themeFill="accent6"/>
            <w:noWrap/>
            <w:hideMark/>
          </w:tcPr>
          <w:p w14:paraId="440E0DE4" w14:textId="77777777" w:rsidR="00C415F6" w:rsidRPr="00F5463F" w:rsidRDefault="00C415F6" w:rsidP="0064631B">
            <w:pPr>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F5463F">
              <w:rPr>
                <w:rFonts w:eastAsia="Times New Roman"/>
                <w:b/>
                <w:bCs/>
                <w:color w:val="000000"/>
              </w:rPr>
              <w:t>15,260</w:t>
            </w:r>
          </w:p>
        </w:tc>
      </w:tr>
    </w:tbl>
    <w:p w14:paraId="76C1E2CF" w14:textId="77777777" w:rsidR="00F5463F" w:rsidRPr="002805F3" w:rsidRDefault="00F5463F" w:rsidP="00C93734">
      <w:pPr>
        <w:pStyle w:val="TableSource"/>
        <w:jc w:val="both"/>
      </w:pPr>
      <w:r w:rsidRPr="002805F3">
        <w:t>Source: Atkins 2013. Atkins Ref: Survey –A9-A11. Figures rounded.</w:t>
      </w:r>
    </w:p>
    <w:p w14:paraId="072711EB" w14:textId="77777777" w:rsidR="00F5463F" w:rsidRDefault="00F5463F" w:rsidP="00C93734">
      <w:pPr>
        <w:jc w:val="both"/>
        <w:rPr>
          <w:rFonts w:cs="Arial"/>
          <w:b/>
        </w:rPr>
      </w:pPr>
      <w:r w:rsidRPr="00F103FE">
        <w:rPr>
          <w:rFonts w:cs="Arial"/>
          <w:b/>
        </w:rPr>
        <w:t>Supply chain</w:t>
      </w:r>
    </w:p>
    <w:p w14:paraId="00E71B73" w14:textId="77777777" w:rsidR="00F5463F" w:rsidRPr="0058323C" w:rsidRDefault="000331B4" w:rsidP="00C93734">
      <w:pPr>
        <w:jc w:val="both"/>
        <w:rPr>
          <w:rFonts w:cs="Arial"/>
        </w:rPr>
      </w:pPr>
      <w:r>
        <w:rPr>
          <w:rFonts w:cs="Arial"/>
        </w:rPr>
        <w:t xml:space="preserve">In order to capture </w:t>
      </w:r>
      <w:r w:rsidR="00032D54">
        <w:rPr>
          <w:rFonts w:cs="Arial"/>
        </w:rPr>
        <w:t>empirically</w:t>
      </w:r>
      <w:r>
        <w:rPr>
          <w:rFonts w:cs="Arial"/>
        </w:rPr>
        <w:t xml:space="preserve"> based estimates of the economic contribution of each sector</w:t>
      </w:r>
      <w:r w:rsidR="00032D54">
        <w:rPr>
          <w:rFonts w:cs="Arial"/>
        </w:rPr>
        <w:t xml:space="preserve"> to the NEL </w:t>
      </w:r>
      <w:r w:rsidR="00CA56EB">
        <w:rPr>
          <w:rFonts w:cs="Arial"/>
        </w:rPr>
        <w:t>economy</w:t>
      </w:r>
      <w:r w:rsidR="00D86283">
        <w:rPr>
          <w:rFonts w:cs="Arial"/>
        </w:rPr>
        <w:t>,</w:t>
      </w:r>
      <w:r>
        <w:rPr>
          <w:rFonts w:cs="Arial"/>
        </w:rPr>
        <w:t xml:space="preserve"> survey respondents were asked to </w:t>
      </w:r>
      <w:r w:rsidR="00032D54">
        <w:rPr>
          <w:rFonts w:cs="Arial"/>
        </w:rPr>
        <w:t xml:space="preserve">provide a </w:t>
      </w:r>
      <w:r>
        <w:rPr>
          <w:rFonts w:cs="Arial"/>
        </w:rPr>
        <w:t>breakdown</w:t>
      </w:r>
      <w:r w:rsidR="00032D54">
        <w:rPr>
          <w:rFonts w:cs="Arial"/>
        </w:rPr>
        <w:t xml:space="preserve"> of</w:t>
      </w:r>
      <w:r w:rsidR="00D86283">
        <w:rPr>
          <w:rFonts w:cs="Arial"/>
        </w:rPr>
        <w:t xml:space="preserve"> t</w:t>
      </w:r>
      <w:r w:rsidR="00F5463F" w:rsidRPr="0058323C">
        <w:rPr>
          <w:rFonts w:cs="Arial"/>
        </w:rPr>
        <w:t xml:space="preserve">urnover </w:t>
      </w:r>
      <w:r w:rsidR="00475C93">
        <w:rPr>
          <w:rFonts w:cs="Arial"/>
        </w:rPr>
        <w:t>into broad categories of</w:t>
      </w:r>
      <w:r w:rsidR="00F5463F" w:rsidRPr="0058323C">
        <w:rPr>
          <w:rFonts w:cs="Arial"/>
        </w:rPr>
        <w:t xml:space="preserve"> purch</w:t>
      </w:r>
      <w:r w:rsidR="00D86283">
        <w:rPr>
          <w:rFonts w:cs="Arial"/>
        </w:rPr>
        <w:t>ases</w:t>
      </w:r>
      <w:r w:rsidR="00032D54">
        <w:rPr>
          <w:rFonts w:cs="Arial"/>
        </w:rPr>
        <w:t xml:space="preserve"> (supply chain)</w:t>
      </w:r>
      <w:r w:rsidR="00D86283">
        <w:rPr>
          <w:rFonts w:cs="Arial"/>
        </w:rPr>
        <w:t xml:space="preserve">, payroll, rents and gross </w:t>
      </w:r>
      <w:r w:rsidR="00475228">
        <w:rPr>
          <w:rFonts w:cs="Arial"/>
        </w:rPr>
        <w:t>profit</w:t>
      </w:r>
      <w:r w:rsidR="00F5463F" w:rsidRPr="0058323C">
        <w:rPr>
          <w:rFonts w:cs="Arial"/>
        </w:rPr>
        <w:t xml:space="preserve">. </w:t>
      </w:r>
    </w:p>
    <w:p w14:paraId="3D14AB4C" w14:textId="77777777" w:rsidR="00CA56EB" w:rsidRDefault="00CA56EB" w:rsidP="00CA56EB">
      <w:pPr>
        <w:pStyle w:val="Caption"/>
        <w:jc w:val="both"/>
      </w:pPr>
      <w:r>
        <w:t xml:space="preserve">Table </w:t>
      </w:r>
      <w:fldSimple w:instr=" STYLEREF 1 \s  \* MERGEFORMAT ">
        <w:r w:rsidR="00E95E1A">
          <w:rPr>
            <w:noProof/>
          </w:rPr>
          <w:t>4</w:t>
        </w:r>
      </w:fldSimple>
      <w:r>
        <w:t>-</w:t>
      </w:r>
      <w:fldSimple w:instr=" SEQ Table \* ARABIC \s 1  \* MERGEFORMAT ">
        <w:r w:rsidR="00E95E1A">
          <w:rPr>
            <w:noProof/>
          </w:rPr>
          <w:t>4</w:t>
        </w:r>
      </w:fldSimple>
      <w:r>
        <w:tab/>
        <w:t xml:space="preserve">Breakdown of Annual Turnover </w:t>
      </w:r>
    </w:p>
    <w:tbl>
      <w:tblPr>
        <w:tblStyle w:val="Atkins14pt"/>
        <w:tblW w:w="3402" w:type="dxa"/>
        <w:tblLayout w:type="fixed"/>
        <w:tblLook w:val="04A0" w:firstRow="1" w:lastRow="0" w:firstColumn="1" w:lastColumn="0" w:noHBand="0" w:noVBand="1"/>
      </w:tblPr>
      <w:tblGrid>
        <w:gridCol w:w="1843"/>
        <w:gridCol w:w="1559"/>
      </w:tblGrid>
      <w:tr w:rsidR="00F5463F" w:rsidRPr="00DC3863" w14:paraId="571743C8" w14:textId="77777777" w:rsidTr="00F5473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843" w:type="dxa"/>
            <w:noWrap/>
            <w:hideMark/>
          </w:tcPr>
          <w:p w14:paraId="5CFC5601" w14:textId="77777777" w:rsidR="00F5463F" w:rsidRPr="00DC3863" w:rsidRDefault="00F5463F" w:rsidP="00000DCA">
            <w:pPr>
              <w:pStyle w:val="TableHeading"/>
              <w:rPr>
                <w:color w:val="394A58"/>
              </w:rPr>
            </w:pPr>
            <w:r w:rsidRPr="00F5463F">
              <w:rPr>
                <w:color w:val="auto"/>
              </w:rPr>
              <w:t>Turnover</w:t>
            </w:r>
          </w:p>
        </w:tc>
        <w:tc>
          <w:tcPr>
            <w:tcW w:w="1559" w:type="dxa"/>
            <w:noWrap/>
            <w:hideMark/>
          </w:tcPr>
          <w:p w14:paraId="577C5009" w14:textId="77777777" w:rsidR="00F5463F" w:rsidRPr="0058323C" w:rsidRDefault="00F5463F" w:rsidP="00000DCA">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58323C">
              <w:rPr>
                <w:color w:val="auto"/>
              </w:rPr>
              <w:t>Ports &amp; Logistics</w:t>
            </w:r>
          </w:p>
        </w:tc>
      </w:tr>
      <w:tr w:rsidR="00F5463F" w:rsidRPr="00DC3863" w14:paraId="73D23CF8"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29039AE" w14:textId="77777777" w:rsidR="00F5463F" w:rsidRPr="00DC3863" w:rsidRDefault="00F5463F" w:rsidP="00000DCA">
            <w:pPr>
              <w:pStyle w:val="TableHeading"/>
              <w:ind w:right="202"/>
              <w:rPr>
                <w:b w:val="0"/>
                <w:color w:val="auto"/>
              </w:rPr>
            </w:pPr>
            <w:r w:rsidRPr="00DC3863">
              <w:rPr>
                <w:b w:val="0"/>
                <w:color w:val="auto"/>
              </w:rPr>
              <w:t>Total Purchases</w:t>
            </w:r>
          </w:p>
        </w:tc>
        <w:tc>
          <w:tcPr>
            <w:tcW w:w="1559" w:type="dxa"/>
            <w:noWrap/>
            <w:hideMark/>
          </w:tcPr>
          <w:p w14:paraId="6201A2DF" w14:textId="77777777" w:rsidR="00F5463F" w:rsidRPr="00DC3863" w:rsidRDefault="00F5463F" w:rsidP="00000DCA">
            <w:pPr>
              <w:pStyle w:val="TableHeading"/>
              <w:ind w:right="202"/>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41.0%</w:t>
            </w:r>
          </w:p>
        </w:tc>
      </w:tr>
      <w:tr w:rsidR="00F5463F" w:rsidRPr="00DC3863" w14:paraId="14E6175F"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379EEE0" w14:textId="77777777" w:rsidR="00F5463F" w:rsidRPr="00DC3863" w:rsidRDefault="00F5463F" w:rsidP="00000DCA">
            <w:pPr>
              <w:pStyle w:val="TableHeading"/>
              <w:ind w:right="202"/>
              <w:rPr>
                <w:b w:val="0"/>
                <w:color w:val="auto"/>
              </w:rPr>
            </w:pPr>
            <w:r w:rsidRPr="00DC3863">
              <w:rPr>
                <w:b w:val="0"/>
                <w:color w:val="auto"/>
              </w:rPr>
              <w:t>Payroll</w:t>
            </w:r>
          </w:p>
        </w:tc>
        <w:tc>
          <w:tcPr>
            <w:tcW w:w="1559" w:type="dxa"/>
            <w:noWrap/>
            <w:hideMark/>
          </w:tcPr>
          <w:p w14:paraId="57CE0015" w14:textId="77777777" w:rsidR="00F5463F" w:rsidRPr="00DC3863" w:rsidRDefault="00F5463F" w:rsidP="00000DCA">
            <w:pPr>
              <w:pStyle w:val="TableHeading"/>
              <w:ind w:right="202"/>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25.2%</w:t>
            </w:r>
          </w:p>
        </w:tc>
      </w:tr>
      <w:tr w:rsidR="00F5463F" w:rsidRPr="00DC3863" w14:paraId="3A40E9A1"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A1B6702" w14:textId="77777777" w:rsidR="00F5463F" w:rsidRPr="00DC3863" w:rsidRDefault="00F5463F" w:rsidP="00000DCA">
            <w:pPr>
              <w:pStyle w:val="TableHeading"/>
              <w:ind w:right="202"/>
              <w:rPr>
                <w:b w:val="0"/>
                <w:color w:val="auto"/>
              </w:rPr>
            </w:pPr>
            <w:r w:rsidRPr="00DC3863">
              <w:rPr>
                <w:b w:val="0"/>
                <w:color w:val="auto"/>
              </w:rPr>
              <w:t>Land property</w:t>
            </w:r>
            <w:r w:rsidR="00D86283">
              <w:rPr>
                <w:b w:val="0"/>
                <w:color w:val="auto"/>
              </w:rPr>
              <w:t xml:space="preserve"> (rents)</w:t>
            </w:r>
          </w:p>
        </w:tc>
        <w:tc>
          <w:tcPr>
            <w:tcW w:w="1559" w:type="dxa"/>
            <w:noWrap/>
            <w:hideMark/>
          </w:tcPr>
          <w:p w14:paraId="684BAD36" w14:textId="77777777" w:rsidR="00F5463F" w:rsidRPr="00DC3863" w:rsidRDefault="00F5463F" w:rsidP="00000DCA">
            <w:pPr>
              <w:pStyle w:val="TableHeading"/>
              <w:ind w:right="202"/>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10.9%</w:t>
            </w:r>
          </w:p>
        </w:tc>
      </w:tr>
      <w:tr w:rsidR="00F5463F" w:rsidRPr="00DC3863" w14:paraId="4E0DEC3C"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74F8660" w14:textId="77777777" w:rsidR="00F5463F" w:rsidRPr="00DC3863" w:rsidRDefault="00F5463F" w:rsidP="00C93734">
            <w:pPr>
              <w:pStyle w:val="TableHeading"/>
              <w:ind w:right="202"/>
              <w:jc w:val="both"/>
              <w:rPr>
                <w:b w:val="0"/>
                <w:color w:val="auto"/>
              </w:rPr>
            </w:pPr>
            <w:r w:rsidRPr="00DC3863">
              <w:rPr>
                <w:b w:val="0"/>
                <w:color w:val="auto"/>
              </w:rPr>
              <w:t>Gross Profit</w:t>
            </w:r>
          </w:p>
        </w:tc>
        <w:tc>
          <w:tcPr>
            <w:tcW w:w="1559" w:type="dxa"/>
            <w:noWrap/>
            <w:hideMark/>
          </w:tcPr>
          <w:p w14:paraId="70E2F640" w14:textId="77777777" w:rsidR="00F5463F" w:rsidRPr="00DC3863" w:rsidRDefault="00F5463F" w:rsidP="00374100">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2</w:t>
            </w:r>
            <w:r w:rsidR="00374100">
              <w:rPr>
                <w:b w:val="0"/>
                <w:color w:val="auto"/>
              </w:rPr>
              <w:t>2.9</w:t>
            </w:r>
            <w:r w:rsidRPr="00DC3863">
              <w:rPr>
                <w:b w:val="0"/>
                <w:color w:val="auto"/>
              </w:rPr>
              <w:t>%</w:t>
            </w:r>
          </w:p>
        </w:tc>
      </w:tr>
    </w:tbl>
    <w:p w14:paraId="072CA4B9" w14:textId="77777777" w:rsidR="00F5463F" w:rsidRPr="002805F3" w:rsidRDefault="00F5463F" w:rsidP="00C93734">
      <w:pPr>
        <w:pStyle w:val="TableSource"/>
        <w:jc w:val="both"/>
      </w:pPr>
      <w:r w:rsidRPr="002805F3">
        <w:t>Source: Hill Taylor and Atkins 2013. Atkins Ref: Survey –A14</w:t>
      </w:r>
    </w:p>
    <w:p w14:paraId="56B80866" w14:textId="77777777" w:rsidR="00F5463F" w:rsidRPr="007D52CD" w:rsidRDefault="000331B4" w:rsidP="00C93734">
      <w:pPr>
        <w:jc w:val="both"/>
        <w:rPr>
          <w:rFonts w:cs="Arial"/>
        </w:rPr>
      </w:pPr>
      <w:r>
        <w:rPr>
          <w:rFonts w:cs="Arial"/>
        </w:rPr>
        <w:t xml:space="preserve">Given that 41% of turnover from the NEL ports and logistics sector is devoted to purchases, this indicates the importance and scale of the supply chain in the sector.  </w:t>
      </w:r>
      <w:r w:rsidR="00475228">
        <w:rPr>
          <w:rFonts w:cs="Arial"/>
        </w:rPr>
        <w:t>The following table highlights the diversity of expenditure made by the ports and logistics sector across a range of</w:t>
      </w:r>
      <w:r>
        <w:rPr>
          <w:rFonts w:cs="Arial"/>
        </w:rPr>
        <w:t xml:space="preserve"> economic activities.  This demonstrates how the ports and logistics sector is particularly important in supporting job creation in a wide range of other </w:t>
      </w:r>
      <w:r w:rsidRPr="007D52CD">
        <w:rPr>
          <w:rFonts w:cs="Arial"/>
        </w:rPr>
        <w:t>sectors</w:t>
      </w:r>
      <w:r w:rsidR="00475C93">
        <w:rPr>
          <w:rFonts w:cs="Arial"/>
        </w:rPr>
        <w:t>,</w:t>
      </w:r>
      <w:r w:rsidRPr="007D52CD">
        <w:rPr>
          <w:rFonts w:cs="Arial"/>
        </w:rPr>
        <w:t xml:space="preserve"> most notably energy and utilities, </w:t>
      </w:r>
      <w:r w:rsidR="00D73097" w:rsidRPr="007D52CD">
        <w:rPr>
          <w:rFonts w:cs="Arial"/>
        </w:rPr>
        <w:t>financial and insurance services, business and professional services and distribution and warehousing.</w:t>
      </w:r>
    </w:p>
    <w:p w14:paraId="6D271DEC" w14:textId="77777777" w:rsidR="00374100" w:rsidRDefault="00374100">
      <w:pPr>
        <w:spacing w:after="200" w:line="276" w:lineRule="auto"/>
        <w:rPr>
          <w:b/>
          <w:bCs/>
          <w:szCs w:val="18"/>
        </w:rPr>
      </w:pPr>
      <w:r>
        <w:br w:type="page"/>
      </w:r>
    </w:p>
    <w:p w14:paraId="10B3E405" w14:textId="77777777" w:rsidR="00F5463F" w:rsidRPr="007D52CD" w:rsidRDefault="00F5463F" w:rsidP="00C93734">
      <w:pPr>
        <w:pStyle w:val="Caption"/>
        <w:jc w:val="both"/>
      </w:pPr>
      <w:r w:rsidRPr="007D52CD">
        <w:t xml:space="preserve">Table </w:t>
      </w:r>
      <w:fldSimple w:instr=" STYLEREF 1 \s  \* MERGEFORMAT ">
        <w:r w:rsidR="00E95E1A">
          <w:rPr>
            <w:noProof/>
          </w:rPr>
          <w:t>4</w:t>
        </w:r>
      </w:fldSimple>
      <w:r w:rsidRPr="007D52CD">
        <w:t>-</w:t>
      </w:r>
      <w:fldSimple w:instr=" SEQ Table \* ARABIC \s 1  \* MERGEFORMAT ">
        <w:r w:rsidR="00E95E1A">
          <w:rPr>
            <w:noProof/>
          </w:rPr>
          <w:t>5</w:t>
        </w:r>
      </w:fldSimple>
      <w:r w:rsidRPr="007D52CD">
        <w:tab/>
        <w:t>Types of Goods &amp; Services Purchased</w:t>
      </w:r>
    </w:p>
    <w:tbl>
      <w:tblPr>
        <w:tblW w:w="5904" w:type="dxa"/>
        <w:tblInd w:w="93" w:type="dxa"/>
        <w:tblLook w:val="04A0" w:firstRow="1" w:lastRow="0" w:firstColumn="1" w:lastColumn="0" w:noHBand="0" w:noVBand="1"/>
      </w:tblPr>
      <w:tblGrid>
        <w:gridCol w:w="4944"/>
        <w:gridCol w:w="1094"/>
      </w:tblGrid>
      <w:tr w:rsidR="00F5463F" w:rsidRPr="007D52CD" w14:paraId="4D4C0661" w14:textId="77777777" w:rsidTr="00000DCA">
        <w:trPr>
          <w:trHeight w:val="270"/>
          <w:tblHeader/>
        </w:trPr>
        <w:tc>
          <w:tcPr>
            <w:tcW w:w="4944" w:type="dxa"/>
            <w:tcBorders>
              <w:top w:val="single" w:sz="8" w:space="0" w:color="000000"/>
              <w:left w:val="single" w:sz="8" w:space="0" w:color="000000"/>
              <w:bottom w:val="single" w:sz="8" w:space="0" w:color="auto"/>
              <w:right w:val="single" w:sz="8" w:space="0" w:color="000000"/>
            </w:tcBorders>
            <w:shd w:val="clear" w:color="000000" w:fill="F0EEEB"/>
            <w:noWrap/>
            <w:hideMark/>
          </w:tcPr>
          <w:p w14:paraId="603F3BE7" w14:textId="77777777" w:rsidR="00F5463F" w:rsidRPr="007D52CD" w:rsidRDefault="00F5463F" w:rsidP="00C93734">
            <w:pPr>
              <w:spacing w:after="0"/>
              <w:jc w:val="both"/>
              <w:rPr>
                <w:rFonts w:eastAsia="Times New Roman" w:cs="Arial"/>
                <w:b/>
                <w:color w:val="000000"/>
                <w:szCs w:val="20"/>
                <w:lang w:eastAsia="en-GB"/>
              </w:rPr>
            </w:pPr>
            <w:r w:rsidRPr="007D52CD">
              <w:rPr>
                <w:rFonts w:eastAsia="Times New Roman" w:cs="Arial"/>
                <w:color w:val="000000"/>
                <w:szCs w:val="20"/>
                <w:lang w:eastAsia="en-GB"/>
              </w:rPr>
              <w:t> </w:t>
            </w:r>
            <w:r w:rsidRPr="007D52CD">
              <w:rPr>
                <w:rFonts w:eastAsia="Times New Roman" w:cs="Arial"/>
                <w:b/>
                <w:color w:val="000000"/>
                <w:szCs w:val="20"/>
                <w:lang w:eastAsia="en-GB"/>
              </w:rPr>
              <w:t>Purchases</w:t>
            </w:r>
          </w:p>
        </w:tc>
        <w:tc>
          <w:tcPr>
            <w:tcW w:w="960" w:type="dxa"/>
            <w:tcBorders>
              <w:top w:val="single" w:sz="8" w:space="0" w:color="000000"/>
              <w:left w:val="nil"/>
              <w:bottom w:val="single" w:sz="8" w:space="0" w:color="auto"/>
              <w:right w:val="single" w:sz="8" w:space="0" w:color="000000"/>
            </w:tcBorders>
            <w:shd w:val="clear" w:color="000000" w:fill="F0EEEB"/>
            <w:noWrap/>
            <w:hideMark/>
          </w:tcPr>
          <w:p w14:paraId="74E9ED93" w14:textId="77777777" w:rsidR="00F5463F" w:rsidRPr="007D52CD" w:rsidRDefault="00F5463F" w:rsidP="00C93734">
            <w:pPr>
              <w:spacing w:after="0"/>
              <w:jc w:val="both"/>
              <w:rPr>
                <w:rFonts w:eastAsia="Times New Roman" w:cs="Arial"/>
                <w:b/>
                <w:bCs/>
                <w:color w:val="000000"/>
                <w:szCs w:val="20"/>
                <w:lang w:eastAsia="en-GB"/>
              </w:rPr>
            </w:pPr>
            <w:r w:rsidRPr="007D52CD">
              <w:rPr>
                <w:rFonts w:eastAsia="Times New Roman" w:cs="Arial"/>
                <w:b/>
                <w:bCs/>
                <w:color w:val="000000"/>
                <w:szCs w:val="20"/>
                <w:lang w:eastAsia="en-GB"/>
              </w:rPr>
              <w:t>Ports &amp; Logistics</w:t>
            </w:r>
          </w:p>
        </w:tc>
      </w:tr>
      <w:tr w:rsidR="00F5463F" w:rsidRPr="007D52CD" w14:paraId="61D4B98C" w14:textId="77777777" w:rsidTr="00F54736">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789D9951" w14:textId="77777777" w:rsidR="00F5463F" w:rsidRPr="007D52CD" w:rsidRDefault="00F5463F" w:rsidP="00C93734">
            <w:pPr>
              <w:spacing w:after="0"/>
              <w:jc w:val="both"/>
              <w:rPr>
                <w:rFonts w:eastAsia="Times New Roman" w:cs="Arial"/>
                <w:color w:val="000000"/>
                <w:szCs w:val="20"/>
                <w:lang w:eastAsia="en-GB"/>
              </w:rPr>
            </w:pPr>
            <w:r w:rsidRPr="007D52CD">
              <w:rPr>
                <w:rFonts w:eastAsia="Times New Roman" w:cs="Arial"/>
                <w:color w:val="000000"/>
                <w:szCs w:val="20"/>
                <w:lang w:eastAsia="en-GB"/>
              </w:rPr>
              <w:t>Energy &amp; utilities</w:t>
            </w:r>
          </w:p>
        </w:tc>
        <w:tc>
          <w:tcPr>
            <w:tcW w:w="960" w:type="dxa"/>
            <w:tcBorders>
              <w:top w:val="nil"/>
              <w:left w:val="nil"/>
              <w:bottom w:val="single" w:sz="8" w:space="0" w:color="000000"/>
              <w:right w:val="single" w:sz="8" w:space="0" w:color="000000"/>
            </w:tcBorders>
            <w:shd w:val="clear" w:color="auto" w:fill="auto"/>
            <w:noWrap/>
            <w:hideMark/>
          </w:tcPr>
          <w:p w14:paraId="510FAFB6" w14:textId="77777777" w:rsidR="00F5463F" w:rsidRPr="007D52CD" w:rsidRDefault="00F5463F" w:rsidP="00C93734">
            <w:pPr>
              <w:spacing w:after="0"/>
              <w:jc w:val="both"/>
              <w:rPr>
                <w:rFonts w:eastAsia="Times New Roman" w:cs="Arial"/>
                <w:color w:val="000000"/>
                <w:szCs w:val="20"/>
                <w:lang w:eastAsia="en-GB"/>
              </w:rPr>
            </w:pPr>
            <w:r w:rsidRPr="007D52CD">
              <w:rPr>
                <w:rFonts w:eastAsia="Times New Roman" w:cs="Arial"/>
                <w:color w:val="000000"/>
                <w:szCs w:val="20"/>
                <w:lang w:eastAsia="en-GB"/>
              </w:rPr>
              <w:t>17%</w:t>
            </w:r>
          </w:p>
        </w:tc>
      </w:tr>
      <w:tr w:rsidR="00F5463F" w:rsidRPr="007D52CD" w14:paraId="094EB43B" w14:textId="77777777" w:rsidTr="00F54736">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38DF274C" w14:textId="77777777" w:rsidR="00F5463F" w:rsidRPr="007D52CD" w:rsidRDefault="00F5463F" w:rsidP="00C93734">
            <w:pPr>
              <w:spacing w:after="0"/>
              <w:jc w:val="both"/>
              <w:rPr>
                <w:rFonts w:eastAsia="Times New Roman" w:cs="Arial"/>
                <w:color w:val="000000"/>
                <w:szCs w:val="20"/>
                <w:lang w:eastAsia="en-GB"/>
              </w:rPr>
            </w:pPr>
            <w:r w:rsidRPr="007D52CD">
              <w:rPr>
                <w:rFonts w:eastAsia="Times New Roman" w:cs="Arial"/>
                <w:color w:val="000000"/>
                <w:szCs w:val="20"/>
                <w:lang w:eastAsia="en-GB"/>
              </w:rPr>
              <w:t>Financial &amp; insurance services</w:t>
            </w:r>
          </w:p>
        </w:tc>
        <w:tc>
          <w:tcPr>
            <w:tcW w:w="960" w:type="dxa"/>
            <w:tcBorders>
              <w:top w:val="nil"/>
              <w:left w:val="nil"/>
              <w:bottom w:val="single" w:sz="8" w:space="0" w:color="000000"/>
              <w:right w:val="single" w:sz="8" w:space="0" w:color="000000"/>
            </w:tcBorders>
            <w:shd w:val="clear" w:color="auto" w:fill="auto"/>
            <w:noWrap/>
            <w:hideMark/>
          </w:tcPr>
          <w:p w14:paraId="63F3569D" w14:textId="77777777" w:rsidR="00F5463F" w:rsidRPr="007D52CD" w:rsidRDefault="00F5463F" w:rsidP="00C93734">
            <w:pPr>
              <w:spacing w:after="0"/>
              <w:jc w:val="both"/>
              <w:rPr>
                <w:rFonts w:eastAsia="Times New Roman" w:cs="Arial"/>
                <w:color w:val="000000"/>
                <w:szCs w:val="20"/>
                <w:lang w:eastAsia="en-GB"/>
              </w:rPr>
            </w:pPr>
            <w:r w:rsidRPr="007D52CD">
              <w:rPr>
                <w:rFonts w:eastAsia="Times New Roman" w:cs="Arial"/>
                <w:color w:val="000000"/>
                <w:szCs w:val="20"/>
                <w:lang w:eastAsia="en-GB"/>
              </w:rPr>
              <w:t>15.2%</w:t>
            </w:r>
          </w:p>
        </w:tc>
      </w:tr>
      <w:tr w:rsidR="00F5463F" w:rsidRPr="007D52CD" w14:paraId="0F6A9FC4" w14:textId="77777777" w:rsidTr="00F54736">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2B650431" w14:textId="77777777" w:rsidR="00F5463F" w:rsidRPr="007D52CD" w:rsidRDefault="00F5463F" w:rsidP="00C93734">
            <w:pPr>
              <w:spacing w:after="0"/>
              <w:jc w:val="both"/>
              <w:rPr>
                <w:rFonts w:eastAsia="Times New Roman" w:cs="Arial"/>
                <w:color w:val="000000"/>
                <w:szCs w:val="20"/>
                <w:lang w:eastAsia="en-GB"/>
              </w:rPr>
            </w:pPr>
            <w:r w:rsidRPr="007D52CD">
              <w:rPr>
                <w:rFonts w:eastAsia="Times New Roman" w:cs="Arial"/>
                <w:color w:val="000000"/>
                <w:szCs w:val="20"/>
                <w:lang w:eastAsia="en-GB"/>
              </w:rPr>
              <w:t>Manufactured components &amp; products</w:t>
            </w:r>
          </w:p>
        </w:tc>
        <w:tc>
          <w:tcPr>
            <w:tcW w:w="960" w:type="dxa"/>
            <w:tcBorders>
              <w:top w:val="nil"/>
              <w:left w:val="nil"/>
              <w:bottom w:val="single" w:sz="8" w:space="0" w:color="000000"/>
              <w:right w:val="single" w:sz="8" w:space="0" w:color="000000"/>
            </w:tcBorders>
            <w:shd w:val="clear" w:color="auto" w:fill="auto"/>
            <w:noWrap/>
            <w:hideMark/>
          </w:tcPr>
          <w:p w14:paraId="5D5E8D96" w14:textId="77777777" w:rsidR="00F5463F" w:rsidRPr="007D52CD" w:rsidRDefault="00F5463F" w:rsidP="00C93734">
            <w:pPr>
              <w:spacing w:after="0"/>
              <w:jc w:val="both"/>
              <w:rPr>
                <w:rFonts w:eastAsia="Times New Roman" w:cs="Arial"/>
                <w:color w:val="000000"/>
                <w:szCs w:val="20"/>
                <w:lang w:eastAsia="en-GB"/>
              </w:rPr>
            </w:pPr>
            <w:r w:rsidRPr="007D52CD">
              <w:rPr>
                <w:rFonts w:eastAsia="Times New Roman" w:cs="Arial"/>
                <w:color w:val="000000"/>
                <w:szCs w:val="20"/>
                <w:lang w:eastAsia="en-GB"/>
              </w:rPr>
              <w:t>13%</w:t>
            </w:r>
          </w:p>
        </w:tc>
      </w:tr>
      <w:tr w:rsidR="00F5463F" w:rsidRPr="007D52CD" w14:paraId="06107825" w14:textId="77777777" w:rsidTr="00F54736">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087FE7BE" w14:textId="77777777" w:rsidR="00F5463F" w:rsidRPr="007D52CD" w:rsidRDefault="00F5463F" w:rsidP="00C93734">
            <w:pPr>
              <w:spacing w:after="0"/>
              <w:jc w:val="both"/>
              <w:rPr>
                <w:rFonts w:eastAsia="Times New Roman" w:cs="Arial"/>
                <w:color w:val="000000"/>
                <w:szCs w:val="20"/>
                <w:lang w:eastAsia="en-GB"/>
              </w:rPr>
            </w:pPr>
            <w:r w:rsidRPr="007D52CD">
              <w:rPr>
                <w:rFonts w:eastAsia="Times New Roman" w:cs="Arial"/>
                <w:color w:val="000000"/>
                <w:szCs w:val="20"/>
                <w:lang w:eastAsia="en-GB"/>
              </w:rPr>
              <w:t>Business or professional services;</w:t>
            </w:r>
          </w:p>
        </w:tc>
        <w:tc>
          <w:tcPr>
            <w:tcW w:w="960" w:type="dxa"/>
            <w:tcBorders>
              <w:top w:val="nil"/>
              <w:left w:val="nil"/>
              <w:bottom w:val="single" w:sz="8" w:space="0" w:color="000000"/>
              <w:right w:val="single" w:sz="8" w:space="0" w:color="000000"/>
            </w:tcBorders>
            <w:shd w:val="clear" w:color="auto" w:fill="auto"/>
            <w:noWrap/>
            <w:hideMark/>
          </w:tcPr>
          <w:p w14:paraId="2DEA06B7" w14:textId="77777777" w:rsidR="00F5463F" w:rsidRPr="007D52CD" w:rsidRDefault="00F5463F" w:rsidP="00C93734">
            <w:pPr>
              <w:spacing w:after="0"/>
              <w:jc w:val="both"/>
              <w:rPr>
                <w:rFonts w:eastAsia="Times New Roman" w:cs="Arial"/>
                <w:color w:val="000000"/>
                <w:szCs w:val="20"/>
                <w:lang w:eastAsia="en-GB"/>
              </w:rPr>
            </w:pPr>
            <w:r w:rsidRPr="007D52CD">
              <w:rPr>
                <w:rFonts w:eastAsia="Times New Roman" w:cs="Arial"/>
                <w:color w:val="000000"/>
                <w:szCs w:val="20"/>
                <w:lang w:eastAsia="en-GB"/>
              </w:rPr>
              <w:t>11.8%</w:t>
            </w:r>
          </w:p>
        </w:tc>
      </w:tr>
      <w:tr w:rsidR="00F5463F" w:rsidRPr="007D52CD" w14:paraId="2F298B8B" w14:textId="77777777" w:rsidTr="00F54736">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40DDD8DE" w14:textId="77777777" w:rsidR="00F5463F" w:rsidRPr="007D52CD" w:rsidRDefault="00F5463F" w:rsidP="00C93734">
            <w:pPr>
              <w:spacing w:after="0"/>
              <w:jc w:val="both"/>
              <w:rPr>
                <w:rFonts w:eastAsia="Times New Roman" w:cs="Arial"/>
                <w:color w:val="000000"/>
                <w:szCs w:val="20"/>
                <w:lang w:eastAsia="en-GB"/>
              </w:rPr>
            </w:pPr>
            <w:r w:rsidRPr="007D52CD">
              <w:rPr>
                <w:rFonts w:eastAsia="Times New Roman" w:cs="Arial"/>
                <w:color w:val="000000"/>
                <w:szCs w:val="20"/>
                <w:lang w:eastAsia="en-GB"/>
              </w:rPr>
              <w:t>Logistics, freight service, storage &amp; distribution services</w:t>
            </w:r>
          </w:p>
        </w:tc>
        <w:tc>
          <w:tcPr>
            <w:tcW w:w="960" w:type="dxa"/>
            <w:tcBorders>
              <w:top w:val="nil"/>
              <w:left w:val="nil"/>
              <w:bottom w:val="single" w:sz="8" w:space="0" w:color="000000"/>
              <w:right w:val="single" w:sz="8" w:space="0" w:color="000000"/>
            </w:tcBorders>
            <w:shd w:val="clear" w:color="auto" w:fill="auto"/>
            <w:noWrap/>
            <w:hideMark/>
          </w:tcPr>
          <w:p w14:paraId="19D583AF" w14:textId="77777777" w:rsidR="00F5463F" w:rsidRPr="007D52CD" w:rsidRDefault="00F5463F" w:rsidP="00C93734">
            <w:pPr>
              <w:spacing w:after="0"/>
              <w:jc w:val="both"/>
              <w:rPr>
                <w:rFonts w:eastAsia="Times New Roman" w:cs="Arial"/>
                <w:color w:val="000000"/>
                <w:szCs w:val="20"/>
                <w:lang w:eastAsia="en-GB"/>
              </w:rPr>
            </w:pPr>
            <w:r w:rsidRPr="007D52CD">
              <w:rPr>
                <w:rFonts w:eastAsia="Times New Roman" w:cs="Arial"/>
                <w:color w:val="000000"/>
                <w:szCs w:val="20"/>
                <w:lang w:eastAsia="en-GB"/>
              </w:rPr>
              <w:t>10.2%</w:t>
            </w:r>
          </w:p>
        </w:tc>
      </w:tr>
      <w:tr w:rsidR="00F5463F" w:rsidRPr="007D52CD" w14:paraId="6DAD4C21" w14:textId="77777777" w:rsidTr="00F54736">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67DB2B76" w14:textId="77777777" w:rsidR="00F5463F" w:rsidRPr="007D52CD" w:rsidRDefault="00F5463F" w:rsidP="00C93734">
            <w:pPr>
              <w:spacing w:after="0"/>
              <w:jc w:val="both"/>
              <w:rPr>
                <w:rFonts w:eastAsia="Times New Roman" w:cs="Arial"/>
                <w:color w:val="000000"/>
                <w:szCs w:val="20"/>
                <w:lang w:eastAsia="en-GB"/>
              </w:rPr>
            </w:pPr>
            <w:r w:rsidRPr="007D52CD">
              <w:rPr>
                <w:rFonts w:eastAsia="Times New Roman" w:cs="Arial"/>
                <w:color w:val="000000"/>
                <w:szCs w:val="20"/>
                <w:lang w:eastAsia="en-GB"/>
              </w:rPr>
              <w:t>Wholesale retail goods</w:t>
            </w:r>
          </w:p>
        </w:tc>
        <w:tc>
          <w:tcPr>
            <w:tcW w:w="960" w:type="dxa"/>
            <w:tcBorders>
              <w:top w:val="nil"/>
              <w:left w:val="nil"/>
              <w:bottom w:val="single" w:sz="8" w:space="0" w:color="000000"/>
              <w:right w:val="single" w:sz="8" w:space="0" w:color="000000"/>
            </w:tcBorders>
            <w:shd w:val="clear" w:color="auto" w:fill="auto"/>
            <w:noWrap/>
            <w:hideMark/>
          </w:tcPr>
          <w:p w14:paraId="5E1F3125" w14:textId="77777777" w:rsidR="00F5463F" w:rsidRPr="007D52CD" w:rsidRDefault="00F5463F" w:rsidP="00C93734">
            <w:pPr>
              <w:spacing w:after="0"/>
              <w:jc w:val="both"/>
              <w:rPr>
                <w:rFonts w:eastAsia="Times New Roman" w:cs="Arial"/>
                <w:color w:val="000000"/>
                <w:szCs w:val="20"/>
                <w:lang w:eastAsia="en-GB"/>
              </w:rPr>
            </w:pPr>
            <w:r w:rsidRPr="007D52CD">
              <w:rPr>
                <w:rFonts w:eastAsia="Times New Roman" w:cs="Arial"/>
                <w:color w:val="000000"/>
                <w:szCs w:val="20"/>
                <w:lang w:eastAsia="en-GB"/>
              </w:rPr>
              <w:t>6.5%</w:t>
            </w:r>
          </w:p>
        </w:tc>
      </w:tr>
      <w:tr w:rsidR="00F5463F" w:rsidRPr="007D52CD" w14:paraId="0D0A6CD6" w14:textId="77777777" w:rsidTr="00F54736">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2C4E7936" w14:textId="77777777" w:rsidR="00F5463F" w:rsidRPr="007D52CD" w:rsidRDefault="00F5463F" w:rsidP="00C93734">
            <w:pPr>
              <w:spacing w:after="0"/>
              <w:jc w:val="both"/>
              <w:rPr>
                <w:rFonts w:eastAsia="Times New Roman" w:cs="Arial"/>
                <w:color w:val="000000"/>
                <w:szCs w:val="20"/>
                <w:lang w:eastAsia="en-GB"/>
              </w:rPr>
            </w:pPr>
            <w:r w:rsidRPr="007D52CD">
              <w:rPr>
                <w:rFonts w:eastAsia="Times New Roman" w:cs="Arial"/>
                <w:color w:val="000000"/>
                <w:szCs w:val="20"/>
                <w:lang w:eastAsia="en-GB"/>
              </w:rPr>
              <w:t>Education &amp; research</w:t>
            </w:r>
          </w:p>
        </w:tc>
        <w:tc>
          <w:tcPr>
            <w:tcW w:w="960" w:type="dxa"/>
            <w:tcBorders>
              <w:top w:val="nil"/>
              <w:left w:val="nil"/>
              <w:bottom w:val="single" w:sz="8" w:space="0" w:color="000000"/>
              <w:right w:val="single" w:sz="8" w:space="0" w:color="000000"/>
            </w:tcBorders>
            <w:shd w:val="clear" w:color="auto" w:fill="auto"/>
            <w:noWrap/>
            <w:hideMark/>
          </w:tcPr>
          <w:p w14:paraId="598CE3C2" w14:textId="77777777" w:rsidR="00F5463F" w:rsidRPr="007D52CD" w:rsidRDefault="00F5463F" w:rsidP="00C93734">
            <w:pPr>
              <w:spacing w:after="0"/>
              <w:jc w:val="both"/>
              <w:rPr>
                <w:rFonts w:eastAsia="Times New Roman" w:cs="Arial"/>
                <w:color w:val="000000"/>
                <w:szCs w:val="20"/>
                <w:lang w:eastAsia="en-GB"/>
              </w:rPr>
            </w:pPr>
            <w:r w:rsidRPr="007D52CD">
              <w:rPr>
                <w:rFonts w:eastAsia="Times New Roman" w:cs="Arial"/>
                <w:color w:val="000000"/>
                <w:szCs w:val="20"/>
                <w:lang w:eastAsia="en-GB"/>
              </w:rPr>
              <w:t>5.9%</w:t>
            </w:r>
          </w:p>
        </w:tc>
      </w:tr>
      <w:tr w:rsidR="00F5463F" w:rsidRPr="007D52CD" w14:paraId="7F973DEE" w14:textId="77777777" w:rsidTr="00F54736">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63FDFBAC" w14:textId="77777777" w:rsidR="00F5463F" w:rsidRPr="007D52CD" w:rsidRDefault="00F5463F" w:rsidP="00C93734">
            <w:pPr>
              <w:spacing w:after="0"/>
              <w:jc w:val="both"/>
              <w:rPr>
                <w:rFonts w:eastAsia="Times New Roman" w:cs="Arial"/>
                <w:color w:val="000000"/>
                <w:szCs w:val="20"/>
                <w:lang w:eastAsia="en-GB"/>
              </w:rPr>
            </w:pPr>
            <w:r w:rsidRPr="007D52CD">
              <w:rPr>
                <w:rFonts w:eastAsia="Times New Roman" w:cs="Arial"/>
                <w:color w:val="000000"/>
                <w:szCs w:val="20"/>
                <w:lang w:eastAsia="en-GB"/>
              </w:rPr>
              <w:t>Other transport services</w:t>
            </w:r>
          </w:p>
        </w:tc>
        <w:tc>
          <w:tcPr>
            <w:tcW w:w="960" w:type="dxa"/>
            <w:tcBorders>
              <w:top w:val="nil"/>
              <w:left w:val="nil"/>
              <w:bottom w:val="single" w:sz="8" w:space="0" w:color="000000"/>
              <w:right w:val="single" w:sz="8" w:space="0" w:color="000000"/>
            </w:tcBorders>
            <w:shd w:val="clear" w:color="auto" w:fill="auto"/>
            <w:noWrap/>
            <w:hideMark/>
          </w:tcPr>
          <w:p w14:paraId="21ACDC96" w14:textId="77777777" w:rsidR="00F5463F" w:rsidRPr="007D52CD" w:rsidRDefault="00F5463F" w:rsidP="00C93734">
            <w:pPr>
              <w:spacing w:after="0"/>
              <w:jc w:val="both"/>
              <w:rPr>
                <w:rFonts w:eastAsia="Times New Roman" w:cs="Arial"/>
                <w:color w:val="000000"/>
                <w:szCs w:val="20"/>
                <w:lang w:eastAsia="en-GB"/>
              </w:rPr>
            </w:pPr>
            <w:r w:rsidRPr="007D52CD">
              <w:rPr>
                <w:rFonts w:eastAsia="Times New Roman" w:cs="Arial"/>
                <w:color w:val="000000"/>
                <w:szCs w:val="20"/>
                <w:lang w:eastAsia="en-GB"/>
              </w:rPr>
              <w:t>5.9%</w:t>
            </w:r>
          </w:p>
        </w:tc>
      </w:tr>
      <w:tr w:rsidR="00F5463F" w:rsidRPr="007D52CD" w14:paraId="16EE9E84" w14:textId="77777777" w:rsidTr="00F54736">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682FD2B0" w14:textId="77777777" w:rsidR="00F5463F" w:rsidRPr="007D52CD" w:rsidRDefault="00F5463F" w:rsidP="00C93734">
            <w:pPr>
              <w:spacing w:after="0"/>
              <w:jc w:val="both"/>
              <w:rPr>
                <w:rFonts w:eastAsia="Times New Roman" w:cs="Arial"/>
                <w:color w:val="000000"/>
                <w:szCs w:val="20"/>
                <w:lang w:eastAsia="en-GB"/>
              </w:rPr>
            </w:pPr>
            <w:r w:rsidRPr="007D52CD">
              <w:rPr>
                <w:rFonts w:eastAsia="Times New Roman" w:cs="Arial"/>
                <w:color w:val="000000"/>
                <w:szCs w:val="20"/>
                <w:lang w:eastAsia="en-GB"/>
              </w:rPr>
              <w:t>Catering and food</w:t>
            </w:r>
          </w:p>
        </w:tc>
        <w:tc>
          <w:tcPr>
            <w:tcW w:w="960" w:type="dxa"/>
            <w:tcBorders>
              <w:top w:val="nil"/>
              <w:left w:val="nil"/>
              <w:bottom w:val="single" w:sz="8" w:space="0" w:color="000000"/>
              <w:right w:val="single" w:sz="8" w:space="0" w:color="000000"/>
            </w:tcBorders>
            <w:shd w:val="clear" w:color="auto" w:fill="auto"/>
            <w:noWrap/>
            <w:hideMark/>
          </w:tcPr>
          <w:p w14:paraId="0DB29444" w14:textId="77777777" w:rsidR="00F5463F" w:rsidRPr="007D52CD" w:rsidRDefault="00F5463F" w:rsidP="00C93734">
            <w:pPr>
              <w:spacing w:after="0"/>
              <w:jc w:val="both"/>
              <w:rPr>
                <w:rFonts w:eastAsia="Times New Roman" w:cs="Arial"/>
                <w:color w:val="000000"/>
                <w:szCs w:val="20"/>
                <w:lang w:eastAsia="en-GB"/>
              </w:rPr>
            </w:pPr>
            <w:r w:rsidRPr="007D52CD">
              <w:rPr>
                <w:rFonts w:eastAsia="Times New Roman" w:cs="Arial"/>
                <w:color w:val="000000"/>
                <w:szCs w:val="20"/>
                <w:lang w:eastAsia="en-GB"/>
              </w:rPr>
              <w:t>2.8%</w:t>
            </w:r>
          </w:p>
        </w:tc>
      </w:tr>
      <w:tr w:rsidR="00F5463F" w:rsidRPr="007D52CD" w14:paraId="58B00A57" w14:textId="77777777" w:rsidTr="00F54736">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5B43EF11" w14:textId="77777777" w:rsidR="00F5463F" w:rsidRPr="007D52CD" w:rsidRDefault="00F5463F" w:rsidP="00C93734">
            <w:pPr>
              <w:spacing w:after="0"/>
              <w:jc w:val="both"/>
              <w:rPr>
                <w:rFonts w:eastAsia="Times New Roman" w:cs="Arial"/>
                <w:color w:val="000000"/>
                <w:szCs w:val="20"/>
                <w:lang w:eastAsia="en-GB"/>
              </w:rPr>
            </w:pPr>
            <w:r w:rsidRPr="007D52CD">
              <w:rPr>
                <w:rFonts w:eastAsia="Times New Roman" w:cs="Arial"/>
                <w:color w:val="000000"/>
                <w:szCs w:val="20"/>
                <w:lang w:eastAsia="en-GB"/>
              </w:rPr>
              <w:t>Construction services</w:t>
            </w:r>
          </w:p>
        </w:tc>
        <w:tc>
          <w:tcPr>
            <w:tcW w:w="960" w:type="dxa"/>
            <w:tcBorders>
              <w:top w:val="nil"/>
              <w:left w:val="nil"/>
              <w:bottom w:val="single" w:sz="8" w:space="0" w:color="000000"/>
              <w:right w:val="single" w:sz="8" w:space="0" w:color="000000"/>
            </w:tcBorders>
            <w:shd w:val="clear" w:color="auto" w:fill="auto"/>
            <w:noWrap/>
            <w:hideMark/>
          </w:tcPr>
          <w:p w14:paraId="58373318" w14:textId="77777777" w:rsidR="00F5463F" w:rsidRPr="007D52CD" w:rsidRDefault="00F5463F" w:rsidP="00C93734">
            <w:pPr>
              <w:spacing w:after="0"/>
              <w:jc w:val="both"/>
              <w:rPr>
                <w:rFonts w:eastAsia="Times New Roman" w:cs="Arial"/>
                <w:color w:val="000000"/>
                <w:szCs w:val="20"/>
                <w:lang w:eastAsia="en-GB"/>
              </w:rPr>
            </w:pPr>
            <w:r w:rsidRPr="007D52CD">
              <w:rPr>
                <w:rFonts w:eastAsia="Times New Roman" w:cs="Arial"/>
                <w:color w:val="000000"/>
                <w:szCs w:val="20"/>
                <w:lang w:eastAsia="en-GB"/>
              </w:rPr>
              <w:t>2.5%</w:t>
            </w:r>
          </w:p>
        </w:tc>
      </w:tr>
      <w:tr w:rsidR="00F5463F" w:rsidRPr="007D52CD" w14:paraId="543800E3" w14:textId="77777777" w:rsidTr="00F54736">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748997A6" w14:textId="77777777" w:rsidR="00F5463F" w:rsidRPr="007D52CD" w:rsidRDefault="00F5463F" w:rsidP="00C93734">
            <w:pPr>
              <w:spacing w:after="0"/>
              <w:jc w:val="both"/>
              <w:rPr>
                <w:rFonts w:eastAsia="Times New Roman" w:cs="Arial"/>
                <w:color w:val="000000"/>
                <w:szCs w:val="20"/>
                <w:lang w:eastAsia="en-GB"/>
              </w:rPr>
            </w:pPr>
            <w:r w:rsidRPr="007D52CD">
              <w:rPr>
                <w:rFonts w:eastAsia="Times New Roman" w:cs="Arial"/>
                <w:color w:val="000000"/>
                <w:szCs w:val="20"/>
                <w:lang w:eastAsia="en-GB"/>
              </w:rPr>
              <w:t>Real estate services</w:t>
            </w:r>
          </w:p>
        </w:tc>
        <w:tc>
          <w:tcPr>
            <w:tcW w:w="960" w:type="dxa"/>
            <w:tcBorders>
              <w:top w:val="nil"/>
              <w:left w:val="nil"/>
              <w:bottom w:val="single" w:sz="8" w:space="0" w:color="000000"/>
              <w:right w:val="single" w:sz="8" w:space="0" w:color="000000"/>
            </w:tcBorders>
            <w:shd w:val="clear" w:color="auto" w:fill="auto"/>
            <w:noWrap/>
            <w:hideMark/>
          </w:tcPr>
          <w:p w14:paraId="5D8BB8A9" w14:textId="77777777" w:rsidR="00F5463F" w:rsidRPr="007D52CD" w:rsidRDefault="00F5463F" w:rsidP="00C93734">
            <w:pPr>
              <w:spacing w:after="0"/>
              <w:jc w:val="both"/>
              <w:rPr>
                <w:rFonts w:eastAsia="Times New Roman" w:cs="Arial"/>
                <w:color w:val="000000"/>
                <w:szCs w:val="20"/>
                <w:lang w:eastAsia="en-GB"/>
              </w:rPr>
            </w:pPr>
            <w:r w:rsidRPr="007D52CD">
              <w:rPr>
                <w:rFonts w:eastAsia="Times New Roman" w:cs="Arial"/>
                <w:color w:val="000000"/>
                <w:szCs w:val="20"/>
                <w:lang w:eastAsia="en-GB"/>
              </w:rPr>
              <w:t>2.2%</w:t>
            </w:r>
          </w:p>
        </w:tc>
      </w:tr>
    </w:tbl>
    <w:p w14:paraId="0386E7F9" w14:textId="77777777" w:rsidR="00F5463F" w:rsidRPr="002805F3" w:rsidRDefault="00F5463F" w:rsidP="00C93734">
      <w:pPr>
        <w:pStyle w:val="TableSource"/>
        <w:jc w:val="both"/>
      </w:pPr>
      <w:r w:rsidRPr="007D52CD">
        <w:t>Source: Hill Taylor and Atkins 2013. Atkins Ref: Survey –A13</w:t>
      </w:r>
    </w:p>
    <w:p w14:paraId="697DF753" w14:textId="77777777" w:rsidR="00F5463F" w:rsidRDefault="00D73097" w:rsidP="00C93734">
      <w:pPr>
        <w:jc w:val="both"/>
        <w:rPr>
          <w:rFonts w:cs="Arial"/>
        </w:rPr>
      </w:pPr>
      <w:r>
        <w:rPr>
          <w:rFonts w:cs="Arial"/>
        </w:rPr>
        <w:t xml:space="preserve">Significantly, a </w:t>
      </w:r>
      <w:r w:rsidR="00F5463F">
        <w:rPr>
          <w:rFonts w:cs="Arial"/>
        </w:rPr>
        <w:t xml:space="preserve">high proportion of suppliers are from </w:t>
      </w:r>
      <w:r>
        <w:rPr>
          <w:rFonts w:cs="Arial"/>
        </w:rPr>
        <w:t>the Yorkshire and Humber region</w:t>
      </w:r>
      <w:r w:rsidR="00F5463F">
        <w:rPr>
          <w:rFonts w:cs="Arial"/>
        </w:rPr>
        <w:t xml:space="preserve"> (52.4%), whilst </w:t>
      </w:r>
      <w:r>
        <w:rPr>
          <w:rFonts w:cs="Arial"/>
        </w:rPr>
        <w:t>the proportion is significantly lower for the customer base (26%)</w:t>
      </w:r>
      <w:r w:rsidR="00F5463F">
        <w:rPr>
          <w:rFonts w:cs="Arial"/>
        </w:rPr>
        <w:t>.</w:t>
      </w:r>
      <w:r>
        <w:rPr>
          <w:rFonts w:cs="Arial"/>
        </w:rPr>
        <w:t xml:space="preserve"> </w:t>
      </w:r>
      <w:r w:rsidR="00696F8C">
        <w:rPr>
          <w:rFonts w:cs="Arial"/>
        </w:rPr>
        <w:t xml:space="preserve">It also shows how important businesses in Europe are as suppliers and the </w:t>
      </w:r>
      <w:r>
        <w:rPr>
          <w:rFonts w:cs="Arial"/>
        </w:rPr>
        <w:t>export economic value</w:t>
      </w:r>
      <w:r w:rsidR="00696F8C">
        <w:rPr>
          <w:rFonts w:cs="Arial"/>
        </w:rPr>
        <w:t>s</w:t>
      </w:r>
      <w:r>
        <w:rPr>
          <w:rFonts w:cs="Arial"/>
        </w:rPr>
        <w:t xml:space="preserve"> of these activities </w:t>
      </w:r>
      <w:r w:rsidR="00696F8C">
        <w:rPr>
          <w:rFonts w:cs="Arial"/>
        </w:rPr>
        <w:t xml:space="preserve">in this sector are </w:t>
      </w:r>
      <w:r>
        <w:rPr>
          <w:rFonts w:cs="Arial"/>
        </w:rPr>
        <w:t>to local suppler businesses.</w:t>
      </w:r>
    </w:p>
    <w:p w14:paraId="20860A04" w14:textId="77777777" w:rsidR="00F5463F" w:rsidRDefault="00F5463F" w:rsidP="00C93734">
      <w:pPr>
        <w:pStyle w:val="Caption"/>
        <w:jc w:val="both"/>
      </w:pPr>
      <w:r>
        <w:t xml:space="preserve">Table </w:t>
      </w:r>
      <w:fldSimple w:instr=" STYLEREF 1 \s  \* MERGEFORMAT ">
        <w:r w:rsidR="00E95E1A">
          <w:rPr>
            <w:noProof/>
          </w:rPr>
          <w:t>4</w:t>
        </w:r>
      </w:fldSimple>
      <w:r>
        <w:t>-</w:t>
      </w:r>
      <w:fldSimple w:instr=" SEQ Table \* ARABIC \s 1  \* MERGEFORMAT ">
        <w:r w:rsidR="00E95E1A">
          <w:rPr>
            <w:noProof/>
          </w:rPr>
          <w:t>6</w:t>
        </w:r>
      </w:fldSimple>
      <w:r>
        <w:tab/>
        <w:t xml:space="preserve">Location of Suppliers &amp; Clients </w:t>
      </w:r>
    </w:p>
    <w:tbl>
      <w:tblPr>
        <w:tblStyle w:val="Atkins14pt"/>
        <w:tblW w:w="9664" w:type="dxa"/>
        <w:tblLook w:val="04A0" w:firstRow="1" w:lastRow="0" w:firstColumn="1" w:lastColumn="0" w:noHBand="0" w:noVBand="1"/>
      </w:tblPr>
      <w:tblGrid>
        <w:gridCol w:w="935"/>
        <w:gridCol w:w="1102"/>
        <w:gridCol w:w="1247"/>
        <w:gridCol w:w="1047"/>
        <w:gridCol w:w="960"/>
        <w:gridCol w:w="960"/>
        <w:gridCol w:w="857"/>
        <w:gridCol w:w="670"/>
        <w:gridCol w:w="670"/>
        <w:gridCol w:w="683"/>
        <w:gridCol w:w="1069"/>
      </w:tblGrid>
      <w:tr w:rsidR="00F5463F" w:rsidRPr="00645A5B" w14:paraId="42CDDE86" w14:textId="77777777" w:rsidTr="00F5463F">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1867" w:type="dxa"/>
            <w:gridSpan w:val="2"/>
            <w:noWrap/>
            <w:hideMark/>
          </w:tcPr>
          <w:p w14:paraId="513AED48" w14:textId="77777777" w:rsidR="00F5463F" w:rsidRPr="00282B77" w:rsidRDefault="00F5463F" w:rsidP="00C93734">
            <w:pPr>
              <w:jc w:val="both"/>
              <w:rPr>
                <w:rFonts w:eastAsia="Times New Roman"/>
                <w:color w:val="000000"/>
              </w:rPr>
            </w:pPr>
            <w:r w:rsidRPr="00282B77">
              <w:rPr>
                <w:rFonts w:eastAsia="Times New Roman"/>
                <w:color w:val="000000"/>
              </w:rPr>
              <w:t> </w:t>
            </w:r>
          </w:p>
        </w:tc>
        <w:tc>
          <w:tcPr>
            <w:tcW w:w="1070" w:type="dxa"/>
            <w:noWrap/>
            <w:hideMark/>
          </w:tcPr>
          <w:p w14:paraId="5CADB4FA" w14:textId="77777777" w:rsidR="00F5463F" w:rsidRPr="00282B77" w:rsidRDefault="00F5463F" w:rsidP="00C93734">
            <w:pPr>
              <w:jc w:val="both"/>
              <w:cnfStyle w:val="100000000000" w:firstRow="1" w:lastRow="0" w:firstColumn="0" w:lastColumn="0" w:oddVBand="0" w:evenVBand="0" w:oddHBand="0" w:evenHBand="0" w:firstRowFirstColumn="0" w:firstRowLastColumn="0" w:lastRowFirstColumn="0" w:lastRowLastColumn="0"/>
              <w:rPr>
                <w:rFonts w:eastAsia="Times New Roman"/>
                <w:color w:val="000000"/>
                <w:szCs w:val="16"/>
              </w:rPr>
            </w:pPr>
            <w:r w:rsidRPr="00282B77">
              <w:rPr>
                <w:rFonts w:eastAsia="Times New Roman"/>
                <w:color w:val="000000"/>
                <w:szCs w:val="16"/>
              </w:rPr>
              <w:t>Lincolnshire / Humber</w:t>
            </w:r>
          </w:p>
        </w:tc>
        <w:tc>
          <w:tcPr>
            <w:tcW w:w="964" w:type="dxa"/>
            <w:noWrap/>
            <w:hideMark/>
          </w:tcPr>
          <w:p w14:paraId="0F04C226" w14:textId="77777777" w:rsidR="00F5463F" w:rsidRPr="00282B77" w:rsidRDefault="00F5463F" w:rsidP="00C93734">
            <w:pPr>
              <w:jc w:val="both"/>
              <w:cnfStyle w:val="100000000000" w:firstRow="1" w:lastRow="0" w:firstColumn="0" w:lastColumn="0" w:oddVBand="0" w:evenVBand="0" w:oddHBand="0" w:evenHBand="0" w:firstRowFirstColumn="0" w:firstRowLastColumn="0" w:lastRowFirstColumn="0" w:lastRowLastColumn="0"/>
              <w:rPr>
                <w:rFonts w:eastAsia="Times New Roman"/>
                <w:color w:val="000000"/>
                <w:szCs w:val="16"/>
              </w:rPr>
            </w:pPr>
            <w:r w:rsidRPr="00282B77">
              <w:rPr>
                <w:rFonts w:eastAsia="Times New Roman"/>
                <w:color w:val="000000"/>
                <w:szCs w:val="16"/>
              </w:rPr>
              <w:t>Elsewhere in Yorkshire and Humber</w:t>
            </w:r>
          </w:p>
        </w:tc>
        <w:tc>
          <w:tcPr>
            <w:tcW w:w="960" w:type="dxa"/>
            <w:noWrap/>
            <w:hideMark/>
          </w:tcPr>
          <w:p w14:paraId="4498F1CA" w14:textId="77777777" w:rsidR="00F5463F" w:rsidRPr="00282B77" w:rsidRDefault="00D73097" w:rsidP="00C93734">
            <w:pPr>
              <w:jc w:val="both"/>
              <w:cnfStyle w:val="100000000000" w:firstRow="1" w:lastRow="0" w:firstColumn="0" w:lastColumn="0" w:oddVBand="0" w:evenVBand="0" w:oddHBand="0" w:evenHBand="0" w:firstRowFirstColumn="0" w:firstRowLastColumn="0" w:lastRowFirstColumn="0" w:lastRowLastColumn="0"/>
              <w:rPr>
                <w:rFonts w:eastAsia="Times New Roman"/>
                <w:b w:val="0"/>
                <w:bCs/>
                <w:color w:val="000000"/>
                <w:szCs w:val="16"/>
              </w:rPr>
            </w:pPr>
            <w:r w:rsidRPr="00282B77">
              <w:rPr>
                <w:rFonts w:eastAsia="Times New Roman"/>
                <w:bCs/>
                <w:color w:val="000000"/>
                <w:szCs w:val="16"/>
              </w:rPr>
              <w:t>Region</w:t>
            </w:r>
          </w:p>
        </w:tc>
        <w:tc>
          <w:tcPr>
            <w:tcW w:w="960" w:type="dxa"/>
            <w:noWrap/>
            <w:hideMark/>
          </w:tcPr>
          <w:p w14:paraId="3A809EE3" w14:textId="77777777" w:rsidR="00F5463F" w:rsidRPr="00282B77" w:rsidRDefault="00F5463F" w:rsidP="00C93734">
            <w:pPr>
              <w:jc w:val="both"/>
              <w:cnfStyle w:val="100000000000" w:firstRow="1" w:lastRow="0" w:firstColumn="0" w:lastColumn="0" w:oddVBand="0" w:evenVBand="0" w:oddHBand="0" w:evenHBand="0" w:firstRowFirstColumn="0" w:firstRowLastColumn="0" w:lastRowFirstColumn="0" w:lastRowLastColumn="0"/>
              <w:rPr>
                <w:rFonts w:eastAsia="Times New Roman"/>
                <w:b w:val="0"/>
                <w:bCs/>
                <w:color w:val="000000"/>
                <w:szCs w:val="16"/>
              </w:rPr>
            </w:pPr>
            <w:r w:rsidRPr="00282B77">
              <w:rPr>
                <w:rFonts w:eastAsia="Times New Roman"/>
                <w:bCs/>
                <w:color w:val="000000"/>
                <w:szCs w:val="16"/>
              </w:rPr>
              <w:t>UK</w:t>
            </w:r>
          </w:p>
        </w:tc>
        <w:tc>
          <w:tcPr>
            <w:tcW w:w="857" w:type="dxa"/>
            <w:noWrap/>
            <w:hideMark/>
          </w:tcPr>
          <w:p w14:paraId="735C2F65" w14:textId="77777777" w:rsidR="00F5463F" w:rsidRPr="00282B77" w:rsidRDefault="00F5463F" w:rsidP="00C93734">
            <w:pPr>
              <w:jc w:val="both"/>
              <w:cnfStyle w:val="100000000000" w:firstRow="1" w:lastRow="0" w:firstColumn="0" w:lastColumn="0" w:oddVBand="0" w:evenVBand="0" w:oddHBand="0" w:evenHBand="0" w:firstRowFirstColumn="0" w:firstRowLastColumn="0" w:lastRowFirstColumn="0" w:lastRowLastColumn="0"/>
              <w:rPr>
                <w:rFonts w:eastAsia="Times New Roman"/>
                <w:color w:val="000000"/>
                <w:szCs w:val="16"/>
              </w:rPr>
            </w:pPr>
            <w:r w:rsidRPr="00282B77">
              <w:rPr>
                <w:rFonts w:eastAsia="Times New Roman"/>
                <w:color w:val="000000"/>
                <w:szCs w:val="16"/>
              </w:rPr>
              <w:t>Europe (other than UK);</w:t>
            </w:r>
          </w:p>
        </w:tc>
        <w:tc>
          <w:tcPr>
            <w:tcW w:w="670" w:type="dxa"/>
            <w:noWrap/>
            <w:hideMark/>
          </w:tcPr>
          <w:p w14:paraId="32933A17" w14:textId="77777777" w:rsidR="00F5463F" w:rsidRPr="00282B77" w:rsidRDefault="00F5463F" w:rsidP="00C93734">
            <w:pPr>
              <w:jc w:val="both"/>
              <w:cnfStyle w:val="100000000000" w:firstRow="1" w:lastRow="0" w:firstColumn="0" w:lastColumn="0" w:oddVBand="0" w:evenVBand="0" w:oddHBand="0" w:evenHBand="0" w:firstRowFirstColumn="0" w:firstRowLastColumn="0" w:lastRowFirstColumn="0" w:lastRowLastColumn="0"/>
              <w:rPr>
                <w:rFonts w:eastAsia="Times New Roman"/>
                <w:color w:val="000000"/>
                <w:szCs w:val="16"/>
              </w:rPr>
            </w:pPr>
            <w:r w:rsidRPr="00282B77">
              <w:rPr>
                <w:rFonts w:eastAsia="Times New Roman"/>
                <w:color w:val="000000"/>
                <w:szCs w:val="16"/>
              </w:rPr>
              <w:t>USA;</w:t>
            </w:r>
          </w:p>
        </w:tc>
        <w:tc>
          <w:tcPr>
            <w:tcW w:w="670" w:type="dxa"/>
            <w:noWrap/>
            <w:hideMark/>
          </w:tcPr>
          <w:p w14:paraId="55285CB2" w14:textId="77777777" w:rsidR="00F5463F" w:rsidRPr="00282B77" w:rsidRDefault="00F5463F" w:rsidP="00C93734">
            <w:pPr>
              <w:jc w:val="both"/>
              <w:cnfStyle w:val="100000000000" w:firstRow="1" w:lastRow="0" w:firstColumn="0" w:lastColumn="0" w:oddVBand="0" w:evenVBand="0" w:oddHBand="0" w:evenHBand="0" w:firstRowFirstColumn="0" w:firstRowLastColumn="0" w:lastRowFirstColumn="0" w:lastRowLastColumn="0"/>
              <w:rPr>
                <w:rFonts w:eastAsia="Times New Roman"/>
                <w:color w:val="000000"/>
                <w:szCs w:val="16"/>
              </w:rPr>
            </w:pPr>
            <w:r w:rsidRPr="00282B77">
              <w:rPr>
                <w:rFonts w:eastAsia="Times New Roman"/>
                <w:color w:val="000000"/>
                <w:szCs w:val="16"/>
              </w:rPr>
              <w:t>China</w:t>
            </w:r>
          </w:p>
        </w:tc>
        <w:tc>
          <w:tcPr>
            <w:tcW w:w="683" w:type="dxa"/>
            <w:noWrap/>
            <w:hideMark/>
          </w:tcPr>
          <w:p w14:paraId="0878F86D" w14:textId="77777777" w:rsidR="00F5463F" w:rsidRPr="00282B77" w:rsidRDefault="00F5463F" w:rsidP="00C93734">
            <w:pPr>
              <w:jc w:val="both"/>
              <w:cnfStyle w:val="100000000000" w:firstRow="1" w:lastRow="0" w:firstColumn="0" w:lastColumn="0" w:oddVBand="0" w:evenVBand="0" w:oddHBand="0" w:evenHBand="0" w:firstRowFirstColumn="0" w:firstRowLastColumn="0" w:lastRowFirstColumn="0" w:lastRowLastColumn="0"/>
              <w:rPr>
                <w:rFonts w:eastAsia="Times New Roman"/>
                <w:color w:val="000000"/>
                <w:szCs w:val="16"/>
              </w:rPr>
            </w:pPr>
            <w:r w:rsidRPr="00282B77">
              <w:rPr>
                <w:rFonts w:eastAsia="Times New Roman"/>
                <w:color w:val="000000"/>
                <w:szCs w:val="16"/>
              </w:rPr>
              <w:t>Far East;</w:t>
            </w:r>
          </w:p>
        </w:tc>
        <w:tc>
          <w:tcPr>
            <w:tcW w:w="963" w:type="dxa"/>
            <w:noWrap/>
            <w:hideMark/>
          </w:tcPr>
          <w:p w14:paraId="23DF2652" w14:textId="77777777" w:rsidR="00F5463F" w:rsidRPr="00282B77" w:rsidRDefault="00F5463F" w:rsidP="00C93734">
            <w:pPr>
              <w:jc w:val="both"/>
              <w:cnfStyle w:val="100000000000" w:firstRow="1" w:lastRow="0" w:firstColumn="0" w:lastColumn="0" w:oddVBand="0" w:evenVBand="0" w:oddHBand="0" w:evenHBand="0" w:firstRowFirstColumn="0" w:firstRowLastColumn="0" w:lastRowFirstColumn="0" w:lastRowLastColumn="0"/>
              <w:rPr>
                <w:rFonts w:eastAsia="Times New Roman"/>
                <w:color w:val="000000"/>
                <w:szCs w:val="16"/>
              </w:rPr>
            </w:pPr>
            <w:r w:rsidRPr="00282B77">
              <w:rPr>
                <w:rFonts w:eastAsia="Times New Roman"/>
                <w:color w:val="000000"/>
                <w:szCs w:val="16"/>
              </w:rPr>
              <w:t>Other Worldwide locations</w:t>
            </w:r>
          </w:p>
        </w:tc>
      </w:tr>
      <w:tr w:rsidR="00F5463F" w:rsidRPr="00645A5B" w14:paraId="164A6614" w14:textId="77777777" w:rsidTr="00F5463F">
        <w:trPr>
          <w:trHeight w:val="270"/>
        </w:trPr>
        <w:tc>
          <w:tcPr>
            <w:cnfStyle w:val="001000000000" w:firstRow="0" w:lastRow="0" w:firstColumn="1" w:lastColumn="0" w:oddVBand="0" w:evenVBand="0" w:oddHBand="0" w:evenHBand="0" w:firstRowFirstColumn="0" w:firstRowLastColumn="0" w:lastRowFirstColumn="0" w:lastRowLastColumn="0"/>
            <w:tcW w:w="919" w:type="dxa"/>
            <w:vMerge w:val="restart"/>
            <w:noWrap/>
            <w:hideMark/>
          </w:tcPr>
          <w:p w14:paraId="6EDE8023" w14:textId="77777777" w:rsidR="00F5463F" w:rsidRPr="00282B77" w:rsidRDefault="00F5463F" w:rsidP="00C93734">
            <w:pPr>
              <w:jc w:val="both"/>
              <w:rPr>
                <w:rFonts w:eastAsia="Times New Roman"/>
                <w:b/>
                <w:bCs/>
                <w:color w:val="000000"/>
                <w:szCs w:val="16"/>
              </w:rPr>
            </w:pPr>
            <w:r w:rsidRPr="00282B77">
              <w:rPr>
                <w:rFonts w:eastAsia="Times New Roman"/>
                <w:b/>
                <w:bCs/>
                <w:color w:val="000000"/>
                <w:szCs w:val="16"/>
              </w:rPr>
              <w:t>Ports &amp; Logistics</w:t>
            </w:r>
          </w:p>
        </w:tc>
        <w:tc>
          <w:tcPr>
            <w:tcW w:w="948" w:type="dxa"/>
            <w:noWrap/>
            <w:hideMark/>
          </w:tcPr>
          <w:p w14:paraId="68E6A72A" w14:textId="77777777" w:rsidR="00F5463F" w:rsidRPr="00282B77" w:rsidRDefault="00F5463F" w:rsidP="00C93734">
            <w:pPr>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14"/>
              </w:rPr>
            </w:pPr>
            <w:r w:rsidRPr="00282B77">
              <w:rPr>
                <w:rFonts w:eastAsia="Times New Roman"/>
                <w:b/>
                <w:bCs/>
                <w:color w:val="000000"/>
                <w:szCs w:val="14"/>
              </w:rPr>
              <w:t>Customers</w:t>
            </w:r>
          </w:p>
        </w:tc>
        <w:tc>
          <w:tcPr>
            <w:tcW w:w="1070" w:type="dxa"/>
            <w:noWrap/>
            <w:hideMark/>
          </w:tcPr>
          <w:p w14:paraId="73A7D830" w14:textId="77777777" w:rsidR="00F5463F" w:rsidRPr="00282B77" w:rsidRDefault="00F5463F"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16"/>
              </w:rPr>
            </w:pPr>
            <w:r w:rsidRPr="00282B77">
              <w:rPr>
                <w:rFonts w:eastAsia="Times New Roman"/>
                <w:color w:val="000000"/>
                <w:szCs w:val="16"/>
              </w:rPr>
              <w:t>17.00%</w:t>
            </w:r>
          </w:p>
        </w:tc>
        <w:tc>
          <w:tcPr>
            <w:tcW w:w="964" w:type="dxa"/>
            <w:noWrap/>
            <w:hideMark/>
          </w:tcPr>
          <w:p w14:paraId="091D92CA" w14:textId="77777777" w:rsidR="00F5463F" w:rsidRPr="00282B77" w:rsidRDefault="00F5463F"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16"/>
              </w:rPr>
            </w:pPr>
            <w:r w:rsidRPr="00282B77">
              <w:rPr>
                <w:rFonts w:eastAsia="Times New Roman"/>
                <w:color w:val="000000"/>
                <w:szCs w:val="16"/>
              </w:rPr>
              <w:t>9.30%</w:t>
            </w:r>
          </w:p>
        </w:tc>
        <w:tc>
          <w:tcPr>
            <w:tcW w:w="960" w:type="dxa"/>
            <w:noWrap/>
            <w:hideMark/>
          </w:tcPr>
          <w:p w14:paraId="4E9511D8" w14:textId="77777777" w:rsidR="00F5463F" w:rsidRPr="00282B77" w:rsidRDefault="00F5463F" w:rsidP="00C93734">
            <w:pPr>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16"/>
              </w:rPr>
            </w:pPr>
            <w:r w:rsidRPr="00282B77">
              <w:rPr>
                <w:rFonts w:eastAsia="Times New Roman"/>
                <w:b/>
                <w:bCs/>
                <w:color w:val="000000"/>
                <w:szCs w:val="16"/>
              </w:rPr>
              <w:t>26.30%</w:t>
            </w:r>
          </w:p>
        </w:tc>
        <w:tc>
          <w:tcPr>
            <w:tcW w:w="960" w:type="dxa"/>
            <w:noWrap/>
            <w:hideMark/>
          </w:tcPr>
          <w:p w14:paraId="47DA69BA" w14:textId="77777777" w:rsidR="00F5463F" w:rsidRPr="00282B77" w:rsidRDefault="00F5463F" w:rsidP="00C93734">
            <w:pPr>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16"/>
              </w:rPr>
            </w:pPr>
            <w:r w:rsidRPr="00282B77">
              <w:rPr>
                <w:rFonts w:eastAsia="Times New Roman"/>
                <w:b/>
                <w:bCs/>
                <w:color w:val="000000"/>
                <w:szCs w:val="16"/>
              </w:rPr>
              <w:t>61.30%</w:t>
            </w:r>
          </w:p>
        </w:tc>
        <w:tc>
          <w:tcPr>
            <w:tcW w:w="857" w:type="dxa"/>
            <w:noWrap/>
            <w:hideMark/>
          </w:tcPr>
          <w:p w14:paraId="2116F1BE" w14:textId="77777777" w:rsidR="00F5463F" w:rsidRPr="00282B77" w:rsidRDefault="00F5463F"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16"/>
              </w:rPr>
            </w:pPr>
            <w:r w:rsidRPr="00282B77">
              <w:rPr>
                <w:rFonts w:eastAsia="Times New Roman"/>
                <w:color w:val="000000"/>
                <w:szCs w:val="16"/>
              </w:rPr>
              <w:t>7.70%</w:t>
            </w:r>
          </w:p>
        </w:tc>
        <w:tc>
          <w:tcPr>
            <w:tcW w:w="670" w:type="dxa"/>
            <w:noWrap/>
            <w:hideMark/>
          </w:tcPr>
          <w:p w14:paraId="0844D274" w14:textId="77777777" w:rsidR="00F5463F" w:rsidRPr="00282B77" w:rsidRDefault="00F5463F"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16"/>
              </w:rPr>
            </w:pPr>
            <w:r w:rsidRPr="00282B77">
              <w:rPr>
                <w:rFonts w:eastAsia="Times New Roman"/>
                <w:color w:val="000000"/>
                <w:szCs w:val="16"/>
              </w:rPr>
              <w:t>3.10%</w:t>
            </w:r>
          </w:p>
        </w:tc>
        <w:tc>
          <w:tcPr>
            <w:tcW w:w="670" w:type="dxa"/>
            <w:noWrap/>
            <w:hideMark/>
          </w:tcPr>
          <w:p w14:paraId="534A6A1B" w14:textId="77777777" w:rsidR="00F5463F" w:rsidRPr="00282B77" w:rsidRDefault="00F5463F"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16"/>
              </w:rPr>
            </w:pPr>
            <w:r w:rsidRPr="00282B77">
              <w:rPr>
                <w:rFonts w:eastAsia="Times New Roman"/>
                <w:color w:val="000000"/>
                <w:szCs w:val="16"/>
              </w:rPr>
              <w:t>2.10%</w:t>
            </w:r>
          </w:p>
        </w:tc>
        <w:tc>
          <w:tcPr>
            <w:tcW w:w="683" w:type="dxa"/>
            <w:noWrap/>
            <w:hideMark/>
          </w:tcPr>
          <w:p w14:paraId="68D56FF6" w14:textId="77777777" w:rsidR="00F5463F" w:rsidRPr="00282B77" w:rsidRDefault="00F5463F"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16"/>
              </w:rPr>
            </w:pPr>
            <w:r w:rsidRPr="00282B77">
              <w:rPr>
                <w:rFonts w:eastAsia="Times New Roman"/>
                <w:color w:val="000000"/>
                <w:szCs w:val="16"/>
              </w:rPr>
              <w:t>2.10%</w:t>
            </w:r>
          </w:p>
        </w:tc>
        <w:tc>
          <w:tcPr>
            <w:tcW w:w="963" w:type="dxa"/>
            <w:noWrap/>
            <w:hideMark/>
          </w:tcPr>
          <w:p w14:paraId="5F352E9F" w14:textId="77777777" w:rsidR="00F5463F" w:rsidRPr="00282B77" w:rsidRDefault="00F5463F"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16"/>
              </w:rPr>
            </w:pPr>
            <w:r w:rsidRPr="00282B77">
              <w:rPr>
                <w:rFonts w:eastAsia="Times New Roman"/>
                <w:color w:val="000000"/>
                <w:szCs w:val="16"/>
              </w:rPr>
              <w:t>7.70%</w:t>
            </w:r>
          </w:p>
        </w:tc>
      </w:tr>
      <w:tr w:rsidR="00F5463F" w:rsidRPr="00645A5B" w14:paraId="6A675546" w14:textId="77777777" w:rsidTr="00F5463F">
        <w:trPr>
          <w:trHeight w:val="270"/>
        </w:trPr>
        <w:tc>
          <w:tcPr>
            <w:cnfStyle w:val="001000000000" w:firstRow="0" w:lastRow="0" w:firstColumn="1" w:lastColumn="0" w:oddVBand="0" w:evenVBand="0" w:oddHBand="0" w:evenHBand="0" w:firstRowFirstColumn="0" w:firstRowLastColumn="0" w:lastRowFirstColumn="0" w:lastRowLastColumn="0"/>
            <w:tcW w:w="919" w:type="dxa"/>
            <w:vMerge/>
            <w:hideMark/>
          </w:tcPr>
          <w:p w14:paraId="3F3AB85A" w14:textId="77777777" w:rsidR="00F5463F" w:rsidRPr="00282B77" w:rsidRDefault="00F5463F" w:rsidP="00C93734">
            <w:pPr>
              <w:jc w:val="both"/>
              <w:rPr>
                <w:rFonts w:eastAsia="Times New Roman"/>
                <w:b/>
                <w:bCs/>
                <w:color w:val="000000"/>
                <w:szCs w:val="16"/>
              </w:rPr>
            </w:pPr>
          </w:p>
        </w:tc>
        <w:tc>
          <w:tcPr>
            <w:tcW w:w="948" w:type="dxa"/>
            <w:noWrap/>
            <w:hideMark/>
          </w:tcPr>
          <w:p w14:paraId="4ABF192E" w14:textId="77777777" w:rsidR="00F5463F" w:rsidRPr="00282B77" w:rsidRDefault="00F5463F" w:rsidP="00C93734">
            <w:pPr>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14"/>
              </w:rPr>
            </w:pPr>
            <w:r w:rsidRPr="00282B77">
              <w:rPr>
                <w:rFonts w:eastAsia="Times New Roman"/>
                <w:b/>
                <w:bCs/>
                <w:color w:val="000000"/>
                <w:szCs w:val="14"/>
              </w:rPr>
              <w:t>Suppliers</w:t>
            </w:r>
          </w:p>
        </w:tc>
        <w:tc>
          <w:tcPr>
            <w:tcW w:w="1070" w:type="dxa"/>
            <w:noWrap/>
            <w:hideMark/>
          </w:tcPr>
          <w:p w14:paraId="2035D44D" w14:textId="77777777" w:rsidR="00F5463F" w:rsidRPr="00282B77" w:rsidRDefault="00F5463F"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16"/>
              </w:rPr>
            </w:pPr>
            <w:r w:rsidRPr="00282B77">
              <w:rPr>
                <w:rFonts w:eastAsia="Times New Roman"/>
                <w:color w:val="000000"/>
                <w:szCs w:val="16"/>
              </w:rPr>
              <w:t>34.30%</w:t>
            </w:r>
          </w:p>
        </w:tc>
        <w:tc>
          <w:tcPr>
            <w:tcW w:w="964" w:type="dxa"/>
            <w:noWrap/>
            <w:hideMark/>
          </w:tcPr>
          <w:p w14:paraId="4C1E589A" w14:textId="77777777" w:rsidR="00F5463F" w:rsidRPr="00282B77" w:rsidRDefault="00F5463F"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16"/>
              </w:rPr>
            </w:pPr>
            <w:r w:rsidRPr="00282B77">
              <w:rPr>
                <w:rFonts w:eastAsia="Times New Roman"/>
                <w:color w:val="000000"/>
                <w:szCs w:val="16"/>
              </w:rPr>
              <w:t>18.20%</w:t>
            </w:r>
          </w:p>
        </w:tc>
        <w:tc>
          <w:tcPr>
            <w:tcW w:w="960" w:type="dxa"/>
            <w:noWrap/>
            <w:hideMark/>
          </w:tcPr>
          <w:p w14:paraId="4339E27D" w14:textId="77777777" w:rsidR="00F5463F" w:rsidRPr="00282B77" w:rsidRDefault="00F5463F" w:rsidP="00C93734">
            <w:pPr>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16"/>
              </w:rPr>
            </w:pPr>
            <w:r w:rsidRPr="00282B77">
              <w:rPr>
                <w:rFonts w:eastAsia="Times New Roman"/>
                <w:b/>
                <w:bCs/>
                <w:color w:val="000000"/>
                <w:szCs w:val="16"/>
              </w:rPr>
              <w:t>52.40%</w:t>
            </w:r>
          </w:p>
        </w:tc>
        <w:tc>
          <w:tcPr>
            <w:tcW w:w="960" w:type="dxa"/>
            <w:noWrap/>
            <w:hideMark/>
          </w:tcPr>
          <w:p w14:paraId="1EB2A762" w14:textId="77777777" w:rsidR="00F5463F" w:rsidRPr="00282B77" w:rsidRDefault="00F5463F" w:rsidP="00C93734">
            <w:pPr>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16"/>
              </w:rPr>
            </w:pPr>
            <w:r w:rsidRPr="00282B77">
              <w:rPr>
                <w:rFonts w:eastAsia="Times New Roman"/>
                <w:b/>
                <w:bCs/>
                <w:color w:val="000000"/>
                <w:szCs w:val="16"/>
              </w:rPr>
              <w:t>79.70%</w:t>
            </w:r>
          </w:p>
        </w:tc>
        <w:tc>
          <w:tcPr>
            <w:tcW w:w="857" w:type="dxa"/>
            <w:noWrap/>
            <w:hideMark/>
          </w:tcPr>
          <w:p w14:paraId="46CC2980" w14:textId="77777777" w:rsidR="00F5463F" w:rsidRPr="00282B77" w:rsidRDefault="00F5463F"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16"/>
              </w:rPr>
            </w:pPr>
            <w:r w:rsidRPr="00282B77">
              <w:rPr>
                <w:rFonts w:eastAsia="Times New Roman"/>
                <w:color w:val="000000"/>
                <w:szCs w:val="16"/>
              </w:rPr>
              <w:t>9.10%</w:t>
            </w:r>
          </w:p>
        </w:tc>
        <w:tc>
          <w:tcPr>
            <w:tcW w:w="670" w:type="dxa"/>
            <w:noWrap/>
            <w:hideMark/>
          </w:tcPr>
          <w:p w14:paraId="2160F79B" w14:textId="77777777" w:rsidR="00F5463F" w:rsidRPr="00282B77" w:rsidRDefault="00F5463F"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16"/>
              </w:rPr>
            </w:pPr>
            <w:r w:rsidRPr="00282B77">
              <w:rPr>
                <w:rFonts w:eastAsia="Times New Roman"/>
                <w:color w:val="000000"/>
                <w:szCs w:val="16"/>
              </w:rPr>
              <w:t>0.70%</w:t>
            </w:r>
          </w:p>
        </w:tc>
        <w:tc>
          <w:tcPr>
            <w:tcW w:w="670" w:type="dxa"/>
            <w:noWrap/>
            <w:hideMark/>
          </w:tcPr>
          <w:p w14:paraId="2007C290" w14:textId="77777777" w:rsidR="00F5463F" w:rsidRPr="00282B77" w:rsidRDefault="00F5463F"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16"/>
              </w:rPr>
            </w:pPr>
            <w:r w:rsidRPr="00282B77">
              <w:rPr>
                <w:rFonts w:eastAsia="Times New Roman"/>
                <w:color w:val="000000"/>
                <w:szCs w:val="16"/>
              </w:rPr>
              <w:t>2.10%</w:t>
            </w:r>
          </w:p>
        </w:tc>
        <w:tc>
          <w:tcPr>
            <w:tcW w:w="683" w:type="dxa"/>
            <w:noWrap/>
            <w:hideMark/>
          </w:tcPr>
          <w:p w14:paraId="64BFCC34" w14:textId="77777777" w:rsidR="00F5463F" w:rsidRPr="00282B77" w:rsidRDefault="00F5463F"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16"/>
              </w:rPr>
            </w:pPr>
            <w:r w:rsidRPr="00282B77">
              <w:rPr>
                <w:rFonts w:eastAsia="Times New Roman"/>
                <w:color w:val="000000"/>
                <w:szCs w:val="16"/>
              </w:rPr>
              <w:t>1.40%</w:t>
            </w:r>
          </w:p>
        </w:tc>
        <w:tc>
          <w:tcPr>
            <w:tcW w:w="963" w:type="dxa"/>
            <w:noWrap/>
            <w:hideMark/>
          </w:tcPr>
          <w:p w14:paraId="2D09C214" w14:textId="77777777" w:rsidR="00F5463F" w:rsidRPr="00282B77" w:rsidRDefault="00F5463F"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16"/>
              </w:rPr>
            </w:pPr>
            <w:r w:rsidRPr="00282B77">
              <w:rPr>
                <w:rFonts w:eastAsia="Times New Roman"/>
                <w:color w:val="000000"/>
                <w:szCs w:val="16"/>
              </w:rPr>
              <w:t>7.00%</w:t>
            </w:r>
          </w:p>
        </w:tc>
      </w:tr>
    </w:tbl>
    <w:p w14:paraId="193F60BC" w14:textId="77777777" w:rsidR="00F5463F" w:rsidRPr="002805F3" w:rsidRDefault="00F5463F" w:rsidP="00C93734">
      <w:pPr>
        <w:pStyle w:val="TableSource"/>
        <w:jc w:val="both"/>
      </w:pPr>
      <w:r w:rsidRPr="002805F3">
        <w:t>Source: Hill Taylor and Atkins 2013. Atkins Ref: Survey –A17/K3</w:t>
      </w:r>
    </w:p>
    <w:p w14:paraId="2F6EBAE7" w14:textId="77777777" w:rsidR="00F5463F" w:rsidRPr="00F103FE" w:rsidRDefault="00F5463F" w:rsidP="00C93734">
      <w:pPr>
        <w:jc w:val="both"/>
        <w:rPr>
          <w:rFonts w:cs="Arial"/>
          <w:b/>
        </w:rPr>
      </w:pPr>
      <w:r w:rsidRPr="00F103FE">
        <w:rPr>
          <w:rFonts w:cs="Arial"/>
          <w:b/>
        </w:rPr>
        <w:t>Skills</w:t>
      </w:r>
    </w:p>
    <w:p w14:paraId="46050902" w14:textId="77777777" w:rsidR="00F5463F" w:rsidRDefault="00F5463F" w:rsidP="00C93734">
      <w:pPr>
        <w:jc w:val="both"/>
        <w:rPr>
          <w:rFonts w:cs="Arial"/>
        </w:rPr>
      </w:pPr>
      <w:r>
        <w:rPr>
          <w:rFonts w:cs="Arial"/>
        </w:rPr>
        <w:t>Across all key sectors, 22.4% of businesses ide</w:t>
      </w:r>
      <w:r w:rsidR="00A27A99">
        <w:rPr>
          <w:rFonts w:cs="Arial"/>
        </w:rPr>
        <w:t>ntified skills shortages.  However, for</w:t>
      </w:r>
      <w:r w:rsidR="00032D54">
        <w:rPr>
          <w:rFonts w:cs="Arial"/>
        </w:rPr>
        <w:t xml:space="preserve"> p</w:t>
      </w:r>
      <w:r>
        <w:rPr>
          <w:rFonts w:cs="Arial"/>
        </w:rPr>
        <w:t>ort</w:t>
      </w:r>
      <w:r w:rsidR="00A27A99">
        <w:rPr>
          <w:rFonts w:cs="Arial"/>
        </w:rPr>
        <w:t>s</w:t>
      </w:r>
      <w:r>
        <w:rPr>
          <w:rFonts w:cs="Arial"/>
        </w:rPr>
        <w:t xml:space="preserve"> &amp;</w:t>
      </w:r>
      <w:r w:rsidR="00032D54">
        <w:rPr>
          <w:rFonts w:cs="Arial"/>
        </w:rPr>
        <w:t xml:space="preserve"> l</w:t>
      </w:r>
      <w:r w:rsidR="00A27A99">
        <w:rPr>
          <w:rFonts w:cs="Arial"/>
        </w:rPr>
        <w:t xml:space="preserve">ogistics, the incidence of skills shortages </w:t>
      </w:r>
      <w:r>
        <w:rPr>
          <w:rFonts w:cs="Arial"/>
        </w:rPr>
        <w:t xml:space="preserve">was </w:t>
      </w:r>
      <w:r w:rsidR="00A27A99">
        <w:rPr>
          <w:rFonts w:cs="Arial"/>
        </w:rPr>
        <w:t>significantly</w:t>
      </w:r>
      <w:r>
        <w:rPr>
          <w:rFonts w:cs="Arial"/>
        </w:rPr>
        <w:t xml:space="preserve"> higher</w:t>
      </w:r>
      <w:r w:rsidR="00481ADB">
        <w:rPr>
          <w:rFonts w:cs="Arial"/>
        </w:rPr>
        <w:t xml:space="preserve">, at </w:t>
      </w:r>
      <w:r>
        <w:rPr>
          <w:rFonts w:cs="Arial"/>
        </w:rPr>
        <w:t xml:space="preserve">42%. This </w:t>
      </w:r>
      <w:r w:rsidR="00A27A99">
        <w:rPr>
          <w:rFonts w:cs="Arial"/>
        </w:rPr>
        <w:t>reinforces</w:t>
      </w:r>
      <w:r>
        <w:rPr>
          <w:rFonts w:cs="Arial"/>
        </w:rPr>
        <w:t xml:space="preserve"> the findings of the</w:t>
      </w:r>
      <w:r w:rsidR="00A27A99">
        <w:rPr>
          <w:rFonts w:cs="Arial"/>
        </w:rPr>
        <w:t xml:space="preserve"> detailed</w:t>
      </w:r>
      <w:r>
        <w:rPr>
          <w:rFonts w:cs="Arial"/>
        </w:rPr>
        <w:t xml:space="preserve"> interviews</w:t>
      </w:r>
      <w:r w:rsidR="00A27A99">
        <w:rPr>
          <w:rFonts w:cs="Arial"/>
        </w:rPr>
        <w:t xml:space="preserve"> with businesses which identified key</w:t>
      </w:r>
      <w:r>
        <w:rPr>
          <w:rFonts w:cs="Arial"/>
        </w:rPr>
        <w:t xml:space="preserve"> skills</w:t>
      </w:r>
      <w:r w:rsidR="00A27A99">
        <w:rPr>
          <w:rFonts w:cs="Arial"/>
        </w:rPr>
        <w:t xml:space="preserve"> to be in particularly short supply relative to demand (such as engineering and driving).  </w:t>
      </w:r>
      <w:r>
        <w:rPr>
          <w:rFonts w:cs="Arial"/>
        </w:rPr>
        <w:t xml:space="preserve"> </w:t>
      </w:r>
      <w:r w:rsidR="00A27A99">
        <w:rPr>
          <w:rFonts w:cs="Arial"/>
        </w:rPr>
        <w:t xml:space="preserve">Evidence was provided by businesses to indicate that they are </w:t>
      </w:r>
      <w:r>
        <w:rPr>
          <w:rFonts w:cs="Arial"/>
        </w:rPr>
        <w:t xml:space="preserve">investing to overcome skills </w:t>
      </w:r>
      <w:r w:rsidR="00D16E89">
        <w:rPr>
          <w:rFonts w:cs="Arial"/>
        </w:rPr>
        <w:t>constraints</w:t>
      </w:r>
      <w:r>
        <w:rPr>
          <w:rFonts w:cs="Arial"/>
        </w:rPr>
        <w:t xml:space="preserve"> through</w:t>
      </w:r>
      <w:r w:rsidR="00D16E89">
        <w:rPr>
          <w:rFonts w:cs="Arial"/>
        </w:rPr>
        <w:t xml:space="preserve">, for example, technology </w:t>
      </w:r>
      <w:r>
        <w:rPr>
          <w:rFonts w:cs="Arial"/>
        </w:rPr>
        <w:t>(e.g. GPS and stock monitoring) and working</w:t>
      </w:r>
      <w:r w:rsidR="00D16E89">
        <w:rPr>
          <w:rFonts w:cs="Arial"/>
        </w:rPr>
        <w:t xml:space="preserve"> more closely</w:t>
      </w:r>
      <w:r>
        <w:rPr>
          <w:rFonts w:cs="Arial"/>
        </w:rPr>
        <w:t xml:space="preserve"> with local colleges (e.g. </w:t>
      </w:r>
      <w:r w:rsidR="00D16E89">
        <w:rPr>
          <w:rFonts w:cs="Arial"/>
        </w:rPr>
        <w:t xml:space="preserve">through </w:t>
      </w:r>
      <w:r>
        <w:rPr>
          <w:rFonts w:cs="Arial"/>
        </w:rPr>
        <w:t>apprenticeships).</w:t>
      </w:r>
    </w:p>
    <w:p w14:paraId="4A376A71" w14:textId="77777777" w:rsidR="00F5463F" w:rsidRPr="00F103FE" w:rsidRDefault="00F5463F" w:rsidP="00C93734">
      <w:pPr>
        <w:jc w:val="both"/>
        <w:rPr>
          <w:rFonts w:cs="Arial"/>
          <w:b/>
        </w:rPr>
      </w:pPr>
      <w:r w:rsidRPr="00F103FE">
        <w:rPr>
          <w:rFonts w:cs="Arial"/>
          <w:b/>
        </w:rPr>
        <w:t>Future Prospects</w:t>
      </w:r>
    </w:p>
    <w:p w14:paraId="4AFB4D4A" w14:textId="77777777" w:rsidR="00F5463F" w:rsidRDefault="00F5463F" w:rsidP="00C93734">
      <w:pPr>
        <w:jc w:val="both"/>
        <w:rPr>
          <w:rFonts w:cs="Arial"/>
        </w:rPr>
      </w:pPr>
      <w:r>
        <w:rPr>
          <w:rFonts w:cs="Arial"/>
        </w:rPr>
        <w:t xml:space="preserve">Over the past 3 years the </w:t>
      </w:r>
      <w:r w:rsidR="00162F48">
        <w:rPr>
          <w:rFonts w:cs="Arial"/>
        </w:rPr>
        <w:t xml:space="preserve">majority of firms (48%) in the ports and logistics sector stated that their workforce numbers had remained relatively stable.  Significantly, 36% recorded an increase.  Taken together, these findings suggest the sector has demonstrated considerable </w:t>
      </w:r>
      <w:r>
        <w:rPr>
          <w:rFonts w:cs="Arial"/>
        </w:rPr>
        <w:t xml:space="preserve">resilience throughout the economic downturn. </w:t>
      </w:r>
    </w:p>
    <w:p w14:paraId="25D0DA5D" w14:textId="77777777" w:rsidR="00374100" w:rsidRDefault="00374100">
      <w:pPr>
        <w:spacing w:after="200" w:line="276" w:lineRule="auto"/>
        <w:rPr>
          <w:b/>
          <w:bCs/>
          <w:szCs w:val="18"/>
        </w:rPr>
      </w:pPr>
      <w:r>
        <w:br w:type="page"/>
      </w:r>
    </w:p>
    <w:p w14:paraId="5855EA64" w14:textId="77777777" w:rsidR="00F5463F" w:rsidRDefault="00F5463F" w:rsidP="00C93734">
      <w:pPr>
        <w:pStyle w:val="Caption"/>
        <w:jc w:val="both"/>
      </w:pPr>
      <w:r>
        <w:t xml:space="preserve">Table </w:t>
      </w:r>
      <w:fldSimple w:instr=" STYLEREF 1 \s  \* MERGEFORMAT ">
        <w:r w:rsidR="00E95E1A">
          <w:rPr>
            <w:noProof/>
          </w:rPr>
          <w:t>4</w:t>
        </w:r>
      </w:fldSimple>
      <w:r>
        <w:t>-</w:t>
      </w:r>
      <w:fldSimple w:instr=" SEQ Table \* ARABIC \s 1  \* MERGEFORMAT ">
        <w:r w:rsidR="00E95E1A">
          <w:rPr>
            <w:noProof/>
          </w:rPr>
          <w:t>7</w:t>
        </w:r>
      </w:fldSimple>
      <w:r>
        <w:tab/>
        <w:t>Size of Workforce</w:t>
      </w:r>
    </w:p>
    <w:tbl>
      <w:tblPr>
        <w:tblStyle w:val="Atkins14pt"/>
        <w:tblW w:w="3107" w:type="dxa"/>
        <w:tblLayout w:type="fixed"/>
        <w:tblLook w:val="04A0" w:firstRow="1" w:lastRow="0" w:firstColumn="1" w:lastColumn="0" w:noHBand="0" w:noVBand="1"/>
      </w:tblPr>
      <w:tblGrid>
        <w:gridCol w:w="1474"/>
        <w:gridCol w:w="1633"/>
      </w:tblGrid>
      <w:tr w:rsidR="00F5463F" w:rsidRPr="002805F3" w14:paraId="2AC0172A" w14:textId="77777777" w:rsidTr="00F5473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74" w:type="dxa"/>
            <w:noWrap/>
            <w:hideMark/>
          </w:tcPr>
          <w:p w14:paraId="730DD88A" w14:textId="77777777" w:rsidR="00F5463F" w:rsidRPr="00DC3863" w:rsidRDefault="00F5463F" w:rsidP="00C93734">
            <w:pPr>
              <w:jc w:val="both"/>
              <w:rPr>
                <w:color w:val="000000"/>
              </w:rPr>
            </w:pPr>
            <w:r w:rsidRPr="00DC3863">
              <w:rPr>
                <w:color w:val="000000"/>
              </w:rPr>
              <w:t>Movement</w:t>
            </w:r>
          </w:p>
        </w:tc>
        <w:tc>
          <w:tcPr>
            <w:tcW w:w="1633" w:type="dxa"/>
            <w:noWrap/>
            <w:hideMark/>
          </w:tcPr>
          <w:p w14:paraId="75391AA5" w14:textId="77777777" w:rsidR="00F5463F" w:rsidRPr="00DC3863" w:rsidRDefault="00F5463F" w:rsidP="00C93734">
            <w:pPr>
              <w:jc w:val="both"/>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Ports &amp; Logistics</w:t>
            </w:r>
          </w:p>
        </w:tc>
      </w:tr>
      <w:tr w:rsidR="00F5463F" w:rsidRPr="002805F3" w14:paraId="3FB8B170"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26457D67" w14:textId="77777777" w:rsidR="00F5463F" w:rsidRPr="00DC3863" w:rsidRDefault="00F5463F" w:rsidP="00C93734">
            <w:pPr>
              <w:spacing w:after="120"/>
              <w:jc w:val="both"/>
              <w:rPr>
                <w:color w:val="000000"/>
              </w:rPr>
            </w:pPr>
            <w:r w:rsidRPr="00DC3863">
              <w:rPr>
                <w:color w:val="000000"/>
              </w:rPr>
              <w:t>Increased</w:t>
            </w:r>
          </w:p>
        </w:tc>
        <w:tc>
          <w:tcPr>
            <w:tcW w:w="1633" w:type="dxa"/>
            <w:noWrap/>
            <w:hideMark/>
          </w:tcPr>
          <w:p w14:paraId="52E89569" w14:textId="77777777" w:rsidR="00F5463F" w:rsidRPr="00DC3863" w:rsidRDefault="00F5463F"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36.2%</w:t>
            </w:r>
          </w:p>
        </w:tc>
      </w:tr>
      <w:tr w:rsidR="00F5463F" w:rsidRPr="002805F3" w14:paraId="11627F85"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2B7BFCCA" w14:textId="77777777" w:rsidR="00F5463F" w:rsidRPr="00DC3863" w:rsidRDefault="00F5463F" w:rsidP="00C93734">
            <w:pPr>
              <w:spacing w:after="120"/>
              <w:jc w:val="both"/>
              <w:rPr>
                <w:color w:val="000000"/>
              </w:rPr>
            </w:pPr>
            <w:r w:rsidRPr="00DC3863">
              <w:rPr>
                <w:color w:val="000000"/>
              </w:rPr>
              <w:t>Decreased</w:t>
            </w:r>
          </w:p>
        </w:tc>
        <w:tc>
          <w:tcPr>
            <w:tcW w:w="1633" w:type="dxa"/>
            <w:noWrap/>
            <w:hideMark/>
          </w:tcPr>
          <w:p w14:paraId="4E9DA8D3" w14:textId="77777777" w:rsidR="00F5463F" w:rsidRPr="00DC3863" w:rsidRDefault="00F5463F"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15.9%</w:t>
            </w:r>
          </w:p>
        </w:tc>
      </w:tr>
      <w:tr w:rsidR="00F5463F" w:rsidRPr="002805F3" w14:paraId="46761B6D"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0AC2D521" w14:textId="77777777" w:rsidR="00F5463F" w:rsidRPr="00DC3863" w:rsidRDefault="00F5463F" w:rsidP="00C93734">
            <w:pPr>
              <w:spacing w:after="120"/>
              <w:jc w:val="both"/>
              <w:rPr>
                <w:color w:val="000000"/>
              </w:rPr>
            </w:pPr>
            <w:r w:rsidRPr="00DC3863">
              <w:rPr>
                <w:color w:val="000000"/>
              </w:rPr>
              <w:t>Remained stable</w:t>
            </w:r>
          </w:p>
        </w:tc>
        <w:tc>
          <w:tcPr>
            <w:tcW w:w="1633" w:type="dxa"/>
            <w:noWrap/>
            <w:hideMark/>
          </w:tcPr>
          <w:p w14:paraId="6F771539" w14:textId="77777777" w:rsidR="00F5463F" w:rsidRPr="00DC3863" w:rsidRDefault="00F5463F"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47.8%</w:t>
            </w:r>
          </w:p>
        </w:tc>
      </w:tr>
    </w:tbl>
    <w:p w14:paraId="3C06F7D8" w14:textId="77777777" w:rsidR="00F5463F" w:rsidRDefault="00F5463F" w:rsidP="00C93734">
      <w:pPr>
        <w:pStyle w:val="TableSource"/>
        <w:jc w:val="both"/>
      </w:pPr>
      <w:r w:rsidRPr="002805F3">
        <w:t>Source: Hill Taylor and Atkins 2013. Atkins Ref: Survey –A20</w:t>
      </w:r>
    </w:p>
    <w:p w14:paraId="725EEBBD" w14:textId="77777777" w:rsidR="00441531" w:rsidRDefault="00F5463F" w:rsidP="00C93734">
      <w:pPr>
        <w:jc w:val="both"/>
        <w:rPr>
          <w:rFonts w:cs="Arial"/>
        </w:rPr>
      </w:pPr>
      <w:r>
        <w:rPr>
          <w:rFonts w:cs="Arial"/>
        </w:rPr>
        <w:t>Looking forward</w:t>
      </w:r>
      <w:r w:rsidR="00162F48">
        <w:rPr>
          <w:rFonts w:cs="Arial"/>
        </w:rPr>
        <w:t>,</w:t>
      </w:r>
      <w:r>
        <w:rPr>
          <w:rFonts w:cs="Arial"/>
        </w:rPr>
        <w:t xml:space="preserve"> the majority of firms</w:t>
      </w:r>
      <w:r w:rsidR="00727AB8">
        <w:rPr>
          <w:rFonts w:cs="Arial"/>
        </w:rPr>
        <w:t xml:space="preserve"> (61%)</w:t>
      </w:r>
      <w:r>
        <w:rPr>
          <w:rFonts w:cs="Arial"/>
        </w:rPr>
        <w:t xml:space="preserve"> are planning to </w:t>
      </w:r>
      <w:r w:rsidR="00727AB8">
        <w:rPr>
          <w:rFonts w:cs="Arial"/>
        </w:rPr>
        <w:t>invest</w:t>
      </w:r>
      <w:r w:rsidR="00441531">
        <w:rPr>
          <w:rFonts w:cs="Arial"/>
        </w:rPr>
        <w:t xml:space="preserve"> to enable expansion which reflects positively on business optimism in the sector.</w:t>
      </w:r>
    </w:p>
    <w:p w14:paraId="3E869C6F" w14:textId="77777777" w:rsidR="00F5463F" w:rsidRDefault="00727AB8" w:rsidP="00C93734">
      <w:pPr>
        <w:jc w:val="both"/>
        <w:rPr>
          <w:rFonts w:cs="Arial"/>
        </w:rPr>
      </w:pPr>
      <w:r>
        <w:rPr>
          <w:rFonts w:cs="Arial"/>
        </w:rPr>
        <w:t xml:space="preserve">In terms of challenges, key constraints to competitiveness </w:t>
      </w:r>
      <w:r w:rsidR="00441531">
        <w:rPr>
          <w:rFonts w:cs="Arial"/>
        </w:rPr>
        <w:t xml:space="preserve">highlighted by the survey </w:t>
      </w:r>
      <w:r>
        <w:rPr>
          <w:rFonts w:cs="Arial"/>
        </w:rPr>
        <w:t>included</w:t>
      </w:r>
      <w:r w:rsidR="00F5463F">
        <w:rPr>
          <w:rFonts w:cs="Arial"/>
        </w:rPr>
        <w:t xml:space="preserve"> </w:t>
      </w:r>
      <w:r w:rsidR="00032D54">
        <w:rPr>
          <w:rFonts w:cs="Arial"/>
        </w:rPr>
        <w:t xml:space="preserve">local road network </w:t>
      </w:r>
      <w:r w:rsidR="00F5463F">
        <w:rPr>
          <w:rFonts w:cs="Arial"/>
        </w:rPr>
        <w:t>congestion</w:t>
      </w:r>
      <w:r w:rsidR="00696F8C">
        <w:rPr>
          <w:rFonts w:cs="Arial"/>
        </w:rPr>
        <w:t xml:space="preserve"> around the </w:t>
      </w:r>
      <w:r w:rsidR="00481ADB">
        <w:rPr>
          <w:rFonts w:cs="Arial"/>
        </w:rPr>
        <w:t>port</w:t>
      </w:r>
      <w:r w:rsidR="00F5463F">
        <w:rPr>
          <w:rFonts w:cs="Arial"/>
        </w:rPr>
        <w:t xml:space="preserve">, </w:t>
      </w:r>
      <w:r w:rsidR="00441531">
        <w:rPr>
          <w:rFonts w:cs="Arial"/>
        </w:rPr>
        <w:t>competition</w:t>
      </w:r>
      <w:r w:rsidR="00F5463F">
        <w:rPr>
          <w:rFonts w:cs="Arial"/>
        </w:rPr>
        <w:t xml:space="preserve"> </w:t>
      </w:r>
      <w:r w:rsidR="00032D54">
        <w:rPr>
          <w:rFonts w:cs="Arial"/>
        </w:rPr>
        <w:t xml:space="preserve">from other </w:t>
      </w:r>
      <w:r w:rsidR="00696F8C">
        <w:rPr>
          <w:rFonts w:cs="Arial"/>
        </w:rPr>
        <w:t xml:space="preserve">UK </w:t>
      </w:r>
      <w:r w:rsidR="00032D54">
        <w:rPr>
          <w:rFonts w:cs="Arial"/>
        </w:rPr>
        <w:t xml:space="preserve">ports </w:t>
      </w:r>
      <w:r w:rsidR="00F5463F">
        <w:rPr>
          <w:rFonts w:cs="Arial"/>
        </w:rPr>
        <w:t>and poor</w:t>
      </w:r>
      <w:r w:rsidR="00032D54">
        <w:rPr>
          <w:rFonts w:cs="Arial"/>
        </w:rPr>
        <w:t xml:space="preserve"> quality premises</w:t>
      </w:r>
      <w:r w:rsidR="00441531">
        <w:rPr>
          <w:rFonts w:cs="Arial"/>
        </w:rPr>
        <w:t xml:space="preserve">.  </w:t>
      </w:r>
      <w:r w:rsidR="00F5463F">
        <w:rPr>
          <w:rFonts w:cs="Arial"/>
        </w:rPr>
        <w:t>Location</w:t>
      </w:r>
      <w:r w:rsidR="008425C0">
        <w:rPr>
          <w:rFonts w:cs="Arial"/>
        </w:rPr>
        <w:t>-</w:t>
      </w:r>
      <w:r w:rsidR="00441531">
        <w:rPr>
          <w:rFonts w:cs="Arial"/>
        </w:rPr>
        <w:t>specific</w:t>
      </w:r>
      <w:r w:rsidR="00F5463F">
        <w:rPr>
          <w:rFonts w:cs="Arial"/>
        </w:rPr>
        <w:t xml:space="preserve"> issues </w:t>
      </w:r>
      <w:r w:rsidR="008425C0">
        <w:rPr>
          <w:rFonts w:cs="Arial"/>
        </w:rPr>
        <w:t>that</w:t>
      </w:r>
      <w:r w:rsidR="00F5463F">
        <w:rPr>
          <w:rFonts w:cs="Arial"/>
        </w:rPr>
        <w:t xml:space="preserve"> </w:t>
      </w:r>
      <w:r w:rsidR="008425C0">
        <w:rPr>
          <w:rFonts w:cs="Arial"/>
        </w:rPr>
        <w:t xml:space="preserve">negatively </w:t>
      </w:r>
      <w:r w:rsidR="00F5463F">
        <w:rPr>
          <w:rFonts w:cs="Arial"/>
        </w:rPr>
        <w:t xml:space="preserve">impacted </w:t>
      </w:r>
      <w:r w:rsidR="00441531">
        <w:rPr>
          <w:rFonts w:cs="Arial"/>
        </w:rPr>
        <w:t>business operations included</w:t>
      </w:r>
      <w:r w:rsidR="00032D54">
        <w:rPr>
          <w:rFonts w:cs="Arial"/>
        </w:rPr>
        <w:t xml:space="preserve"> off-port</w:t>
      </w:r>
      <w:r w:rsidR="00F5463F">
        <w:rPr>
          <w:rFonts w:cs="Arial"/>
        </w:rPr>
        <w:t xml:space="preserve"> </w:t>
      </w:r>
      <w:r w:rsidR="00441531">
        <w:rPr>
          <w:rFonts w:cs="Arial"/>
        </w:rPr>
        <w:t>planning restrictions</w:t>
      </w:r>
      <w:r w:rsidR="00F5463F">
        <w:rPr>
          <w:rFonts w:cs="Arial"/>
        </w:rPr>
        <w:t>, poor roads and</w:t>
      </w:r>
      <w:r w:rsidR="00EF496F">
        <w:rPr>
          <w:rFonts w:cs="Arial"/>
        </w:rPr>
        <w:t xml:space="preserve"> HGV</w:t>
      </w:r>
      <w:r w:rsidR="00F5463F">
        <w:rPr>
          <w:rFonts w:cs="Arial"/>
        </w:rPr>
        <w:t xml:space="preserve"> parking</w:t>
      </w:r>
      <w:r w:rsidR="00441531">
        <w:rPr>
          <w:rFonts w:cs="Arial"/>
        </w:rPr>
        <w:t xml:space="preserve"> problems</w:t>
      </w:r>
      <w:r w:rsidR="00F5463F">
        <w:rPr>
          <w:rFonts w:cs="Arial"/>
        </w:rPr>
        <w:t>.</w:t>
      </w:r>
    </w:p>
    <w:p w14:paraId="4D2C2205" w14:textId="77777777" w:rsidR="00B877A8" w:rsidRDefault="0087408D" w:rsidP="00C93734">
      <w:pPr>
        <w:pStyle w:val="Heading3"/>
        <w:jc w:val="both"/>
      </w:pPr>
      <w:r>
        <w:t xml:space="preserve">Economic </w:t>
      </w:r>
      <w:r w:rsidR="00943859">
        <w:t xml:space="preserve">Linkages </w:t>
      </w:r>
      <w:r w:rsidR="00E02AFC">
        <w:t>&amp; Supply Chain</w:t>
      </w:r>
    </w:p>
    <w:p w14:paraId="3121EF89" w14:textId="77777777" w:rsidR="008C0CB4" w:rsidRDefault="008C0CB4" w:rsidP="00C93734">
      <w:pPr>
        <w:jc w:val="both"/>
        <w:rPr>
          <w:rFonts w:cs="Arial"/>
        </w:rPr>
      </w:pPr>
      <w:r>
        <w:rPr>
          <w:rFonts w:cs="Arial"/>
        </w:rPr>
        <w:t>The sector</w:t>
      </w:r>
      <w:r w:rsidR="00727AB8">
        <w:rPr>
          <w:rFonts w:cs="Arial"/>
        </w:rPr>
        <w:t xml:space="preserve"> is well integrated with other key sector</w:t>
      </w:r>
      <w:r w:rsidR="001D0EAA">
        <w:rPr>
          <w:rFonts w:cs="Arial"/>
        </w:rPr>
        <w:t>s</w:t>
      </w:r>
      <w:r w:rsidR="00481ADB">
        <w:rPr>
          <w:rFonts w:cs="Arial"/>
        </w:rPr>
        <w:t>,</w:t>
      </w:r>
      <w:r w:rsidR="00727AB8">
        <w:rPr>
          <w:rFonts w:cs="Arial"/>
        </w:rPr>
        <w:t xml:space="preserve"> </w:t>
      </w:r>
      <w:r w:rsidR="001D0EAA">
        <w:rPr>
          <w:rFonts w:cs="Arial"/>
        </w:rPr>
        <w:t>especially</w:t>
      </w:r>
      <w:r>
        <w:rPr>
          <w:rFonts w:cs="Arial"/>
        </w:rPr>
        <w:t xml:space="preserve"> food processing (e.g. through import of raw materials and export of products), renewables (e.g. access to sea and </w:t>
      </w:r>
      <w:r w:rsidR="00374100">
        <w:rPr>
          <w:rFonts w:cs="Arial"/>
        </w:rPr>
        <w:t xml:space="preserve">offshore </w:t>
      </w:r>
      <w:r w:rsidR="00F81FCB">
        <w:rPr>
          <w:rFonts w:cs="Arial"/>
        </w:rPr>
        <w:t>windfarm</w:t>
      </w:r>
      <w:r>
        <w:rPr>
          <w:rFonts w:cs="Arial"/>
        </w:rPr>
        <w:t>s) and chemicals and process industries (e.g. import of bulk goods).  It</w:t>
      </w:r>
      <w:r w:rsidR="001D0EAA">
        <w:rPr>
          <w:rFonts w:cs="Arial"/>
        </w:rPr>
        <w:t xml:space="preserve"> </w:t>
      </w:r>
      <w:r>
        <w:rPr>
          <w:rFonts w:cs="Arial"/>
        </w:rPr>
        <w:t xml:space="preserve">also </w:t>
      </w:r>
      <w:r w:rsidR="001D0EAA">
        <w:rPr>
          <w:rFonts w:cs="Arial"/>
        </w:rPr>
        <w:t xml:space="preserve">enjoys close </w:t>
      </w:r>
      <w:r>
        <w:rPr>
          <w:rFonts w:cs="Arial"/>
        </w:rPr>
        <w:t>links to other</w:t>
      </w:r>
      <w:r w:rsidR="00727AB8">
        <w:rPr>
          <w:rFonts w:cs="Arial"/>
        </w:rPr>
        <w:t xml:space="preserve"> important</w:t>
      </w:r>
      <w:r>
        <w:rPr>
          <w:rFonts w:cs="Arial"/>
        </w:rPr>
        <w:t xml:space="preserve"> </w:t>
      </w:r>
      <w:r w:rsidR="00727AB8">
        <w:rPr>
          <w:rFonts w:cs="Arial"/>
        </w:rPr>
        <w:t>activities</w:t>
      </w:r>
      <w:r>
        <w:rPr>
          <w:rFonts w:cs="Arial"/>
        </w:rPr>
        <w:t xml:space="preserve"> </w:t>
      </w:r>
      <w:r w:rsidR="001D0EAA">
        <w:rPr>
          <w:rFonts w:cs="Arial"/>
        </w:rPr>
        <w:t>including</w:t>
      </w:r>
      <w:r>
        <w:rPr>
          <w:rFonts w:cs="Arial"/>
        </w:rPr>
        <w:t xml:space="preserve"> construction (e.g. import of wood and steel products), the wider manufacturing</w:t>
      </w:r>
      <w:r w:rsidR="00727AB8">
        <w:rPr>
          <w:rFonts w:cs="Arial"/>
        </w:rPr>
        <w:t xml:space="preserve"> sector</w:t>
      </w:r>
      <w:r>
        <w:rPr>
          <w:rFonts w:cs="Arial"/>
        </w:rPr>
        <w:t xml:space="preserve"> (e.g. import of machinery and export of cars)</w:t>
      </w:r>
      <w:r w:rsidR="00727AB8">
        <w:rPr>
          <w:rFonts w:cs="Arial"/>
        </w:rPr>
        <w:t xml:space="preserve"> and energy sectors (e.g. coal).</w:t>
      </w:r>
    </w:p>
    <w:p w14:paraId="7DEF2CD0" w14:textId="77777777" w:rsidR="0087408D" w:rsidRDefault="00727AB8" w:rsidP="00C93734">
      <w:pPr>
        <w:jc w:val="both"/>
        <w:rPr>
          <w:rFonts w:cs="Arial"/>
        </w:rPr>
      </w:pPr>
      <w:r>
        <w:rPr>
          <w:rFonts w:cs="Arial"/>
        </w:rPr>
        <w:t>Examples of cross-sector linkage</w:t>
      </w:r>
      <w:r w:rsidR="00245A07">
        <w:rPr>
          <w:rFonts w:cs="Arial"/>
        </w:rPr>
        <w:t>s</w:t>
      </w:r>
      <w:r>
        <w:rPr>
          <w:rFonts w:cs="Arial"/>
        </w:rPr>
        <w:t xml:space="preserve"> are highlighted below:</w:t>
      </w:r>
    </w:p>
    <w:p w14:paraId="5B9723CB" w14:textId="77777777" w:rsidR="00C13825" w:rsidRDefault="00465912" w:rsidP="00C93734">
      <w:pPr>
        <w:pStyle w:val="ListBullet"/>
        <w:jc w:val="both"/>
      </w:pPr>
      <w:r>
        <w:t xml:space="preserve">Port </w:t>
      </w:r>
      <w:r w:rsidR="005C4043">
        <w:t xml:space="preserve">operator </w:t>
      </w:r>
      <w:r w:rsidR="004A7709">
        <w:t>–</w:t>
      </w:r>
      <w:r w:rsidR="00943859">
        <w:t xml:space="preserve"> </w:t>
      </w:r>
      <w:r w:rsidR="00016EDC">
        <w:t xml:space="preserve">ABP’s ownership of all ports on the Humber means that they are the single most important organisation in this sector. Their investment into facilities and </w:t>
      </w:r>
      <w:r w:rsidR="00807B36">
        <w:t xml:space="preserve">positive </w:t>
      </w:r>
      <w:r w:rsidR="00016EDC">
        <w:t xml:space="preserve">contribution to </w:t>
      </w:r>
      <w:r w:rsidR="00727AB8">
        <w:t>the local and regional economy</w:t>
      </w:r>
      <w:r w:rsidR="00016EDC">
        <w:t xml:space="preserve"> </w:t>
      </w:r>
      <w:r w:rsidR="00807B36">
        <w:t xml:space="preserve">is </w:t>
      </w:r>
      <w:r w:rsidR="007A412D">
        <w:t>of high importance to the local economy</w:t>
      </w:r>
      <w:r w:rsidR="00807B36">
        <w:t xml:space="preserve">. </w:t>
      </w:r>
      <w:r w:rsidR="00C13825" w:rsidRPr="00C13825">
        <w:t>ABP</w:t>
      </w:r>
      <w:r w:rsidR="00C13825">
        <w:t xml:space="preserve"> </w:t>
      </w:r>
      <w:r w:rsidR="007A412D">
        <w:t xml:space="preserve">directly employs 400 people whilst </w:t>
      </w:r>
      <w:r w:rsidR="00C13825" w:rsidRPr="00C13825">
        <w:t>the combined port</w:t>
      </w:r>
      <w:r w:rsidR="00C13825">
        <w:t xml:space="preserve"> </w:t>
      </w:r>
      <w:r w:rsidR="00C13825" w:rsidRPr="00C13825">
        <w:t>community directly employs some 4,700 people</w:t>
      </w:r>
      <w:r w:rsidR="00C13825">
        <w:t xml:space="preserve"> and </w:t>
      </w:r>
      <w:r w:rsidR="00C13825" w:rsidRPr="00C13825">
        <w:t>estimates suggest that some 15,000 jobs rely on</w:t>
      </w:r>
      <w:r w:rsidR="00C13825">
        <w:t xml:space="preserve"> </w:t>
      </w:r>
      <w:r w:rsidR="00C13825" w:rsidRPr="00C13825">
        <w:t>the local ports and transport sector within the</w:t>
      </w:r>
      <w:r w:rsidR="00C13825">
        <w:t xml:space="preserve"> </w:t>
      </w:r>
      <w:r w:rsidR="00C13825" w:rsidRPr="00C13825">
        <w:t>Humber sub-region area</w:t>
      </w:r>
      <w:r w:rsidR="00C13825">
        <w:rPr>
          <w:rStyle w:val="FootnoteReference"/>
          <w:rFonts w:cs="Arial"/>
        </w:rPr>
        <w:footnoteReference w:id="9"/>
      </w:r>
      <w:r w:rsidR="00C13825">
        <w:t>.</w:t>
      </w:r>
    </w:p>
    <w:p w14:paraId="504502E1" w14:textId="77777777" w:rsidR="00245A07" w:rsidRDefault="00C10D29" w:rsidP="00C93734">
      <w:pPr>
        <w:pStyle w:val="ListBullet"/>
        <w:jc w:val="both"/>
      </w:pPr>
      <w:r>
        <w:t>Ro-R</w:t>
      </w:r>
      <w:r w:rsidR="00577236">
        <w:t xml:space="preserve">o </w:t>
      </w:r>
      <w:r w:rsidR="00CB50CD">
        <w:t xml:space="preserve">freight </w:t>
      </w:r>
      <w:r w:rsidR="00807B36">
        <w:t xml:space="preserve">– A range of operations use ABP </w:t>
      </w:r>
      <w:r w:rsidR="00577236">
        <w:t xml:space="preserve">ro-ro </w:t>
      </w:r>
      <w:r w:rsidR="00807B36">
        <w:t>facilities at Immingham and Grimsby including importing and exporting car companies such as Volkswagen and Toyota. Companies which provide added value and logistics solutions include DFDS and GBA Group.</w:t>
      </w:r>
    </w:p>
    <w:p w14:paraId="028C4D4E" w14:textId="77777777" w:rsidR="00AD6BB0" w:rsidRDefault="00943859" w:rsidP="00C93734">
      <w:pPr>
        <w:pStyle w:val="ListBullet"/>
        <w:jc w:val="both"/>
      </w:pPr>
      <w:r>
        <w:t>Distribution</w:t>
      </w:r>
      <w:r w:rsidR="004A7709">
        <w:t xml:space="preserve"> </w:t>
      </w:r>
      <w:r w:rsidR="00807B36">
        <w:t>–</w:t>
      </w:r>
      <w:r w:rsidR="004A7709">
        <w:t xml:space="preserve"> </w:t>
      </w:r>
      <w:r w:rsidR="00481ADB">
        <w:t>A</w:t>
      </w:r>
      <w:r w:rsidR="00807B36">
        <w:t xml:space="preserve"> range of distribution </w:t>
      </w:r>
      <w:r w:rsidR="00776E9E">
        <w:t xml:space="preserve">and transport </w:t>
      </w:r>
      <w:r w:rsidR="00807B36">
        <w:t xml:space="preserve">companies </w:t>
      </w:r>
      <w:r w:rsidR="00C13825">
        <w:t xml:space="preserve">in the local area play a key role in transporting goods, materials and products to and from the dock sites. </w:t>
      </w:r>
      <w:r w:rsidR="00776E9E">
        <w:t xml:space="preserve">These include </w:t>
      </w:r>
      <w:r w:rsidR="00481ADB">
        <w:t>sector-specific businesses, such as</w:t>
      </w:r>
      <w:r w:rsidR="00776E9E">
        <w:t xml:space="preserve"> Quayside and ACS &amp; T (frozen foods), DB Schenker Rail (steel and coal) and East Trans (Manufacturing).</w:t>
      </w:r>
    </w:p>
    <w:p w14:paraId="5B7E5B76" w14:textId="77777777" w:rsidR="00943859" w:rsidRDefault="00943859" w:rsidP="00C93734">
      <w:pPr>
        <w:pStyle w:val="ListBullet"/>
        <w:jc w:val="both"/>
      </w:pPr>
      <w:r>
        <w:t>Power stations and refineries</w:t>
      </w:r>
      <w:r w:rsidR="004A7709">
        <w:t xml:space="preserve"> </w:t>
      </w:r>
      <w:r w:rsidR="00DE5FFE">
        <w:t xml:space="preserve">- Key assets </w:t>
      </w:r>
      <w:r w:rsidR="007A412D">
        <w:t>in and around the area include</w:t>
      </w:r>
      <w:r w:rsidR="00DE5FFE">
        <w:t xml:space="preserve"> </w:t>
      </w:r>
      <w:r w:rsidR="00715EB2">
        <w:t xml:space="preserve">Drax </w:t>
      </w:r>
      <w:r w:rsidR="00DE5FFE">
        <w:t xml:space="preserve">Power Station (Selby), </w:t>
      </w:r>
      <w:r w:rsidR="00DE5FFE" w:rsidRPr="00DE5FFE">
        <w:t>Ferrybridge power station (Ferrybridge), Eggborough Power Station (Goole)</w:t>
      </w:r>
      <w:r w:rsidR="00DE5FFE">
        <w:t xml:space="preserve"> and the </w:t>
      </w:r>
      <w:r w:rsidR="00EF496F">
        <w:t xml:space="preserve">Lindsey and </w:t>
      </w:r>
      <w:r w:rsidR="00DC7266">
        <w:t>Humber refineries (</w:t>
      </w:r>
      <w:r w:rsidR="00DE5FFE">
        <w:t>Killingholme/Immingham). These are destinations for a significant amount of bulk materials from the Port of Immingham.</w:t>
      </w:r>
    </w:p>
    <w:p w14:paraId="1987AB91" w14:textId="77777777" w:rsidR="00943859" w:rsidRDefault="00943859" w:rsidP="00C93734">
      <w:pPr>
        <w:pStyle w:val="ListBullet"/>
        <w:jc w:val="both"/>
      </w:pPr>
      <w:r>
        <w:t xml:space="preserve">Storage </w:t>
      </w:r>
      <w:r w:rsidR="005C4043">
        <w:t xml:space="preserve">and warehousing </w:t>
      </w:r>
      <w:r w:rsidR="00DE5FFE">
        <w:t>–</w:t>
      </w:r>
      <w:r w:rsidR="004A7709">
        <w:t xml:space="preserve"> </w:t>
      </w:r>
      <w:r w:rsidR="00DE5FFE">
        <w:t xml:space="preserve">The area has a significant amount of temporary storage for materials or products. This is most </w:t>
      </w:r>
      <w:r w:rsidR="007A412D">
        <w:t>evident</w:t>
      </w:r>
      <w:r w:rsidR="00DE5FFE">
        <w:t xml:space="preserve"> in the shifting numbers of cars which are visible on the Grimsby Dock site. </w:t>
      </w:r>
      <w:r w:rsidR="007A412D">
        <w:t xml:space="preserve">Key companies include DFDS, </w:t>
      </w:r>
      <w:r w:rsidR="00DE5FFE">
        <w:t>GBA</w:t>
      </w:r>
      <w:r w:rsidR="007A412D">
        <w:t>,</w:t>
      </w:r>
      <w:r w:rsidR="00DE5FFE">
        <w:t xml:space="preserve"> Simon Storage </w:t>
      </w:r>
      <w:r w:rsidR="007A412D">
        <w:t>and</w:t>
      </w:r>
      <w:r w:rsidR="00DE5FFE">
        <w:t xml:space="preserve"> Immingham Transport (</w:t>
      </w:r>
      <w:r w:rsidR="00481ADB">
        <w:t xml:space="preserve">pallet </w:t>
      </w:r>
      <w:r w:rsidR="00DE5FFE">
        <w:t>goods).</w:t>
      </w:r>
    </w:p>
    <w:p w14:paraId="04CDA129" w14:textId="77777777" w:rsidR="00943859" w:rsidRDefault="00CC0ED0" w:rsidP="00C93734">
      <w:pPr>
        <w:pStyle w:val="ListBullet"/>
        <w:jc w:val="both"/>
      </w:pPr>
      <w:r>
        <w:t xml:space="preserve">Logistics </w:t>
      </w:r>
      <w:r w:rsidR="005C4043">
        <w:t xml:space="preserve">solutions </w:t>
      </w:r>
      <w:r>
        <w:t xml:space="preserve">(e.g. </w:t>
      </w:r>
      <w:r w:rsidR="005C4043">
        <w:t>port and s</w:t>
      </w:r>
      <w:r w:rsidR="00943859">
        <w:t xml:space="preserve">hipping </w:t>
      </w:r>
      <w:r w:rsidR="005C4043">
        <w:t>a</w:t>
      </w:r>
      <w:r w:rsidR="00943859">
        <w:t>gents</w:t>
      </w:r>
      <w:r>
        <w:t xml:space="preserve">) – A number of companies including </w:t>
      </w:r>
      <w:r w:rsidRPr="00CB50CD">
        <w:t>Arthur Smith, GBA Group and Inchscape play an important role in providing a range of logistics solutions including brokering, stevedoring, operating, chartering and forwarding. Furthermore, there is a range of related supply chain activities including administration, recruitment, solicitors, accountants with a specific logistics and port focus.</w:t>
      </w:r>
    </w:p>
    <w:p w14:paraId="5FAC604F" w14:textId="77777777" w:rsidR="004A7709" w:rsidRDefault="004A7709" w:rsidP="00C93734">
      <w:pPr>
        <w:pStyle w:val="ListBullet"/>
        <w:jc w:val="both"/>
      </w:pPr>
      <w:r>
        <w:t>Multi-modal transport</w:t>
      </w:r>
      <w:r w:rsidR="00B64B13">
        <w:t xml:space="preserve"> – This sees the transportation of goods and products using more than one transport method. This has been effectively utilised by companies such as DFDS and Samskip using</w:t>
      </w:r>
      <w:r w:rsidR="00465912">
        <w:t xml:space="preserve"> sea vessel and truck movements to get products moved effectively.</w:t>
      </w:r>
    </w:p>
    <w:p w14:paraId="72F79C4D" w14:textId="77777777" w:rsidR="00DE5FFE" w:rsidRDefault="00DE5FFE" w:rsidP="00C93734">
      <w:pPr>
        <w:pStyle w:val="ListBullet"/>
        <w:jc w:val="both"/>
      </w:pPr>
      <w:r>
        <w:t xml:space="preserve">Manufacturers – </w:t>
      </w:r>
      <w:r w:rsidR="00B64B13">
        <w:t xml:space="preserve">There </w:t>
      </w:r>
      <w:r w:rsidR="00EF496F">
        <w:t>is</w:t>
      </w:r>
      <w:r w:rsidR="00B64B13">
        <w:t xml:space="preserve"> a range of key manufacturers which make use of ports to export products and import materials including </w:t>
      </w:r>
      <w:r>
        <w:t>TATA</w:t>
      </w:r>
      <w:r w:rsidR="00B64B13">
        <w:t xml:space="preserve"> steel at Scunthorpe and Toyota in Derby.</w:t>
      </w:r>
    </w:p>
    <w:p w14:paraId="20341B81" w14:textId="77777777" w:rsidR="00A24DE8" w:rsidRDefault="00B64B13" w:rsidP="00C93734">
      <w:pPr>
        <w:pStyle w:val="Heading3"/>
        <w:jc w:val="both"/>
      </w:pPr>
      <w:r>
        <w:t>Local Strengths</w:t>
      </w:r>
    </w:p>
    <w:p w14:paraId="0A0FDC23" w14:textId="77777777" w:rsidR="00740FC0" w:rsidRDefault="00465912" w:rsidP="00C93734">
      <w:pPr>
        <w:pStyle w:val="ListBullet2"/>
        <w:numPr>
          <w:ilvl w:val="0"/>
          <w:numId w:val="0"/>
        </w:numPr>
        <w:jc w:val="both"/>
      </w:pPr>
      <w:r>
        <w:t>Economic strengths in this sector were explored through secondary data and consultation with</w:t>
      </w:r>
      <w:r w:rsidR="00740FC0">
        <w:t xml:space="preserve"> local</w:t>
      </w:r>
      <w:r>
        <w:t xml:space="preserve"> businesses </w:t>
      </w:r>
      <w:r w:rsidR="00740FC0">
        <w:t>and</w:t>
      </w:r>
      <w:r>
        <w:t xml:space="preserve"> stakeholders.</w:t>
      </w:r>
      <w:r w:rsidR="003250CE">
        <w:t xml:space="preserve"> </w:t>
      </w:r>
      <w:r w:rsidR="002F6C3A">
        <w:t xml:space="preserve">Using </w:t>
      </w:r>
      <w:r w:rsidR="005C4043">
        <w:t xml:space="preserve">location quotients </w:t>
      </w:r>
      <w:r w:rsidR="002F6C3A">
        <w:t>(LQs) as a statistical measure, these</w:t>
      </w:r>
      <w:r w:rsidR="003250CE">
        <w:t xml:space="preserve"> show the </w:t>
      </w:r>
      <w:r w:rsidR="00740FC0">
        <w:t xml:space="preserve">relative </w:t>
      </w:r>
      <w:r w:rsidR="003250CE">
        <w:t>concentration of emplo</w:t>
      </w:r>
      <w:r w:rsidR="00740FC0">
        <w:t>yment within a sub-sector compared to national averages</w:t>
      </w:r>
      <w:r w:rsidR="003250CE">
        <w:t>. The higher the figure</w:t>
      </w:r>
      <w:r w:rsidR="00481ADB">
        <w:t>,</w:t>
      </w:r>
      <w:r w:rsidR="003250CE">
        <w:t xml:space="preserve"> the more concentrated this industry’s employment is compared with the national economy.</w:t>
      </w:r>
      <w:r w:rsidR="00740FC0">
        <w:t xml:space="preserve">  A measure of 1 indicates the sector</w:t>
      </w:r>
      <w:r w:rsidR="00481ADB">
        <w:t>’s</w:t>
      </w:r>
      <w:r w:rsidR="00740FC0">
        <w:t xml:space="preserve"> local represent</w:t>
      </w:r>
      <w:r w:rsidR="00481ADB">
        <w:t>ation is</w:t>
      </w:r>
      <w:r w:rsidR="00740FC0">
        <w:t xml:space="preserve"> similar to the national average. </w:t>
      </w:r>
      <w:r w:rsidR="003250CE">
        <w:t xml:space="preserve"> </w:t>
      </w:r>
    </w:p>
    <w:p w14:paraId="1D7CEE01" w14:textId="77777777" w:rsidR="00740FC0" w:rsidRDefault="00740FC0" w:rsidP="00C93734">
      <w:pPr>
        <w:pStyle w:val="ListBullet2"/>
        <w:numPr>
          <w:ilvl w:val="0"/>
          <w:numId w:val="0"/>
        </w:numPr>
        <w:jc w:val="both"/>
      </w:pPr>
    </w:p>
    <w:p w14:paraId="5CC3542F" w14:textId="77777777" w:rsidR="00B64B13" w:rsidRDefault="003250CE" w:rsidP="00C93734">
      <w:pPr>
        <w:pStyle w:val="ListBullet2"/>
        <w:numPr>
          <w:ilvl w:val="0"/>
          <w:numId w:val="0"/>
        </w:numPr>
        <w:jc w:val="both"/>
      </w:pPr>
      <w:r>
        <w:t xml:space="preserve">This </w:t>
      </w:r>
      <w:r w:rsidR="00740FC0">
        <w:t>analysis indicates</w:t>
      </w:r>
      <w:r>
        <w:t xml:space="preserve"> that </w:t>
      </w:r>
      <w:r w:rsidR="005C4043">
        <w:t>NEL</w:t>
      </w:r>
      <w:r>
        <w:t xml:space="preserve"> has strengths in:</w:t>
      </w:r>
    </w:p>
    <w:p w14:paraId="4C817547" w14:textId="77777777" w:rsidR="003250CE" w:rsidRDefault="003250CE" w:rsidP="00C93734">
      <w:pPr>
        <w:pStyle w:val="ListBullet2"/>
        <w:numPr>
          <w:ilvl w:val="0"/>
          <w:numId w:val="20"/>
        </w:numPr>
        <w:jc w:val="both"/>
      </w:pPr>
      <w:r>
        <w:t>Cargo handling for water transport activities</w:t>
      </w:r>
      <w:r w:rsidR="00AD6BB0">
        <w:t xml:space="preserve"> </w:t>
      </w:r>
      <w:r w:rsidR="00934F46">
        <w:t>– Economic a</w:t>
      </w:r>
      <w:r>
        <w:t xml:space="preserve">ctivities </w:t>
      </w:r>
      <w:r w:rsidR="00934F46">
        <w:t xml:space="preserve">within this sub-sector include </w:t>
      </w:r>
      <w:r>
        <w:t xml:space="preserve">loading and unloading of goods or passengers' luggage travelling via water transport, </w:t>
      </w:r>
      <w:r w:rsidR="00934F46">
        <w:t xml:space="preserve">and </w:t>
      </w:r>
      <w:r>
        <w:t>stevedoring</w:t>
      </w:r>
      <w:r w:rsidR="00481ADB">
        <w:t>.</w:t>
      </w:r>
    </w:p>
    <w:p w14:paraId="1D7CF558" w14:textId="77777777" w:rsidR="003250CE" w:rsidRPr="003250CE" w:rsidRDefault="003250CE" w:rsidP="00C93734">
      <w:pPr>
        <w:pStyle w:val="ListBullet2"/>
        <w:numPr>
          <w:ilvl w:val="0"/>
          <w:numId w:val="20"/>
        </w:numPr>
        <w:jc w:val="both"/>
      </w:pPr>
      <w:r>
        <w:t xml:space="preserve">Service activities incidental to water transportation </w:t>
      </w:r>
      <w:r w:rsidR="00934F46">
        <w:t>–</w:t>
      </w:r>
      <w:r>
        <w:t xml:space="preserve"> </w:t>
      </w:r>
      <w:r w:rsidR="00934F46">
        <w:t>There</w:t>
      </w:r>
      <w:r w:rsidR="00EF496F">
        <w:t xml:space="preserve"> </w:t>
      </w:r>
      <w:r w:rsidR="00481ADB">
        <w:t xml:space="preserve">are </w:t>
      </w:r>
      <w:r w:rsidR="00934F46">
        <w:t xml:space="preserve">a variety of economic </w:t>
      </w:r>
      <w:r w:rsidRPr="003250CE">
        <w:t xml:space="preserve">activities </w:t>
      </w:r>
      <w:r w:rsidR="00934F46">
        <w:t xml:space="preserve">in this sub-sector and many are </w:t>
      </w:r>
      <w:r w:rsidRPr="003250CE">
        <w:t>related to water transport of passengers, animals or freight:</w:t>
      </w:r>
    </w:p>
    <w:p w14:paraId="5DDCEE8F" w14:textId="77777777" w:rsidR="003250CE" w:rsidRPr="003250CE" w:rsidRDefault="005A0F99" w:rsidP="00C93734">
      <w:pPr>
        <w:pStyle w:val="ListBullet2"/>
        <w:ind w:left="1040"/>
        <w:jc w:val="both"/>
      </w:pPr>
      <w:r>
        <w:t>O</w:t>
      </w:r>
      <w:r w:rsidR="003250CE" w:rsidRPr="003250CE">
        <w:t>peration of terminal facilities such as harbours and piers</w:t>
      </w:r>
      <w:r>
        <w:t>.</w:t>
      </w:r>
    </w:p>
    <w:p w14:paraId="7FB8C9A0" w14:textId="77777777" w:rsidR="003250CE" w:rsidRPr="003250CE" w:rsidRDefault="005A0F99" w:rsidP="00C93734">
      <w:pPr>
        <w:pStyle w:val="ListBullet2"/>
        <w:ind w:left="1040"/>
        <w:jc w:val="both"/>
      </w:pPr>
      <w:r>
        <w:t>O</w:t>
      </w:r>
      <w:r w:rsidR="003250CE" w:rsidRPr="003250CE">
        <w:t>peration of waterway locks etc.</w:t>
      </w:r>
    </w:p>
    <w:p w14:paraId="6F1BEB9E" w14:textId="77777777" w:rsidR="003250CE" w:rsidRPr="003250CE" w:rsidRDefault="005A0F99" w:rsidP="00C93734">
      <w:pPr>
        <w:pStyle w:val="ListBullet2"/>
        <w:ind w:left="1040"/>
        <w:jc w:val="both"/>
      </w:pPr>
      <w:r>
        <w:t>N</w:t>
      </w:r>
      <w:r w:rsidR="003250CE" w:rsidRPr="003250CE">
        <w:t>avigation, pilotage and berthing activities</w:t>
      </w:r>
      <w:r>
        <w:t>.</w:t>
      </w:r>
    </w:p>
    <w:p w14:paraId="1D2B0D34" w14:textId="77777777" w:rsidR="003250CE" w:rsidRPr="003250CE" w:rsidRDefault="005A0F99" w:rsidP="00C93734">
      <w:pPr>
        <w:pStyle w:val="ListBullet2"/>
        <w:ind w:left="1040"/>
        <w:jc w:val="both"/>
      </w:pPr>
      <w:r>
        <w:t>Li</w:t>
      </w:r>
      <w:r w:rsidR="003250CE" w:rsidRPr="003250CE">
        <w:t>ghterage, salvage activities</w:t>
      </w:r>
      <w:r>
        <w:t>.</w:t>
      </w:r>
    </w:p>
    <w:p w14:paraId="17A640A9" w14:textId="77777777" w:rsidR="003250CE" w:rsidRDefault="005A0F99" w:rsidP="00C93734">
      <w:pPr>
        <w:pStyle w:val="ListBullet2"/>
        <w:ind w:left="1040"/>
        <w:jc w:val="both"/>
      </w:pPr>
      <w:r>
        <w:t>L</w:t>
      </w:r>
      <w:r w:rsidR="003250CE" w:rsidRPr="003250CE">
        <w:t>ighthouse activities</w:t>
      </w:r>
      <w:r>
        <w:t>.</w:t>
      </w:r>
    </w:p>
    <w:p w14:paraId="600B52C8" w14:textId="77777777" w:rsidR="003250CE" w:rsidRDefault="00934F46" w:rsidP="00C93734">
      <w:pPr>
        <w:pStyle w:val="ListBullet2"/>
        <w:numPr>
          <w:ilvl w:val="0"/>
          <w:numId w:val="20"/>
        </w:numPr>
        <w:jc w:val="both"/>
      </w:pPr>
      <w:r w:rsidRPr="00934F46">
        <w:t>Repair of machinery</w:t>
      </w:r>
      <w:r>
        <w:t xml:space="preserve"> – Although this is related to many sectors it includes</w:t>
      </w:r>
      <w:r w:rsidR="00514C2F">
        <w:t xml:space="preserve"> </w:t>
      </w:r>
      <w:r w:rsidR="003250CE" w:rsidRPr="00934F46">
        <w:t>welding</w:t>
      </w:r>
      <w:r w:rsidR="00514C2F">
        <w:t xml:space="preserve"> repair services</w:t>
      </w:r>
      <w:r w:rsidR="003250CE" w:rsidRPr="00934F46">
        <w:t xml:space="preserve"> (e.g. automotive)</w:t>
      </w:r>
      <w:r w:rsidR="00514C2F">
        <w:t xml:space="preserve"> and </w:t>
      </w:r>
      <w:r w:rsidR="003250CE" w:rsidRPr="00934F46">
        <w:t>the repair of heavy and industrial machinery and equipment (e.g. forklifts and other materials handling equipment, machine tools, commercial refrigeration equipment, construction equipment and mining machinery</w:t>
      </w:r>
      <w:r w:rsidR="00514C2F" w:rsidRPr="00934F46">
        <w:t>)</w:t>
      </w:r>
      <w:r w:rsidR="00514C2F">
        <w:t xml:space="preserve">. Many repair activities are therefore </w:t>
      </w:r>
      <w:r>
        <w:t>related to logistics activities.</w:t>
      </w:r>
    </w:p>
    <w:p w14:paraId="2D73B61F" w14:textId="77777777" w:rsidR="003250CE" w:rsidRDefault="003250CE" w:rsidP="00C93734">
      <w:pPr>
        <w:pStyle w:val="ListBullet2"/>
        <w:numPr>
          <w:ilvl w:val="0"/>
          <w:numId w:val="0"/>
        </w:numPr>
        <w:jc w:val="both"/>
      </w:pPr>
    </w:p>
    <w:p w14:paraId="4B1E9994" w14:textId="77777777" w:rsidR="0049427F" w:rsidRDefault="0049427F" w:rsidP="00C93734">
      <w:pPr>
        <w:pStyle w:val="Caption"/>
        <w:jc w:val="both"/>
      </w:pPr>
      <w:bookmarkStart w:id="568" w:name="_Toc383159692"/>
      <w:r>
        <w:t xml:space="preserve">Table </w:t>
      </w:r>
      <w:fldSimple w:instr=" STYLEREF 1 \s  \* MERGEFORMAT ">
        <w:r w:rsidR="00E95E1A">
          <w:rPr>
            <w:noProof/>
          </w:rPr>
          <w:t>4</w:t>
        </w:r>
      </w:fldSimple>
      <w:r>
        <w:t>-</w:t>
      </w:r>
      <w:fldSimple w:instr=" SEQ Table \* ARABIC \s 1  \* MERGEFORMAT ">
        <w:r w:rsidR="00E95E1A">
          <w:rPr>
            <w:noProof/>
          </w:rPr>
          <w:t>8</w:t>
        </w:r>
      </w:fldSimple>
      <w:r w:rsidR="009405CE">
        <w:tab/>
        <w:t xml:space="preserve">Employment LQ Analysis - </w:t>
      </w:r>
      <w:r>
        <w:t>Port</w:t>
      </w:r>
      <w:r w:rsidR="009405CE">
        <w:t>s</w:t>
      </w:r>
      <w:r>
        <w:t xml:space="preserve"> &amp; Logistic</w:t>
      </w:r>
      <w:bookmarkEnd w:id="568"/>
      <w:r w:rsidR="009405CE">
        <w:t>s</w:t>
      </w:r>
    </w:p>
    <w:tbl>
      <w:tblPr>
        <w:tblStyle w:val="Atkins14pt"/>
        <w:tblW w:w="9498" w:type="dxa"/>
        <w:tblLook w:val="04A0" w:firstRow="1" w:lastRow="0" w:firstColumn="1" w:lastColumn="0" w:noHBand="0" w:noVBand="1"/>
      </w:tblPr>
      <w:tblGrid>
        <w:gridCol w:w="8647"/>
        <w:gridCol w:w="851"/>
      </w:tblGrid>
      <w:tr w:rsidR="009219FE" w:rsidRPr="005D590A" w14:paraId="51EDE3BA" w14:textId="77777777" w:rsidTr="00BB02D8">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8647" w:type="dxa"/>
            <w:noWrap/>
            <w:hideMark/>
          </w:tcPr>
          <w:p w14:paraId="6FF6A631" w14:textId="77777777" w:rsidR="009219FE" w:rsidRPr="005D590A" w:rsidRDefault="009219FE" w:rsidP="00C93734">
            <w:pPr>
              <w:spacing w:after="0"/>
              <w:jc w:val="both"/>
              <w:rPr>
                <w:rFonts w:eastAsia="Times New Roman"/>
                <w:color w:val="000000"/>
              </w:rPr>
            </w:pPr>
            <w:r w:rsidRPr="005D590A">
              <w:rPr>
                <w:rFonts w:eastAsia="Times New Roman"/>
                <w:color w:val="000000"/>
              </w:rPr>
              <w:t>Sector activity</w:t>
            </w:r>
          </w:p>
        </w:tc>
        <w:tc>
          <w:tcPr>
            <w:tcW w:w="851" w:type="dxa"/>
            <w:noWrap/>
            <w:hideMark/>
          </w:tcPr>
          <w:p w14:paraId="6452A76D" w14:textId="77777777" w:rsidR="009219FE" w:rsidRPr="005D590A" w:rsidRDefault="009219FE"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5D590A">
              <w:rPr>
                <w:rFonts w:eastAsia="Times New Roman"/>
                <w:color w:val="000000"/>
              </w:rPr>
              <w:t>Emp LQ</w:t>
            </w:r>
          </w:p>
        </w:tc>
      </w:tr>
      <w:tr w:rsidR="009219FE" w:rsidRPr="005D590A" w14:paraId="25C0D8EF" w14:textId="77777777" w:rsidTr="00BB02D8">
        <w:trPr>
          <w:trHeight w:val="255"/>
        </w:trPr>
        <w:tc>
          <w:tcPr>
            <w:cnfStyle w:val="001000000000" w:firstRow="0" w:lastRow="0" w:firstColumn="1" w:lastColumn="0" w:oddVBand="0" w:evenVBand="0" w:oddHBand="0" w:evenHBand="0" w:firstRowFirstColumn="0" w:firstRowLastColumn="0" w:lastRowFirstColumn="0" w:lastRowLastColumn="0"/>
            <w:tcW w:w="8647" w:type="dxa"/>
            <w:noWrap/>
            <w:hideMark/>
          </w:tcPr>
          <w:p w14:paraId="2E463C53" w14:textId="77777777" w:rsidR="009219FE" w:rsidRPr="005D590A" w:rsidRDefault="009219FE" w:rsidP="00C93734">
            <w:pPr>
              <w:spacing w:after="0"/>
              <w:jc w:val="both"/>
              <w:rPr>
                <w:rFonts w:eastAsia="Times New Roman"/>
                <w:color w:val="000000"/>
              </w:rPr>
            </w:pPr>
            <w:r w:rsidRPr="005D590A">
              <w:rPr>
                <w:rFonts w:eastAsia="Times New Roman"/>
                <w:color w:val="000000"/>
              </w:rPr>
              <w:t xml:space="preserve">52241 : Cargo handling for water transport activities </w:t>
            </w:r>
            <w:r w:rsidR="00EF496F">
              <w:rPr>
                <w:rFonts w:eastAsia="Times New Roman"/>
                <w:color w:val="000000"/>
              </w:rPr>
              <w:t>-</w:t>
            </w:r>
          </w:p>
        </w:tc>
        <w:tc>
          <w:tcPr>
            <w:tcW w:w="851" w:type="dxa"/>
            <w:noWrap/>
            <w:hideMark/>
          </w:tcPr>
          <w:p w14:paraId="57850941" w14:textId="77777777" w:rsidR="009219FE" w:rsidRPr="005D590A" w:rsidRDefault="009219FE"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D590A">
              <w:rPr>
                <w:rFonts w:eastAsia="Times New Roman"/>
                <w:color w:val="000000"/>
              </w:rPr>
              <w:t>31.8</w:t>
            </w:r>
          </w:p>
        </w:tc>
      </w:tr>
      <w:tr w:rsidR="009219FE" w:rsidRPr="005D590A" w14:paraId="47C5707C" w14:textId="77777777" w:rsidTr="00BB02D8">
        <w:trPr>
          <w:trHeight w:val="255"/>
        </w:trPr>
        <w:tc>
          <w:tcPr>
            <w:cnfStyle w:val="001000000000" w:firstRow="0" w:lastRow="0" w:firstColumn="1" w:lastColumn="0" w:oddVBand="0" w:evenVBand="0" w:oddHBand="0" w:evenHBand="0" w:firstRowFirstColumn="0" w:firstRowLastColumn="0" w:lastRowFirstColumn="0" w:lastRowLastColumn="0"/>
            <w:tcW w:w="8647" w:type="dxa"/>
            <w:noWrap/>
            <w:hideMark/>
          </w:tcPr>
          <w:p w14:paraId="724F05E3" w14:textId="77777777" w:rsidR="009219FE" w:rsidRPr="005D590A" w:rsidRDefault="009219FE" w:rsidP="00C93734">
            <w:pPr>
              <w:spacing w:after="0"/>
              <w:jc w:val="both"/>
              <w:rPr>
                <w:rFonts w:eastAsia="Times New Roman"/>
                <w:color w:val="000000"/>
              </w:rPr>
            </w:pPr>
            <w:r w:rsidRPr="005D590A">
              <w:rPr>
                <w:rFonts w:eastAsia="Times New Roman"/>
                <w:color w:val="000000"/>
              </w:rPr>
              <w:t>52220 : Service activities incidental to water transportation</w:t>
            </w:r>
          </w:p>
        </w:tc>
        <w:tc>
          <w:tcPr>
            <w:tcW w:w="851" w:type="dxa"/>
            <w:noWrap/>
            <w:hideMark/>
          </w:tcPr>
          <w:p w14:paraId="5CA1D717" w14:textId="77777777" w:rsidR="009219FE" w:rsidRPr="005D590A" w:rsidRDefault="009219FE"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D590A">
              <w:rPr>
                <w:rFonts w:eastAsia="Times New Roman"/>
                <w:color w:val="000000"/>
              </w:rPr>
              <w:t>22.0</w:t>
            </w:r>
          </w:p>
        </w:tc>
      </w:tr>
      <w:tr w:rsidR="009219FE" w:rsidRPr="005D590A" w14:paraId="74D428CB" w14:textId="77777777" w:rsidTr="00BB02D8">
        <w:trPr>
          <w:trHeight w:val="255"/>
        </w:trPr>
        <w:tc>
          <w:tcPr>
            <w:cnfStyle w:val="001000000000" w:firstRow="0" w:lastRow="0" w:firstColumn="1" w:lastColumn="0" w:oddVBand="0" w:evenVBand="0" w:oddHBand="0" w:evenHBand="0" w:firstRowFirstColumn="0" w:firstRowLastColumn="0" w:lastRowFirstColumn="0" w:lastRowLastColumn="0"/>
            <w:tcW w:w="8647" w:type="dxa"/>
            <w:noWrap/>
            <w:hideMark/>
          </w:tcPr>
          <w:p w14:paraId="7C792ACC" w14:textId="77777777" w:rsidR="009219FE" w:rsidRPr="005D590A" w:rsidRDefault="009219FE" w:rsidP="00C93734">
            <w:pPr>
              <w:spacing w:after="0"/>
              <w:jc w:val="both"/>
              <w:rPr>
                <w:rFonts w:eastAsia="Times New Roman"/>
                <w:color w:val="000000"/>
              </w:rPr>
            </w:pPr>
            <w:r w:rsidRPr="005D590A">
              <w:rPr>
                <w:rFonts w:eastAsia="Times New Roman"/>
                <w:color w:val="000000"/>
              </w:rPr>
              <w:t>33120 : Repair of machinery</w:t>
            </w:r>
          </w:p>
        </w:tc>
        <w:tc>
          <w:tcPr>
            <w:tcW w:w="851" w:type="dxa"/>
            <w:noWrap/>
            <w:hideMark/>
          </w:tcPr>
          <w:p w14:paraId="4F6BC793" w14:textId="77777777" w:rsidR="009219FE" w:rsidRPr="005D590A" w:rsidRDefault="009219FE"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D590A">
              <w:rPr>
                <w:rFonts w:eastAsia="Times New Roman"/>
                <w:color w:val="000000"/>
              </w:rPr>
              <w:t>13.1</w:t>
            </w:r>
          </w:p>
        </w:tc>
      </w:tr>
      <w:tr w:rsidR="009219FE" w:rsidRPr="005D590A" w14:paraId="28461F7C" w14:textId="77777777" w:rsidTr="00BB02D8">
        <w:trPr>
          <w:trHeight w:val="255"/>
        </w:trPr>
        <w:tc>
          <w:tcPr>
            <w:cnfStyle w:val="001000000000" w:firstRow="0" w:lastRow="0" w:firstColumn="1" w:lastColumn="0" w:oddVBand="0" w:evenVBand="0" w:oddHBand="0" w:evenHBand="0" w:firstRowFirstColumn="0" w:firstRowLastColumn="0" w:lastRowFirstColumn="0" w:lastRowLastColumn="0"/>
            <w:tcW w:w="8647" w:type="dxa"/>
            <w:noWrap/>
            <w:hideMark/>
          </w:tcPr>
          <w:p w14:paraId="0A2DDE26" w14:textId="77777777" w:rsidR="009219FE" w:rsidRPr="005D590A" w:rsidRDefault="009219FE" w:rsidP="00C93734">
            <w:pPr>
              <w:spacing w:after="0"/>
              <w:jc w:val="both"/>
              <w:rPr>
                <w:rFonts w:eastAsia="Times New Roman"/>
                <w:color w:val="000000"/>
              </w:rPr>
            </w:pPr>
            <w:r w:rsidRPr="005D590A">
              <w:rPr>
                <w:rFonts w:eastAsia="Times New Roman"/>
                <w:color w:val="000000"/>
              </w:rPr>
              <w:t>52290 : Other transportation support activities</w:t>
            </w:r>
          </w:p>
        </w:tc>
        <w:tc>
          <w:tcPr>
            <w:tcW w:w="851" w:type="dxa"/>
            <w:noWrap/>
            <w:hideMark/>
          </w:tcPr>
          <w:p w14:paraId="1CB00896" w14:textId="77777777" w:rsidR="009219FE" w:rsidRPr="005D590A" w:rsidRDefault="009219FE"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D590A">
              <w:rPr>
                <w:rFonts w:eastAsia="Times New Roman"/>
                <w:color w:val="000000"/>
              </w:rPr>
              <w:t>6.8</w:t>
            </w:r>
          </w:p>
        </w:tc>
      </w:tr>
      <w:tr w:rsidR="009219FE" w:rsidRPr="005D590A" w14:paraId="3EF93332" w14:textId="77777777" w:rsidTr="00BB02D8">
        <w:trPr>
          <w:trHeight w:val="255"/>
        </w:trPr>
        <w:tc>
          <w:tcPr>
            <w:cnfStyle w:val="001000000000" w:firstRow="0" w:lastRow="0" w:firstColumn="1" w:lastColumn="0" w:oddVBand="0" w:evenVBand="0" w:oddHBand="0" w:evenHBand="0" w:firstRowFirstColumn="0" w:firstRowLastColumn="0" w:lastRowFirstColumn="0" w:lastRowLastColumn="0"/>
            <w:tcW w:w="8647" w:type="dxa"/>
            <w:noWrap/>
            <w:hideMark/>
          </w:tcPr>
          <w:p w14:paraId="2532AC58" w14:textId="77777777" w:rsidR="009219FE" w:rsidRPr="005D590A" w:rsidRDefault="009219FE" w:rsidP="00C93734">
            <w:pPr>
              <w:spacing w:after="0"/>
              <w:jc w:val="both"/>
              <w:rPr>
                <w:rFonts w:eastAsia="Times New Roman"/>
                <w:color w:val="000000"/>
              </w:rPr>
            </w:pPr>
            <w:r w:rsidRPr="005D590A">
              <w:rPr>
                <w:rFonts w:eastAsia="Times New Roman"/>
                <w:color w:val="000000"/>
              </w:rPr>
              <w:t>49410 : Freight transport by road</w:t>
            </w:r>
          </w:p>
        </w:tc>
        <w:tc>
          <w:tcPr>
            <w:tcW w:w="851" w:type="dxa"/>
            <w:noWrap/>
            <w:hideMark/>
          </w:tcPr>
          <w:p w14:paraId="240A6CB5" w14:textId="77777777" w:rsidR="009219FE" w:rsidRPr="005D590A" w:rsidRDefault="009219FE"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D590A">
              <w:rPr>
                <w:rFonts w:eastAsia="Times New Roman"/>
                <w:color w:val="000000"/>
              </w:rPr>
              <w:t>2.5</w:t>
            </w:r>
          </w:p>
        </w:tc>
      </w:tr>
      <w:tr w:rsidR="009219FE" w:rsidRPr="005D590A" w14:paraId="25A80128" w14:textId="77777777" w:rsidTr="00BB02D8">
        <w:trPr>
          <w:trHeight w:val="255"/>
        </w:trPr>
        <w:tc>
          <w:tcPr>
            <w:cnfStyle w:val="001000000000" w:firstRow="0" w:lastRow="0" w:firstColumn="1" w:lastColumn="0" w:oddVBand="0" w:evenVBand="0" w:oddHBand="0" w:evenHBand="0" w:firstRowFirstColumn="0" w:firstRowLastColumn="0" w:lastRowFirstColumn="0" w:lastRowLastColumn="0"/>
            <w:tcW w:w="8647" w:type="dxa"/>
            <w:noWrap/>
            <w:hideMark/>
          </w:tcPr>
          <w:p w14:paraId="792DDE07" w14:textId="77777777" w:rsidR="009219FE" w:rsidRPr="005D590A" w:rsidRDefault="009219FE" w:rsidP="00C93734">
            <w:pPr>
              <w:spacing w:after="0"/>
              <w:jc w:val="both"/>
              <w:rPr>
                <w:rFonts w:eastAsia="Times New Roman"/>
                <w:color w:val="000000"/>
              </w:rPr>
            </w:pPr>
            <w:r w:rsidRPr="005D590A">
              <w:rPr>
                <w:rFonts w:eastAsia="Times New Roman"/>
                <w:color w:val="000000"/>
              </w:rPr>
              <w:t>49390 : Other passenger land transport n</w:t>
            </w:r>
            <w:r w:rsidR="00934F46" w:rsidRPr="005D590A">
              <w:rPr>
                <w:rFonts w:eastAsia="Times New Roman"/>
                <w:color w:val="000000"/>
              </w:rPr>
              <w:t>ot else classified.</w:t>
            </w:r>
          </w:p>
        </w:tc>
        <w:tc>
          <w:tcPr>
            <w:tcW w:w="851" w:type="dxa"/>
            <w:noWrap/>
            <w:hideMark/>
          </w:tcPr>
          <w:p w14:paraId="6FAB9CB7" w14:textId="77777777" w:rsidR="009219FE" w:rsidRPr="005D590A" w:rsidRDefault="003250CE"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D590A">
              <w:rPr>
                <w:rFonts w:eastAsia="Times New Roman"/>
                <w:color w:val="000000"/>
              </w:rPr>
              <w:t>1.</w:t>
            </w:r>
            <w:r w:rsidR="009219FE" w:rsidRPr="005D590A">
              <w:rPr>
                <w:rFonts w:eastAsia="Times New Roman"/>
                <w:color w:val="000000"/>
              </w:rPr>
              <w:t>6</w:t>
            </w:r>
          </w:p>
        </w:tc>
      </w:tr>
      <w:tr w:rsidR="009219FE" w:rsidRPr="005D590A" w14:paraId="54A7793D" w14:textId="77777777" w:rsidTr="00BB02D8">
        <w:trPr>
          <w:trHeight w:val="255"/>
        </w:trPr>
        <w:tc>
          <w:tcPr>
            <w:cnfStyle w:val="001000000000" w:firstRow="0" w:lastRow="0" w:firstColumn="1" w:lastColumn="0" w:oddVBand="0" w:evenVBand="0" w:oddHBand="0" w:evenHBand="0" w:firstRowFirstColumn="0" w:firstRowLastColumn="0" w:lastRowFirstColumn="0" w:lastRowLastColumn="0"/>
            <w:tcW w:w="8647" w:type="dxa"/>
            <w:noWrap/>
            <w:hideMark/>
          </w:tcPr>
          <w:p w14:paraId="39412BEE" w14:textId="77777777" w:rsidR="009219FE" w:rsidRPr="005D590A" w:rsidRDefault="009219FE" w:rsidP="00C93734">
            <w:pPr>
              <w:spacing w:after="0"/>
              <w:jc w:val="both"/>
              <w:rPr>
                <w:rFonts w:eastAsia="Times New Roman"/>
                <w:color w:val="000000"/>
              </w:rPr>
            </w:pPr>
            <w:r w:rsidRPr="005D590A">
              <w:rPr>
                <w:rFonts w:eastAsia="Times New Roman"/>
                <w:color w:val="000000"/>
              </w:rPr>
              <w:t xml:space="preserve">52103 : </w:t>
            </w:r>
            <w:r w:rsidR="00816638" w:rsidRPr="005D590A">
              <w:rPr>
                <w:rFonts w:eastAsia="Times New Roman"/>
                <w:color w:val="000000"/>
              </w:rPr>
              <w:t xml:space="preserve">Operation of warehousing and storage facilities for land transport activities </w:t>
            </w:r>
            <w:r w:rsidR="00EF496F">
              <w:rPr>
                <w:rFonts w:eastAsia="Times New Roman"/>
                <w:color w:val="000000"/>
              </w:rPr>
              <w:t>-</w:t>
            </w:r>
          </w:p>
        </w:tc>
        <w:tc>
          <w:tcPr>
            <w:tcW w:w="851" w:type="dxa"/>
            <w:noWrap/>
            <w:hideMark/>
          </w:tcPr>
          <w:p w14:paraId="143F1F7B" w14:textId="77777777" w:rsidR="009219FE" w:rsidRPr="005D590A" w:rsidRDefault="009219FE"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D590A">
              <w:rPr>
                <w:rFonts w:eastAsia="Times New Roman"/>
                <w:color w:val="000000"/>
              </w:rPr>
              <w:t>1.2</w:t>
            </w:r>
          </w:p>
        </w:tc>
      </w:tr>
    </w:tbl>
    <w:p w14:paraId="37E304E8" w14:textId="77777777" w:rsidR="0049427F" w:rsidRPr="005D590A" w:rsidRDefault="009405CE" w:rsidP="009405CE">
      <w:pPr>
        <w:pStyle w:val="TableSource"/>
      </w:pPr>
      <w:r>
        <w:t>Source: BRES 201</w:t>
      </w:r>
      <w:r w:rsidR="001B70DF">
        <w:t>3</w:t>
      </w:r>
    </w:p>
    <w:p w14:paraId="1B4019C4" w14:textId="77777777" w:rsidR="004A7709" w:rsidRDefault="004A7709" w:rsidP="00C93734">
      <w:pPr>
        <w:pStyle w:val="Heading3"/>
        <w:jc w:val="both"/>
      </w:pPr>
      <w:r>
        <w:t xml:space="preserve">Economic Trends </w:t>
      </w:r>
    </w:p>
    <w:p w14:paraId="052933BF" w14:textId="77777777" w:rsidR="00816638" w:rsidRDefault="00694035" w:rsidP="00C93734">
      <w:pPr>
        <w:spacing w:after="0"/>
        <w:jc w:val="both"/>
        <w:rPr>
          <w:rFonts w:cs="Arial"/>
        </w:rPr>
      </w:pPr>
      <w:r>
        <w:rPr>
          <w:rFonts w:cs="Arial"/>
        </w:rPr>
        <w:t>Firm numbers in ports &amp; l</w:t>
      </w:r>
      <w:r w:rsidR="00816638">
        <w:rPr>
          <w:rFonts w:cs="Arial"/>
        </w:rPr>
        <w:t>ogistics have seen a small fall between 2009 and 2013 (</w:t>
      </w:r>
      <w:r w:rsidR="00E5137A">
        <w:rPr>
          <w:rFonts w:cs="Arial"/>
        </w:rPr>
        <w:t xml:space="preserve">approximately </w:t>
      </w:r>
      <w:r w:rsidR="00816638">
        <w:rPr>
          <w:rFonts w:cs="Arial"/>
        </w:rPr>
        <w:t>20 businesses).</w:t>
      </w:r>
      <w:r w:rsidR="00F25094">
        <w:rPr>
          <w:rFonts w:cs="Arial"/>
        </w:rPr>
        <w:t xml:space="preserve"> </w:t>
      </w:r>
      <w:r w:rsidR="008910AF">
        <w:rPr>
          <w:rFonts w:cs="Arial"/>
        </w:rPr>
        <w:t>However, despite these losses employment within the sector has risen over the same period</w:t>
      </w:r>
      <w:r>
        <w:rPr>
          <w:rFonts w:cs="Arial"/>
        </w:rPr>
        <w:t xml:space="preserve"> which indicates overall confidence in the sector</w:t>
      </w:r>
      <w:r w:rsidR="008910AF">
        <w:rPr>
          <w:rFonts w:cs="Arial"/>
        </w:rPr>
        <w:t xml:space="preserve">. </w:t>
      </w:r>
    </w:p>
    <w:p w14:paraId="18B2DB10" w14:textId="77777777" w:rsidR="00465912" w:rsidRDefault="00465912" w:rsidP="00C93734">
      <w:pPr>
        <w:spacing w:after="0"/>
        <w:jc w:val="both"/>
        <w:rPr>
          <w:rFonts w:cs="Arial"/>
        </w:rPr>
      </w:pPr>
    </w:p>
    <w:p w14:paraId="208AC2E4" w14:textId="77777777" w:rsidR="002F6C3A" w:rsidRDefault="002F6C3A" w:rsidP="00C93734">
      <w:pPr>
        <w:spacing w:after="200" w:line="276" w:lineRule="auto"/>
        <w:jc w:val="both"/>
        <w:rPr>
          <w:b/>
          <w:bCs/>
          <w:noProof/>
          <w:szCs w:val="18"/>
          <w:lang w:eastAsia="en-GB"/>
        </w:rPr>
      </w:pPr>
      <w:bookmarkStart w:id="569" w:name="_Toc383159668"/>
      <w:r>
        <w:rPr>
          <w:noProof/>
          <w:lang w:eastAsia="en-GB"/>
        </w:rPr>
        <w:br w:type="page"/>
      </w:r>
    </w:p>
    <w:p w14:paraId="066362A6" w14:textId="77777777" w:rsidR="004A7709" w:rsidRDefault="005D590A" w:rsidP="00C93734">
      <w:pPr>
        <w:pStyle w:val="Caption"/>
        <w:jc w:val="both"/>
        <w:rPr>
          <w:noProof/>
          <w:lang w:eastAsia="en-GB"/>
        </w:rPr>
      </w:pPr>
      <w:r>
        <w:rPr>
          <w:noProof/>
          <w:lang w:eastAsia="en-GB"/>
        </w:rPr>
        <w:t xml:space="preserve">Figure </w:t>
      </w:r>
      <w:fldSimple w:instr=" STYLEREF 1 \s  \* MERGEFORMAT ">
        <w:r w:rsidR="00E95E1A">
          <w:rPr>
            <w:noProof/>
            <w:lang w:eastAsia="en-GB"/>
          </w:rPr>
          <w:t>4</w:t>
        </w:r>
      </w:fldSimple>
      <w:r>
        <w:rPr>
          <w:noProof/>
          <w:lang w:eastAsia="en-GB"/>
        </w:rPr>
        <w:t>-</w:t>
      </w:r>
      <w:fldSimple w:instr=" SEQ Figure \* ARABIC \s 1  \* MERGEFORMAT ">
        <w:r w:rsidR="00E95E1A">
          <w:rPr>
            <w:noProof/>
            <w:lang w:eastAsia="en-GB"/>
          </w:rPr>
          <w:t>1</w:t>
        </w:r>
      </w:fldSimple>
      <w:r>
        <w:rPr>
          <w:noProof/>
          <w:lang w:eastAsia="en-GB"/>
        </w:rPr>
        <w:tab/>
        <w:t>Port &amp; Logi</w:t>
      </w:r>
      <w:r w:rsidR="008910AF">
        <w:rPr>
          <w:noProof/>
          <w:lang w:eastAsia="en-GB"/>
        </w:rPr>
        <w:t>stics</w:t>
      </w:r>
      <w:r>
        <w:rPr>
          <w:noProof/>
          <w:lang w:eastAsia="en-GB"/>
        </w:rPr>
        <w:t xml:space="preserve"> Firm Trends (2009-2013)</w:t>
      </w:r>
      <w:bookmarkEnd w:id="569"/>
    </w:p>
    <w:p w14:paraId="2DCC282A" w14:textId="77777777" w:rsidR="00BB02D8" w:rsidRPr="00BB02D8" w:rsidRDefault="00BA1CE7" w:rsidP="00C93734">
      <w:pPr>
        <w:jc w:val="both"/>
        <w:rPr>
          <w:lang w:eastAsia="en-GB"/>
        </w:rPr>
      </w:pPr>
      <w:r>
        <w:rPr>
          <w:noProof/>
          <w:lang w:eastAsia="en-GB"/>
        </w:rPr>
        <w:drawing>
          <wp:inline distT="0" distB="0" distL="0" distR="0" wp14:anchorId="74828A28" wp14:editId="4EFB1139">
            <wp:extent cx="5879805" cy="2923954"/>
            <wp:effectExtent l="0" t="0" r="0" b="0"/>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C2D8D08" w14:textId="77777777" w:rsidR="00E5137A" w:rsidRDefault="00E5137A" w:rsidP="00C93734">
      <w:pPr>
        <w:spacing w:after="0"/>
        <w:jc w:val="both"/>
        <w:rPr>
          <w:rFonts w:cs="Arial"/>
        </w:rPr>
      </w:pPr>
      <w:r>
        <w:rPr>
          <w:rFonts w:cs="Arial"/>
        </w:rPr>
        <w:t>Source: IDBR 2013</w:t>
      </w:r>
    </w:p>
    <w:p w14:paraId="4A88211B" w14:textId="77777777" w:rsidR="00E5137A" w:rsidRDefault="00E5137A" w:rsidP="00C93734">
      <w:pPr>
        <w:spacing w:after="0"/>
        <w:jc w:val="both"/>
        <w:rPr>
          <w:rFonts w:cs="Arial"/>
        </w:rPr>
      </w:pPr>
    </w:p>
    <w:p w14:paraId="636AE14C" w14:textId="77777777" w:rsidR="00816638" w:rsidRDefault="00FA78EA" w:rsidP="00C93734">
      <w:pPr>
        <w:spacing w:after="0"/>
        <w:jc w:val="both"/>
        <w:rPr>
          <w:rFonts w:cs="Arial"/>
        </w:rPr>
      </w:pPr>
      <w:r>
        <w:rPr>
          <w:rFonts w:cs="Arial"/>
        </w:rPr>
        <w:t>Despite a decline in firm numbers</w:t>
      </w:r>
      <w:r w:rsidR="00740FC0">
        <w:rPr>
          <w:rFonts w:cs="Arial"/>
        </w:rPr>
        <w:t xml:space="preserve">, employment change has </w:t>
      </w:r>
      <w:r w:rsidR="00514C2F">
        <w:rPr>
          <w:rFonts w:cs="Arial"/>
        </w:rPr>
        <w:t>exhibited</w:t>
      </w:r>
      <w:r w:rsidR="00740FC0">
        <w:rPr>
          <w:rFonts w:cs="Arial"/>
        </w:rPr>
        <w:t xml:space="preserve"> </w:t>
      </w:r>
      <w:r>
        <w:rPr>
          <w:rFonts w:cs="Arial"/>
        </w:rPr>
        <w:t xml:space="preserve">a decline between 2009 and 2010, little change between 2010 and 2012 and a rise of approximately 250 between 2012 </w:t>
      </w:r>
      <w:r w:rsidR="005C4043">
        <w:rPr>
          <w:rFonts w:cs="Arial"/>
        </w:rPr>
        <w:t xml:space="preserve">and </w:t>
      </w:r>
      <w:r>
        <w:rPr>
          <w:rFonts w:cs="Arial"/>
        </w:rPr>
        <w:t>2013.</w:t>
      </w:r>
      <w:r w:rsidR="00F25094">
        <w:rPr>
          <w:rFonts w:cs="Arial"/>
        </w:rPr>
        <w:t xml:space="preserve"> The small changes experienced in employment and firm numbers suggests that the sector has been resilient</w:t>
      </w:r>
      <w:r w:rsidR="00740FC0">
        <w:rPr>
          <w:rFonts w:cs="Arial"/>
        </w:rPr>
        <w:t xml:space="preserve"> to the recession</w:t>
      </w:r>
      <w:r w:rsidR="00F25094">
        <w:rPr>
          <w:rFonts w:cs="Arial"/>
        </w:rPr>
        <w:t xml:space="preserve"> over the past 3-4 years. Recent improvements in employment</w:t>
      </w:r>
      <w:r w:rsidR="00740FC0">
        <w:rPr>
          <w:rFonts w:cs="Arial"/>
        </w:rPr>
        <w:t xml:space="preserve"> trends</w:t>
      </w:r>
      <w:r w:rsidR="00F25094">
        <w:rPr>
          <w:rFonts w:cs="Arial"/>
        </w:rPr>
        <w:t xml:space="preserve"> suggest that </w:t>
      </w:r>
      <w:r w:rsidR="008910AF">
        <w:rPr>
          <w:rFonts w:cs="Arial"/>
        </w:rPr>
        <w:t xml:space="preserve">economic recovery is being realised and </w:t>
      </w:r>
      <w:r w:rsidR="00CA56EB">
        <w:rPr>
          <w:rFonts w:cs="Arial"/>
        </w:rPr>
        <w:t>the sector</w:t>
      </w:r>
      <w:r w:rsidR="00740FC0">
        <w:rPr>
          <w:rFonts w:cs="Arial"/>
        </w:rPr>
        <w:t xml:space="preserve"> is well placed for further growth over forthcoming years.  As already highlighted, t</w:t>
      </w:r>
      <w:r w:rsidR="00F25094">
        <w:rPr>
          <w:rFonts w:cs="Arial"/>
        </w:rPr>
        <w:t>his</w:t>
      </w:r>
      <w:r w:rsidR="00514C2F">
        <w:rPr>
          <w:rFonts w:cs="Arial"/>
        </w:rPr>
        <w:t xml:space="preserve"> conclusion</w:t>
      </w:r>
      <w:r w:rsidR="00F25094">
        <w:rPr>
          <w:rFonts w:cs="Arial"/>
        </w:rPr>
        <w:t xml:space="preserve"> was supported by consultation with</w:t>
      </w:r>
      <w:r w:rsidR="00740FC0">
        <w:rPr>
          <w:rFonts w:cs="Arial"/>
        </w:rPr>
        <w:t xml:space="preserve"> local businesses</w:t>
      </w:r>
      <w:r w:rsidR="00F25094">
        <w:rPr>
          <w:rFonts w:cs="Arial"/>
        </w:rPr>
        <w:t>.</w:t>
      </w:r>
    </w:p>
    <w:p w14:paraId="16520E4F" w14:textId="77777777" w:rsidR="00740FC0" w:rsidRDefault="00740FC0" w:rsidP="00C93734">
      <w:pPr>
        <w:spacing w:after="0"/>
        <w:jc w:val="both"/>
        <w:rPr>
          <w:rFonts w:cs="Arial"/>
        </w:rPr>
      </w:pPr>
    </w:p>
    <w:p w14:paraId="64FB9D2D" w14:textId="77777777" w:rsidR="00807B36" w:rsidRDefault="005D590A" w:rsidP="009A6B41">
      <w:pPr>
        <w:pStyle w:val="Caption"/>
      </w:pPr>
      <w:bookmarkStart w:id="570" w:name="_Toc383159669"/>
      <w:r>
        <w:rPr>
          <w:noProof/>
          <w:lang w:eastAsia="en-GB"/>
        </w:rPr>
        <w:t xml:space="preserve">Figure </w:t>
      </w:r>
      <w:fldSimple w:instr=" STYLEREF 1 \s  \* MERGEFORMAT ">
        <w:r w:rsidR="00E95E1A">
          <w:rPr>
            <w:noProof/>
            <w:lang w:eastAsia="en-GB"/>
          </w:rPr>
          <w:t>4</w:t>
        </w:r>
      </w:fldSimple>
      <w:r>
        <w:rPr>
          <w:noProof/>
          <w:lang w:eastAsia="en-GB"/>
        </w:rPr>
        <w:t>-</w:t>
      </w:r>
      <w:fldSimple w:instr=" SEQ Figure \* ARABIC \s 1  \* MERGEFORMAT ">
        <w:r w:rsidR="00E95E1A">
          <w:rPr>
            <w:noProof/>
            <w:lang w:eastAsia="en-GB"/>
          </w:rPr>
          <w:t>2</w:t>
        </w:r>
      </w:fldSimple>
      <w:r>
        <w:rPr>
          <w:noProof/>
          <w:lang w:eastAsia="en-GB"/>
        </w:rPr>
        <w:tab/>
        <w:t>Port &amp; Logi</w:t>
      </w:r>
      <w:r w:rsidR="00514C2F">
        <w:rPr>
          <w:noProof/>
          <w:lang w:eastAsia="en-GB"/>
        </w:rPr>
        <w:t>sti</w:t>
      </w:r>
      <w:r>
        <w:rPr>
          <w:noProof/>
          <w:lang w:eastAsia="en-GB"/>
        </w:rPr>
        <w:t>cs Employment Trends (2009 - 2013)</w:t>
      </w:r>
      <w:r w:rsidR="00BA1CE7">
        <w:rPr>
          <w:noProof/>
          <w:lang w:eastAsia="en-GB"/>
        </w:rPr>
        <w:drawing>
          <wp:inline distT="0" distB="0" distL="0" distR="0" wp14:anchorId="10D098BE" wp14:editId="2D806D1E">
            <wp:extent cx="6020243" cy="3391786"/>
            <wp:effectExtent l="0" t="0" r="0" b="0"/>
            <wp:docPr id="2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bookmarkEnd w:id="570"/>
    </w:p>
    <w:p w14:paraId="23C9B532" w14:textId="77777777" w:rsidR="00E5137A" w:rsidRPr="00807B36" w:rsidRDefault="00E5137A" w:rsidP="009405CE">
      <w:pPr>
        <w:pStyle w:val="TableSource"/>
      </w:pPr>
      <w:r>
        <w:t>Source: IDBR 2013</w:t>
      </w:r>
    </w:p>
    <w:p w14:paraId="0C38FD95" w14:textId="77777777" w:rsidR="00B877A8" w:rsidRPr="004A7709" w:rsidRDefault="00B877A8" w:rsidP="00C93734">
      <w:pPr>
        <w:pStyle w:val="Heading3"/>
        <w:jc w:val="both"/>
      </w:pPr>
      <w:r w:rsidRPr="004A7709">
        <w:t xml:space="preserve">Competition </w:t>
      </w:r>
    </w:p>
    <w:p w14:paraId="0164FC5F" w14:textId="77777777" w:rsidR="00015AA7" w:rsidRDefault="00C80ECC" w:rsidP="00C93734">
      <w:pPr>
        <w:spacing w:after="0"/>
        <w:jc w:val="both"/>
        <w:rPr>
          <w:rFonts w:cs="Arial"/>
        </w:rPr>
      </w:pPr>
      <w:r>
        <w:rPr>
          <w:rFonts w:cs="Arial"/>
        </w:rPr>
        <w:t xml:space="preserve">Competition in the port and logistics sector across Europe is </w:t>
      </w:r>
      <w:r w:rsidR="00694035">
        <w:rPr>
          <w:rFonts w:cs="Arial"/>
        </w:rPr>
        <w:t>strong</w:t>
      </w:r>
      <w:r w:rsidR="00015AA7">
        <w:rPr>
          <w:rStyle w:val="FootnoteReference"/>
          <w:rFonts w:cs="Arial"/>
        </w:rPr>
        <w:footnoteReference w:id="10"/>
      </w:r>
      <w:r>
        <w:rPr>
          <w:rFonts w:cs="Arial"/>
        </w:rPr>
        <w:t xml:space="preserve">. The OECD </w:t>
      </w:r>
      <w:r w:rsidR="00A9606B">
        <w:rPr>
          <w:rFonts w:cs="Arial"/>
        </w:rPr>
        <w:t>indicates that</w:t>
      </w:r>
      <w:r>
        <w:rPr>
          <w:rFonts w:cs="Arial"/>
        </w:rPr>
        <w:t xml:space="preserve"> port competition </w:t>
      </w:r>
      <w:r w:rsidRPr="00C80ECC">
        <w:rPr>
          <w:rFonts w:cs="Arial"/>
        </w:rPr>
        <w:t xml:space="preserve">plays an important role in </w:t>
      </w:r>
      <w:r w:rsidR="00A9606B">
        <w:rPr>
          <w:rFonts w:cs="Arial"/>
        </w:rPr>
        <w:t xml:space="preserve">determining </w:t>
      </w:r>
      <w:r w:rsidRPr="00C80ECC">
        <w:rPr>
          <w:rFonts w:cs="Arial"/>
        </w:rPr>
        <w:t xml:space="preserve">the </w:t>
      </w:r>
      <w:r>
        <w:rPr>
          <w:rFonts w:cs="Arial"/>
        </w:rPr>
        <w:t>final prices of many products</w:t>
      </w:r>
      <w:r w:rsidR="00015AA7">
        <w:rPr>
          <w:rStyle w:val="FootnoteReference"/>
          <w:rFonts w:cs="Arial"/>
        </w:rPr>
        <w:footnoteReference w:id="11"/>
      </w:r>
      <w:r>
        <w:rPr>
          <w:rFonts w:cs="Arial"/>
        </w:rPr>
        <w:t xml:space="preserve">. </w:t>
      </w:r>
      <w:r w:rsidR="00C9583F" w:rsidRPr="00C9583F">
        <w:rPr>
          <w:rFonts w:cs="Arial"/>
        </w:rPr>
        <w:t xml:space="preserve">There are </w:t>
      </w:r>
      <w:r w:rsidR="00015AA7">
        <w:rPr>
          <w:rFonts w:cs="Arial"/>
        </w:rPr>
        <w:t xml:space="preserve">120 commercially active </w:t>
      </w:r>
      <w:r w:rsidR="005D590A">
        <w:rPr>
          <w:rFonts w:cs="Arial"/>
        </w:rPr>
        <w:t>ports in the UK</w:t>
      </w:r>
      <w:r w:rsidR="00514C2F">
        <w:rPr>
          <w:rFonts w:cs="Arial"/>
        </w:rPr>
        <w:t>, of which</w:t>
      </w:r>
      <w:r w:rsidR="00015AA7">
        <w:rPr>
          <w:rFonts w:cs="Arial"/>
        </w:rPr>
        <w:t xml:space="preserve"> 52 are </w:t>
      </w:r>
      <w:r w:rsidR="00514C2F">
        <w:rPr>
          <w:rFonts w:cs="Arial"/>
        </w:rPr>
        <w:t xml:space="preserve">categorised as </w:t>
      </w:r>
      <w:r w:rsidR="00015AA7">
        <w:rPr>
          <w:rFonts w:cs="Arial"/>
        </w:rPr>
        <w:t>major ports (</w:t>
      </w:r>
      <w:r w:rsidR="00C9583F" w:rsidRPr="00C9583F">
        <w:rPr>
          <w:rFonts w:cs="Arial"/>
        </w:rPr>
        <w:t xml:space="preserve">ports </w:t>
      </w:r>
      <w:r w:rsidR="00015AA7">
        <w:rPr>
          <w:rFonts w:cs="Arial"/>
        </w:rPr>
        <w:t>that handle</w:t>
      </w:r>
      <w:r w:rsidR="00C9583F" w:rsidRPr="00C9583F">
        <w:rPr>
          <w:rFonts w:cs="Arial"/>
        </w:rPr>
        <w:t xml:space="preserve"> at least 1 million tonnes of cargo</w:t>
      </w:r>
      <w:r w:rsidR="00015AA7">
        <w:rPr>
          <w:rFonts w:cs="Arial"/>
        </w:rPr>
        <w:t>).</w:t>
      </w:r>
    </w:p>
    <w:p w14:paraId="1A3287AE" w14:textId="77777777" w:rsidR="00015AA7" w:rsidRDefault="00015AA7" w:rsidP="00C93734">
      <w:pPr>
        <w:spacing w:after="0"/>
        <w:jc w:val="both"/>
        <w:rPr>
          <w:rFonts w:cs="Arial"/>
        </w:rPr>
      </w:pPr>
    </w:p>
    <w:p w14:paraId="1F8BD669" w14:textId="77777777" w:rsidR="00C9583F" w:rsidRDefault="00015AA7" w:rsidP="00C93734">
      <w:pPr>
        <w:spacing w:after="0"/>
        <w:jc w:val="both"/>
        <w:rPr>
          <w:rFonts w:cs="Arial"/>
        </w:rPr>
      </w:pPr>
      <w:r>
        <w:rPr>
          <w:rFonts w:cs="Arial"/>
        </w:rPr>
        <w:t xml:space="preserve">Although the Humber is </w:t>
      </w:r>
      <w:r w:rsidR="008469CF">
        <w:rPr>
          <w:rFonts w:cs="Arial"/>
        </w:rPr>
        <w:t xml:space="preserve">viewed </w:t>
      </w:r>
      <w:r>
        <w:rPr>
          <w:rFonts w:cs="Arial"/>
        </w:rPr>
        <w:t xml:space="preserve">as a </w:t>
      </w:r>
      <w:r w:rsidRPr="00015AA7">
        <w:rPr>
          <w:rFonts w:cs="Arial"/>
        </w:rPr>
        <w:t>distinct geographic market</w:t>
      </w:r>
      <w:r w:rsidR="006E5314">
        <w:rPr>
          <w:rFonts w:cs="Arial"/>
        </w:rPr>
        <w:t xml:space="preserve">, </w:t>
      </w:r>
      <w:r w:rsidR="00A9606B">
        <w:rPr>
          <w:rFonts w:cs="Arial"/>
        </w:rPr>
        <w:t>all ports</w:t>
      </w:r>
      <w:r w:rsidR="006E5314">
        <w:rPr>
          <w:rFonts w:cs="Arial"/>
        </w:rPr>
        <w:t xml:space="preserve"> need to constantly develop their </w:t>
      </w:r>
      <w:r w:rsidR="00E11132">
        <w:rPr>
          <w:rFonts w:cs="Arial"/>
        </w:rPr>
        <w:t xml:space="preserve">offer to ensure </w:t>
      </w:r>
      <w:r w:rsidR="00A9606B">
        <w:rPr>
          <w:rFonts w:cs="Arial"/>
        </w:rPr>
        <w:t>they remain competitive</w:t>
      </w:r>
      <w:r w:rsidR="00E11132">
        <w:rPr>
          <w:rFonts w:cs="Arial"/>
        </w:rPr>
        <w:t xml:space="preserve">. </w:t>
      </w:r>
      <w:r w:rsidR="00DF16F5">
        <w:rPr>
          <w:rFonts w:cs="Arial"/>
        </w:rPr>
        <w:t xml:space="preserve"> Although by far the largest handler of many products, Grimsby and Immingham’s main competition is Dover for </w:t>
      </w:r>
      <w:r w:rsidR="00577236">
        <w:rPr>
          <w:rFonts w:cs="Arial"/>
        </w:rPr>
        <w:t>ro-ro freight</w:t>
      </w:r>
      <w:r w:rsidR="008747B6">
        <w:rPr>
          <w:rFonts w:cs="Arial"/>
        </w:rPr>
        <w:t>,</w:t>
      </w:r>
      <w:r w:rsidR="00DF16F5">
        <w:rPr>
          <w:rFonts w:cs="Arial"/>
        </w:rPr>
        <w:t xml:space="preserve"> with facilities at the Port of London, London Thamesport and Peel Ports also providing some competition and the potential for</w:t>
      </w:r>
      <w:r w:rsidR="00A9606B">
        <w:rPr>
          <w:rFonts w:cs="Arial"/>
        </w:rPr>
        <w:t xml:space="preserve"> more advantageous</w:t>
      </w:r>
      <w:r w:rsidR="00DF16F5">
        <w:rPr>
          <w:rFonts w:cs="Arial"/>
        </w:rPr>
        <w:t xml:space="preserve"> proximity to market</w:t>
      </w:r>
      <w:r w:rsidR="00514C2F">
        <w:rPr>
          <w:rFonts w:cs="Arial"/>
        </w:rPr>
        <w:t>s.</w:t>
      </w:r>
      <w:r w:rsidR="00C9583F" w:rsidRPr="00C9583F">
        <w:rPr>
          <w:rFonts w:cs="Arial"/>
        </w:rPr>
        <w:t xml:space="preserve"> </w:t>
      </w:r>
      <w:r w:rsidR="00DF16F5">
        <w:rPr>
          <w:rFonts w:cs="Arial"/>
        </w:rPr>
        <w:t xml:space="preserve">Grimsby and Immingham also face competition for liquid bulk from Forth </w:t>
      </w:r>
      <w:r w:rsidR="008747B6">
        <w:rPr>
          <w:rFonts w:cs="Arial"/>
        </w:rPr>
        <w:t>ports</w:t>
      </w:r>
      <w:r w:rsidR="00694035">
        <w:rPr>
          <w:rFonts w:cs="Arial"/>
        </w:rPr>
        <w:t>, Teesport</w:t>
      </w:r>
      <w:r w:rsidR="00DF16F5">
        <w:rPr>
          <w:rFonts w:cs="Arial"/>
        </w:rPr>
        <w:t xml:space="preserve"> and Milford Haven. </w:t>
      </w:r>
    </w:p>
    <w:p w14:paraId="52AD41F6" w14:textId="77777777" w:rsidR="00DF16F5" w:rsidRDefault="00DF16F5" w:rsidP="00C93734">
      <w:pPr>
        <w:spacing w:after="0"/>
        <w:jc w:val="both"/>
        <w:rPr>
          <w:rFonts w:cs="Arial"/>
        </w:rPr>
      </w:pPr>
    </w:p>
    <w:p w14:paraId="5BC86B52" w14:textId="77777777" w:rsidR="00C9583F" w:rsidRDefault="00DF16F5" w:rsidP="00C93734">
      <w:pPr>
        <w:spacing w:after="0"/>
        <w:jc w:val="both"/>
        <w:rPr>
          <w:rFonts w:cs="Arial"/>
        </w:rPr>
      </w:pPr>
      <w:r>
        <w:rPr>
          <w:rFonts w:cs="Arial"/>
        </w:rPr>
        <w:t>Developments at port</w:t>
      </w:r>
      <w:r w:rsidR="003F1653">
        <w:rPr>
          <w:rFonts w:cs="Arial"/>
        </w:rPr>
        <w:t xml:space="preserve">s such as </w:t>
      </w:r>
      <w:r>
        <w:rPr>
          <w:rFonts w:cs="Arial"/>
        </w:rPr>
        <w:t xml:space="preserve">Liverpool’s </w:t>
      </w:r>
      <w:r w:rsidRPr="00DF16F5">
        <w:rPr>
          <w:rFonts w:cs="Arial"/>
        </w:rPr>
        <w:t xml:space="preserve">£350 million deep water container terminal and </w:t>
      </w:r>
      <w:r>
        <w:rPr>
          <w:rFonts w:cs="Arial"/>
        </w:rPr>
        <w:t xml:space="preserve">the </w:t>
      </w:r>
      <w:r w:rsidRPr="00DF16F5">
        <w:rPr>
          <w:rFonts w:cs="Arial"/>
        </w:rPr>
        <w:t>proposed Liverpool 2 development will provide new competition for Grimsby and Immingham as logistics firms seek to reduce costs.</w:t>
      </w:r>
      <w:r w:rsidR="00285976">
        <w:rPr>
          <w:rFonts w:cs="Arial"/>
        </w:rPr>
        <w:t xml:space="preserve"> Competition also exists from other ports such as Hartlepool, Teesport, Port of Tyne, Ellesmere and Southampton. F</w:t>
      </w:r>
      <w:r w:rsidR="00C9583F" w:rsidRPr="00C9583F">
        <w:rPr>
          <w:rFonts w:cs="Arial"/>
        </w:rPr>
        <w:t>orecasts prepared for the</w:t>
      </w:r>
      <w:r w:rsidR="003F1653">
        <w:rPr>
          <w:rFonts w:cs="Arial"/>
        </w:rPr>
        <w:t xml:space="preserve"> Department for Transport</w:t>
      </w:r>
      <w:r w:rsidR="00C9583F" w:rsidRPr="00C9583F">
        <w:rPr>
          <w:rFonts w:cs="Arial"/>
        </w:rPr>
        <w:t xml:space="preserve"> suggest that demand for port services is likely to grow by an average of </w:t>
      </w:r>
      <w:r w:rsidR="003F1653">
        <w:rPr>
          <w:rFonts w:cs="Arial"/>
        </w:rPr>
        <w:t>1%</w:t>
      </w:r>
      <w:r w:rsidR="00C9583F" w:rsidRPr="00C9583F">
        <w:rPr>
          <w:rFonts w:cs="Arial"/>
        </w:rPr>
        <w:t xml:space="preserve"> per year until 2030</w:t>
      </w:r>
      <w:r w:rsidR="00285976">
        <w:rPr>
          <w:rFonts w:cs="Arial"/>
        </w:rPr>
        <w:t xml:space="preserve">. Remaining competitive is </w:t>
      </w:r>
      <w:r w:rsidR="008747B6">
        <w:rPr>
          <w:rFonts w:cs="Arial"/>
        </w:rPr>
        <w:t xml:space="preserve">therefore </w:t>
      </w:r>
      <w:r w:rsidR="00285976">
        <w:rPr>
          <w:rFonts w:cs="Arial"/>
        </w:rPr>
        <w:t>especially important given that activity is forecast to increase. This has been seen in some of the developments by ABP at Grimsby and Immingham, including:</w:t>
      </w:r>
    </w:p>
    <w:p w14:paraId="32CA0EFE" w14:textId="77777777" w:rsidR="00514C2F" w:rsidRDefault="00514C2F" w:rsidP="00C93734">
      <w:pPr>
        <w:spacing w:after="0"/>
        <w:jc w:val="both"/>
        <w:rPr>
          <w:rFonts w:cs="Arial"/>
        </w:rPr>
      </w:pPr>
    </w:p>
    <w:p w14:paraId="0CADF6D3" w14:textId="77777777" w:rsidR="00285976" w:rsidRPr="00285976" w:rsidRDefault="00285976" w:rsidP="00C93734">
      <w:pPr>
        <w:pStyle w:val="ListParagraph"/>
        <w:numPr>
          <w:ilvl w:val="0"/>
          <w:numId w:val="20"/>
        </w:numPr>
        <w:spacing w:after="0"/>
        <w:jc w:val="both"/>
      </w:pPr>
      <w:r w:rsidRPr="00285976">
        <w:rPr>
          <w:rFonts w:cs="Arial"/>
        </w:rPr>
        <w:t xml:space="preserve">New £25 million investment to develop a two-berth </w:t>
      </w:r>
      <w:r w:rsidR="00E5672C">
        <w:rPr>
          <w:rFonts w:cs="Arial"/>
        </w:rPr>
        <w:t>r</w:t>
      </w:r>
      <w:r w:rsidR="005F3B05">
        <w:rPr>
          <w:rFonts w:cs="Arial"/>
        </w:rPr>
        <w:t>iver terminal</w:t>
      </w:r>
      <w:r w:rsidRPr="00285976">
        <w:rPr>
          <w:rFonts w:cs="Arial"/>
        </w:rPr>
        <w:t xml:space="preserve"> capable of handling vessels carrying up to 3,000 vehicles</w:t>
      </w:r>
      <w:r w:rsidR="003F1653">
        <w:rPr>
          <w:rFonts w:cs="Arial"/>
        </w:rPr>
        <w:t>.</w:t>
      </w:r>
      <w:r w:rsidRPr="00285976">
        <w:t> </w:t>
      </w:r>
    </w:p>
    <w:p w14:paraId="08E2BA3F" w14:textId="77777777" w:rsidR="00285976" w:rsidRPr="008910AF" w:rsidRDefault="00285976" w:rsidP="00C93734">
      <w:pPr>
        <w:pStyle w:val="ListParagraph"/>
        <w:numPr>
          <w:ilvl w:val="0"/>
          <w:numId w:val="20"/>
        </w:numPr>
        <w:spacing w:after="0"/>
        <w:jc w:val="both"/>
        <w:rPr>
          <w:rFonts w:cs="Arial"/>
        </w:rPr>
      </w:pPr>
      <w:r w:rsidRPr="00285976">
        <w:t xml:space="preserve">State of the </w:t>
      </w:r>
      <w:r w:rsidR="008910AF">
        <w:t>a</w:t>
      </w:r>
      <w:r w:rsidRPr="00285976">
        <w:t>rt Humber Internation</w:t>
      </w:r>
      <w:r>
        <w:t>al</w:t>
      </w:r>
      <w:r w:rsidRPr="00285976">
        <w:t xml:space="preserve"> Terminals (1 &amp; 2)</w:t>
      </w:r>
      <w:r w:rsidR="003F1653">
        <w:t>.</w:t>
      </w:r>
    </w:p>
    <w:p w14:paraId="7D0FC233" w14:textId="77777777" w:rsidR="008910AF" w:rsidRPr="008910AF" w:rsidRDefault="008910AF" w:rsidP="00C93734">
      <w:pPr>
        <w:pStyle w:val="ListParagraph"/>
        <w:numPr>
          <w:ilvl w:val="0"/>
          <w:numId w:val="20"/>
        </w:numPr>
        <w:spacing w:after="0"/>
        <w:jc w:val="both"/>
        <w:rPr>
          <w:rFonts w:cs="Arial"/>
        </w:rPr>
      </w:pPr>
      <w:r>
        <w:t>Dock gate improvements at Port of Grimsby</w:t>
      </w:r>
    </w:p>
    <w:p w14:paraId="609A0B06" w14:textId="77777777" w:rsidR="008910AF" w:rsidRPr="0023780E" w:rsidRDefault="008910AF" w:rsidP="00C93734">
      <w:pPr>
        <w:pStyle w:val="ListParagraph"/>
        <w:numPr>
          <w:ilvl w:val="0"/>
          <w:numId w:val="20"/>
        </w:numPr>
        <w:spacing w:after="0"/>
        <w:jc w:val="both"/>
        <w:rPr>
          <w:rFonts w:cs="Arial"/>
        </w:rPr>
      </w:pPr>
      <w:r>
        <w:t xml:space="preserve">Deepwater </w:t>
      </w:r>
      <w:r w:rsidR="008747B6">
        <w:t>channel</w:t>
      </w:r>
    </w:p>
    <w:p w14:paraId="10A5BF9F" w14:textId="77777777" w:rsidR="0023780E" w:rsidRPr="008910AF" w:rsidRDefault="0023780E" w:rsidP="00C93734">
      <w:pPr>
        <w:pStyle w:val="ListParagraph"/>
        <w:numPr>
          <w:ilvl w:val="0"/>
          <w:numId w:val="20"/>
        </w:numPr>
        <w:spacing w:after="0"/>
        <w:jc w:val="both"/>
        <w:rPr>
          <w:rFonts w:cs="Arial"/>
        </w:rPr>
      </w:pPr>
      <w:r>
        <w:t xml:space="preserve">Further planned development of ABP Business Park at Immingham </w:t>
      </w:r>
      <w:r w:rsidR="00937E57">
        <w:t>including £75m on new bulk silos.</w:t>
      </w:r>
    </w:p>
    <w:p w14:paraId="41B4F374" w14:textId="77777777" w:rsidR="008A1E35" w:rsidRDefault="008A1E35" w:rsidP="00C93734">
      <w:pPr>
        <w:spacing w:after="0"/>
        <w:jc w:val="both"/>
        <w:rPr>
          <w:rFonts w:cs="Arial"/>
        </w:rPr>
      </w:pPr>
    </w:p>
    <w:p w14:paraId="55EC87ED" w14:textId="77777777" w:rsidR="00285976" w:rsidRDefault="008747B6" w:rsidP="00C93734">
      <w:pPr>
        <w:spacing w:after="0"/>
        <w:jc w:val="both"/>
        <w:rPr>
          <w:rFonts w:cs="Arial"/>
        </w:rPr>
      </w:pPr>
      <w:r>
        <w:rPr>
          <w:rFonts w:cs="Arial"/>
        </w:rPr>
        <w:t>NEL</w:t>
      </w:r>
      <w:r w:rsidR="00C80ECC">
        <w:rPr>
          <w:rFonts w:cs="Arial"/>
        </w:rPr>
        <w:t xml:space="preserve"> </w:t>
      </w:r>
      <w:r w:rsidR="00803BA4">
        <w:rPr>
          <w:rFonts w:cs="Arial"/>
        </w:rPr>
        <w:t xml:space="preserve">is strongly positioned to remain one of the leading port and </w:t>
      </w:r>
      <w:r w:rsidR="00C80ECC">
        <w:rPr>
          <w:rFonts w:cs="Arial"/>
        </w:rPr>
        <w:t>logistics</w:t>
      </w:r>
      <w:r w:rsidR="00803BA4">
        <w:rPr>
          <w:rFonts w:cs="Arial"/>
        </w:rPr>
        <w:t xml:space="preserve"> </w:t>
      </w:r>
      <w:r w:rsidR="003F1653">
        <w:rPr>
          <w:rFonts w:cs="Arial"/>
        </w:rPr>
        <w:t>clusters</w:t>
      </w:r>
      <w:r w:rsidR="00803BA4">
        <w:rPr>
          <w:rFonts w:cs="Arial"/>
        </w:rPr>
        <w:t xml:space="preserve"> in the country. </w:t>
      </w:r>
      <w:r w:rsidR="00285976">
        <w:rPr>
          <w:rFonts w:cs="Arial"/>
        </w:rPr>
        <w:t>However, concerns were raised</w:t>
      </w:r>
      <w:r w:rsidR="00514C2F">
        <w:rPr>
          <w:rFonts w:cs="Arial"/>
        </w:rPr>
        <w:t xml:space="preserve"> during consultation</w:t>
      </w:r>
      <w:r w:rsidR="00285976">
        <w:rPr>
          <w:rFonts w:cs="Arial"/>
        </w:rPr>
        <w:t xml:space="preserve"> </w:t>
      </w:r>
      <w:r w:rsidR="00514C2F">
        <w:rPr>
          <w:rFonts w:cs="Arial"/>
        </w:rPr>
        <w:t>regarding</w:t>
      </w:r>
      <w:r w:rsidR="00285976">
        <w:rPr>
          <w:rFonts w:cs="Arial"/>
        </w:rPr>
        <w:t>:</w:t>
      </w:r>
    </w:p>
    <w:p w14:paraId="6E276051" w14:textId="77777777" w:rsidR="00285976" w:rsidRDefault="00285976" w:rsidP="00C93734">
      <w:pPr>
        <w:spacing w:after="0"/>
        <w:jc w:val="both"/>
        <w:rPr>
          <w:rFonts w:cs="Arial"/>
        </w:rPr>
      </w:pPr>
    </w:p>
    <w:p w14:paraId="77A6FFBB" w14:textId="77777777" w:rsidR="004A7709" w:rsidRPr="00705714" w:rsidRDefault="00285976" w:rsidP="00C93734">
      <w:pPr>
        <w:pStyle w:val="ListParagraph"/>
        <w:numPr>
          <w:ilvl w:val="0"/>
          <w:numId w:val="23"/>
        </w:numPr>
        <w:spacing w:after="0"/>
        <w:jc w:val="both"/>
        <w:rPr>
          <w:rFonts w:cs="Arial"/>
        </w:rPr>
      </w:pPr>
      <w:r w:rsidRPr="00705714">
        <w:rPr>
          <w:rFonts w:cs="Arial"/>
        </w:rPr>
        <w:t xml:space="preserve">Vision for the </w:t>
      </w:r>
      <w:r w:rsidR="00C2655C" w:rsidRPr="00705714">
        <w:rPr>
          <w:rFonts w:cs="Arial"/>
        </w:rPr>
        <w:t xml:space="preserve">ports and </w:t>
      </w:r>
      <w:r w:rsidRPr="00705714">
        <w:rPr>
          <w:rFonts w:cs="Arial"/>
        </w:rPr>
        <w:t>local area</w:t>
      </w:r>
      <w:r w:rsidR="00C2655C" w:rsidRPr="00705714">
        <w:rPr>
          <w:rFonts w:cs="Arial"/>
        </w:rPr>
        <w:t xml:space="preserve"> – </w:t>
      </w:r>
      <w:r w:rsidR="001A6A55">
        <w:rPr>
          <w:rFonts w:cs="Arial"/>
        </w:rPr>
        <w:t xml:space="preserve">Some businesses expressed the view that </w:t>
      </w:r>
      <w:r w:rsidR="00C2655C" w:rsidRPr="00705714">
        <w:rPr>
          <w:rFonts w:cs="Arial"/>
        </w:rPr>
        <w:t xml:space="preserve">other areas are more inventive and </w:t>
      </w:r>
      <w:r w:rsidR="00705714" w:rsidRPr="00705714">
        <w:rPr>
          <w:rFonts w:cs="Arial"/>
        </w:rPr>
        <w:t>‘</w:t>
      </w:r>
      <w:r w:rsidR="00C2655C" w:rsidRPr="00705714">
        <w:rPr>
          <w:rFonts w:cs="Arial"/>
        </w:rPr>
        <w:t>aspirational</w:t>
      </w:r>
      <w:r w:rsidR="00705714" w:rsidRPr="00705714">
        <w:rPr>
          <w:rFonts w:cs="Arial"/>
        </w:rPr>
        <w:t>’</w:t>
      </w:r>
      <w:r w:rsidR="00C2655C" w:rsidRPr="00705714">
        <w:rPr>
          <w:rFonts w:cs="Arial"/>
        </w:rPr>
        <w:t xml:space="preserve"> in their plans for ports, new facilities and </w:t>
      </w:r>
      <w:r w:rsidR="001A6A55">
        <w:rPr>
          <w:rFonts w:cs="Arial"/>
        </w:rPr>
        <w:t>future</w:t>
      </w:r>
      <w:r w:rsidR="00C2655C" w:rsidRPr="00705714">
        <w:rPr>
          <w:rFonts w:cs="Arial"/>
        </w:rPr>
        <w:t xml:space="preserve"> investment. It was felt that although the ABLE </w:t>
      </w:r>
      <w:r w:rsidR="00705714" w:rsidRPr="00705714">
        <w:rPr>
          <w:rFonts w:cs="Arial"/>
        </w:rPr>
        <w:t>Marine</w:t>
      </w:r>
      <w:r w:rsidR="00C2655C" w:rsidRPr="00705714">
        <w:rPr>
          <w:rFonts w:cs="Arial"/>
        </w:rPr>
        <w:t xml:space="preserve"> Park </w:t>
      </w:r>
      <w:r w:rsidR="001A6A55">
        <w:rPr>
          <w:rFonts w:cs="Arial"/>
        </w:rPr>
        <w:t>represents</w:t>
      </w:r>
      <w:r w:rsidR="00C2655C" w:rsidRPr="00705714">
        <w:rPr>
          <w:rFonts w:cs="Arial"/>
        </w:rPr>
        <w:t xml:space="preserve"> </w:t>
      </w:r>
      <w:r w:rsidR="001A6A55">
        <w:rPr>
          <w:rFonts w:cs="Arial"/>
        </w:rPr>
        <w:t>a substantial opportunity</w:t>
      </w:r>
      <w:r w:rsidR="00C2655C" w:rsidRPr="00705714">
        <w:rPr>
          <w:rFonts w:cs="Arial"/>
        </w:rPr>
        <w:t xml:space="preserve">, </w:t>
      </w:r>
      <w:r w:rsidR="001A6A55">
        <w:rPr>
          <w:rFonts w:cs="Arial"/>
        </w:rPr>
        <w:t>continual investment is required</w:t>
      </w:r>
      <w:r w:rsidR="00705714" w:rsidRPr="00705714">
        <w:rPr>
          <w:rFonts w:cs="Arial"/>
        </w:rPr>
        <w:t xml:space="preserve"> so that other ports do not challenge Grimsby and Immingham’s </w:t>
      </w:r>
      <w:r w:rsidR="001A6A55">
        <w:rPr>
          <w:rFonts w:cs="Arial"/>
        </w:rPr>
        <w:t>strong</w:t>
      </w:r>
      <w:r w:rsidR="00705714" w:rsidRPr="00705714">
        <w:rPr>
          <w:rFonts w:cs="Arial"/>
        </w:rPr>
        <w:t xml:space="preserve"> position</w:t>
      </w:r>
      <w:r w:rsidR="001A6A55">
        <w:rPr>
          <w:rFonts w:cs="Arial"/>
        </w:rPr>
        <w:t xml:space="preserve"> in the UK’s port hierarchy</w:t>
      </w:r>
      <w:r w:rsidR="00705714" w:rsidRPr="00705714">
        <w:rPr>
          <w:rFonts w:cs="Arial"/>
        </w:rPr>
        <w:t>.</w:t>
      </w:r>
    </w:p>
    <w:p w14:paraId="5CAD8FF5" w14:textId="77777777" w:rsidR="00285976" w:rsidRDefault="00285976" w:rsidP="00C93734">
      <w:pPr>
        <w:spacing w:after="0"/>
        <w:jc w:val="both"/>
        <w:rPr>
          <w:rFonts w:cs="Arial"/>
        </w:rPr>
      </w:pPr>
    </w:p>
    <w:p w14:paraId="0978A0EB" w14:textId="77777777" w:rsidR="00285976" w:rsidRPr="00705714" w:rsidRDefault="00285976" w:rsidP="00C93734">
      <w:pPr>
        <w:pStyle w:val="ListParagraph"/>
        <w:numPr>
          <w:ilvl w:val="0"/>
          <w:numId w:val="23"/>
        </w:numPr>
        <w:spacing w:after="0"/>
        <w:jc w:val="both"/>
        <w:rPr>
          <w:rFonts w:cs="Arial"/>
        </w:rPr>
      </w:pPr>
      <w:r w:rsidRPr="00705714">
        <w:rPr>
          <w:rFonts w:cs="Arial"/>
        </w:rPr>
        <w:t>Capacity of land</w:t>
      </w:r>
      <w:r w:rsidR="008A1E35">
        <w:rPr>
          <w:rFonts w:cs="Arial"/>
        </w:rPr>
        <w:t xml:space="preserve"> – </w:t>
      </w:r>
      <w:r w:rsidR="0034449D">
        <w:rPr>
          <w:rFonts w:cs="Arial"/>
        </w:rPr>
        <w:t>C</w:t>
      </w:r>
      <w:r w:rsidR="00705714" w:rsidRPr="00705714">
        <w:rPr>
          <w:rFonts w:cs="Arial"/>
        </w:rPr>
        <w:t>oncern</w:t>
      </w:r>
      <w:r w:rsidR="0034449D">
        <w:rPr>
          <w:rFonts w:cs="Arial"/>
        </w:rPr>
        <w:t xml:space="preserve"> was raised</w:t>
      </w:r>
      <w:r w:rsidR="00705714" w:rsidRPr="00705714">
        <w:rPr>
          <w:rFonts w:cs="Arial"/>
        </w:rPr>
        <w:t xml:space="preserve"> </w:t>
      </w:r>
      <w:r w:rsidR="008A1E35">
        <w:rPr>
          <w:rFonts w:cs="Arial"/>
        </w:rPr>
        <w:t>regarding</w:t>
      </w:r>
      <w:r w:rsidR="00705714" w:rsidRPr="00705714">
        <w:rPr>
          <w:rFonts w:cs="Arial"/>
        </w:rPr>
        <w:t xml:space="preserve"> the</w:t>
      </w:r>
      <w:r w:rsidR="008A1E35">
        <w:rPr>
          <w:rFonts w:cs="Arial"/>
        </w:rPr>
        <w:t xml:space="preserve"> quantity and quality of</w:t>
      </w:r>
      <w:r w:rsidR="00705714" w:rsidRPr="00705714">
        <w:rPr>
          <w:rFonts w:cs="Arial"/>
        </w:rPr>
        <w:t xml:space="preserve"> land available for future development </w:t>
      </w:r>
      <w:r w:rsidR="008A1E35">
        <w:rPr>
          <w:rFonts w:cs="Arial"/>
        </w:rPr>
        <w:t>for</w:t>
      </w:r>
      <w:r w:rsidR="00705714" w:rsidRPr="00705714">
        <w:rPr>
          <w:rFonts w:cs="Arial"/>
        </w:rPr>
        <w:t xml:space="preserve"> port</w:t>
      </w:r>
      <w:r w:rsidR="008A1E35">
        <w:rPr>
          <w:rFonts w:cs="Arial"/>
        </w:rPr>
        <w:t xml:space="preserve"> and closely related</w:t>
      </w:r>
      <w:r w:rsidR="00705714" w:rsidRPr="00705714">
        <w:rPr>
          <w:rFonts w:cs="Arial"/>
        </w:rPr>
        <w:t xml:space="preserve"> activities. This is particularly the case close to the Humber </w:t>
      </w:r>
      <w:r w:rsidR="006E541A" w:rsidRPr="00705714">
        <w:rPr>
          <w:rFonts w:cs="Arial"/>
        </w:rPr>
        <w:t>River</w:t>
      </w:r>
      <w:r w:rsidR="00705714" w:rsidRPr="00705714">
        <w:rPr>
          <w:rFonts w:cs="Arial"/>
        </w:rPr>
        <w:t xml:space="preserve"> where </w:t>
      </w:r>
      <w:r w:rsidR="00705714">
        <w:rPr>
          <w:rFonts w:cs="Arial"/>
        </w:rPr>
        <w:t>the amount of land is restricted and space is needed for storage and access to vessels.</w:t>
      </w:r>
      <w:r w:rsidR="002977D0">
        <w:rPr>
          <w:rFonts w:cs="Arial"/>
        </w:rPr>
        <w:t xml:space="preserve"> M</w:t>
      </w:r>
      <w:r w:rsidR="005F3B05">
        <w:rPr>
          <w:rFonts w:cs="Arial"/>
        </w:rPr>
        <w:t xml:space="preserve">any </w:t>
      </w:r>
      <w:r w:rsidR="002977D0">
        <w:rPr>
          <w:rFonts w:cs="Arial"/>
        </w:rPr>
        <w:t xml:space="preserve">port activities are ‘land hungry’ and require lots of space for materials, storage and other infrastructure. </w:t>
      </w:r>
      <w:r w:rsidR="008A1E35">
        <w:rPr>
          <w:rFonts w:cs="Arial"/>
        </w:rPr>
        <w:t>One respondent indicated that t</w:t>
      </w:r>
      <w:r w:rsidR="002977D0">
        <w:rPr>
          <w:rFonts w:cs="Arial"/>
        </w:rPr>
        <w:t>he ratio between space and employment can be as low as 1.3 jobs per acre</w:t>
      </w:r>
      <w:r w:rsidR="008A1E35">
        <w:rPr>
          <w:rFonts w:cs="Arial"/>
        </w:rPr>
        <w:t xml:space="preserve"> for port activity</w:t>
      </w:r>
      <w:r w:rsidR="002977D0">
        <w:rPr>
          <w:rFonts w:cs="Arial"/>
        </w:rPr>
        <w:t>.</w:t>
      </w:r>
    </w:p>
    <w:p w14:paraId="73C214F6" w14:textId="77777777" w:rsidR="00C9583F" w:rsidRDefault="00C9583F" w:rsidP="00C93734">
      <w:pPr>
        <w:spacing w:after="0"/>
        <w:jc w:val="both"/>
        <w:rPr>
          <w:rFonts w:cs="Arial"/>
        </w:rPr>
      </w:pPr>
    </w:p>
    <w:p w14:paraId="77AB070B" w14:textId="77777777" w:rsidR="008A1E35" w:rsidRDefault="00285976" w:rsidP="00C93734">
      <w:pPr>
        <w:pStyle w:val="ListParagraph"/>
        <w:numPr>
          <w:ilvl w:val="0"/>
          <w:numId w:val="23"/>
        </w:numPr>
        <w:spacing w:after="0"/>
        <w:jc w:val="both"/>
        <w:rPr>
          <w:rFonts w:cs="Arial"/>
        </w:rPr>
      </w:pPr>
      <w:r w:rsidRPr="00705714">
        <w:rPr>
          <w:rFonts w:cs="Arial"/>
        </w:rPr>
        <w:t xml:space="preserve">Ownership – </w:t>
      </w:r>
      <w:r w:rsidR="008A1E35">
        <w:rPr>
          <w:rFonts w:cs="Arial"/>
        </w:rPr>
        <w:t xml:space="preserve">It was highlighted by a number of businesses that single ownership of Humber’s portfolio of ports is perceived to give rise to relatively high prices for port access and the use of critical port infrastructure.  </w:t>
      </w:r>
    </w:p>
    <w:p w14:paraId="773A1D90" w14:textId="77777777" w:rsidR="008D7250" w:rsidRDefault="008D7250">
      <w:pPr>
        <w:ind w:left="1080" w:hanging="360"/>
        <w:jc w:val="both"/>
        <w:rPr>
          <w:rFonts w:cs="Arial"/>
        </w:rPr>
      </w:pPr>
    </w:p>
    <w:p w14:paraId="0B8D2529" w14:textId="77777777" w:rsidR="00B877A8" w:rsidRDefault="00016EDC" w:rsidP="00C93734">
      <w:pPr>
        <w:pStyle w:val="Heading3"/>
        <w:jc w:val="both"/>
      </w:pPr>
      <w:r>
        <w:t xml:space="preserve">Prospects for </w:t>
      </w:r>
      <w:r w:rsidR="00374100">
        <w:t xml:space="preserve">the </w:t>
      </w:r>
      <w:r>
        <w:t>sector</w:t>
      </w:r>
    </w:p>
    <w:p w14:paraId="40D75582" w14:textId="77777777" w:rsidR="00016EDC" w:rsidRDefault="006653BC" w:rsidP="00C93734">
      <w:pPr>
        <w:jc w:val="both"/>
      </w:pPr>
      <w:r>
        <w:t>The evidence gathered during this study indicates that</w:t>
      </w:r>
      <w:r w:rsidR="00E02AFC">
        <w:t xml:space="preserve"> prospects for the </w:t>
      </w:r>
      <w:r>
        <w:t xml:space="preserve">ports and logistics </w:t>
      </w:r>
      <w:r w:rsidR="00E02AFC">
        <w:t xml:space="preserve">sector are positive. </w:t>
      </w:r>
      <w:r>
        <w:t>Key drivers behind this optimism include the following</w:t>
      </w:r>
      <w:r w:rsidR="00E02AFC">
        <w:t>:</w:t>
      </w:r>
    </w:p>
    <w:p w14:paraId="1FF83E3C" w14:textId="77777777" w:rsidR="003243EA" w:rsidRPr="004D24BF" w:rsidRDefault="00FC1D64" w:rsidP="00C93734">
      <w:pPr>
        <w:pStyle w:val="ListNumb1Last"/>
        <w:jc w:val="both"/>
      </w:pPr>
      <w:r w:rsidRPr="004D24BF">
        <w:t>Government</w:t>
      </w:r>
      <w:r w:rsidR="00520DE9">
        <w:t xml:space="preserve"> policy is strong in</w:t>
      </w:r>
      <w:r w:rsidRPr="004D24BF">
        <w:t xml:space="preserve"> support</w:t>
      </w:r>
      <w:r w:rsidR="00520DE9">
        <w:t>ing</w:t>
      </w:r>
      <w:r w:rsidRPr="004D24BF">
        <w:t xml:space="preserve"> </w:t>
      </w:r>
      <w:r w:rsidR="003A3EA2">
        <w:t>investment in</w:t>
      </w:r>
      <w:r w:rsidRPr="004D24BF">
        <w:t xml:space="preserve"> ports and </w:t>
      </w:r>
      <w:r w:rsidR="003A3EA2">
        <w:t>related infrastructure.</w:t>
      </w:r>
    </w:p>
    <w:p w14:paraId="11784DC1" w14:textId="77777777" w:rsidR="00C2655C" w:rsidRPr="004D24BF" w:rsidRDefault="00364F4A" w:rsidP="00C93734">
      <w:pPr>
        <w:pStyle w:val="ListNumb1Last"/>
        <w:jc w:val="both"/>
      </w:pPr>
      <w:r w:rsidRPr="004D24BF">
        <w:t xml:space="preserve">The UK has </w:t>
      </w:r>
      <w:r w:rsidR="00FC1D64" w:rsidRPr="004D24BF">
        <w:t xml:space="preserve">limited alternatives to </w:t>
      </w:r>
      <w:r w:rsidRPr="004D24BF">
        <w:t xml:space="preserve">sea transport </w:t>
      </w:r>
      <w:r w:rsidR="00FC1D64" w:rsidRPr="004D24BF">
        <w:t xml:space="preserve">for the movement of </w:t>
      </w:r>
      <w:r w:rsidR="00DC034E">
        <w:t>bulky</w:t>
      </w:r>
      <w:r w:rsidRPr="004D24BF">
        <w:t xml:space="preserve"> </w:t>
      </w:r>
      <w:r w:rsidR="00FC1D64" w:rsidRPr="004D24BF">
        <w:t>commodities</w:t>
      </w:r>
      <w:r w:rsidRPr="004D24BF">
        <w:t xml:space="preserve"> and materials</w:t>
      </w:r>
      <w:r w:rsidR="003243EA" w:rsidRPr="004D24BF">
        <w:t>.</w:t>
      </w:r>
      <w:r w:rsidR="00FC1D64" w:rsidRPr="004D24BF">
        <w:t xml:space="preserve"> Air freight is often used for high-value and express </w:t>
      </w:r>
      <w:r w:rsidR="003243EA" w:rsidRPr="004D24BF">
        <w:t>items and t</w:t>
      </w:r>
      <w:r w:rsidR="00FC1D64" w:rsidRPr="004D24BF">
        <w:t xml:space="preserve">he Channel Tunnel </w:t>
      </w:r>
      <w:r w:rsidR="003243EA" w:rsidRPr="004D24BF">
        <w:t xml:space="preserve">can also carry </w:t>
      </w:r>
      <w:r w:rsidR="00DC034E">
        <w:t>goods</w:t>
      </w:r>
      <w:r w:rsidR="003243EA" w:rsidRPr="004D24BF">
        <w:t xml:space="preserve"> but is restricted by capacity. As a consequence, ports and associated logistics</w:t>
      </w:r>
      <w:r w:rsidR="00DC034E">
        <w:t xml:space="preserve"> infrastructure</w:t>
      </w:r>
      <w:r w:rsidR="003243EA" w:rsidRPr="004D24BF">
        <w:t xml:space="preserve"> </w:t>
      </w:r>
      <w:r w:rsidR="00FC1D64" w:rsidRPr="004D24BF">
        <w:t xml:space="preserve">will continue to provide the </w:t>
      </w:r>
      <w:r w:rsidR="00DC034E">
        <w:t>most</w:t>
      </w:r>
      <w:r w:rsidR="00FC1D64" w:rsidRPr="004D24BF">
        <w:t xml:space="preserve"> effective way to </w:t>
      </w:r>
      <w:r w:rsidR="003243EA" w:rsidRPr="004D24BF">
        <w:t>transport goods</w:t>
      </w:r>
      <w:r w:rsidR="00DC034E">
        <w:t xml:space="preserve"> to and from the UK.  The opportunities for increased short-sea freight shipping connections is also a driver of potential demand over the next 10 years.</w:t>
      </w:r>
    </w:p>
    <w:p w14:paraId="4F4BA34E" w14:textId="77777777" w:rsidR="00705714" w:rsidRPr="004D24BF" w:rsidRDefault="00C2655C" w:rsidP="00C93734">
      <w:pPr>
        <w:pStyle w:val="ListNumb1Last"/>
        <w:jc w:val="both"/>
      </w:pPr>
      <w:r w:rsidRPr="004D24BF">
        <w:t>Re</w:t>
      </w:r>
      <w:r w:rsidR="00DC034E">
        <w:t>cent investment in p</w:t>
      </w:r>
      <w:r w:rsidRPr="004D24BF">
        <w:t xml:space="preserve">ort infrastructure is driving expansion in </w:t>
      </w:r>
      <w:r w:rsidR="00DC034E">
        <w:t xml:space="preserve">local </w:t>
      </w:r>
      <w:r w:rsidRPr="004D24BF">
        <w:t xml:space="preserve">economic activity </w:t>
      </w:r>
      <w:r w:rsidR="00DC034E">
        <w:t>in other directly and indirectly related sectors.</w:t>
      </w:r>
    </w:p>
    <w:p w14:paraId="23C4B809" w14:textId="77777777" w:rsidR="00C2655C" w:rsidRPr="004D24BF" w:rsidRDefault="00705714" w:rsidP="00C93734">
      <w:pPr>
        <w:pStyle w:val="ListNumb1Last"/>
        <w:jc w:val="both"/>
      </w:pPr>
      <w:r w:rsidRPr="004D24BF">
        <w:t xml:space="preserve">The area has strong transport links with roads connecting the area to Yorkshire and the North West. Improvements such as </w:t>
      </w:r>
      <w:r w:rsidR="00374100">
        <w:t>better</w:t>
      </w:r>
      <w:r w:rsidR="00937E57" w:rsidRPr="004D24BF">
        <w:t xml:space="preserve"> </w:t>
      </w:r>
      <w:r w:rsidRPr="004D24BF">
        <w:t>access to the A180, deregulated roads, road surface upgrades and con</w:t>
      </w:r>
      <w:r w:rsidR="00DC034E">
        <w:t>nections to Lincoln were seen as</w:t>
      </w:r>
      <w:r w:rsidRPr="004D24BF">
        <w:t xml:space="preserve"> support</w:t>
      </w:r>
      <w:r w:rsidR="00DC034E">
        <w:t>ing</w:t>
      </w:r>
      <w:r w:rsidRPr="004D24BF">
        <w:t xml:space="preserve"> this. </w:t>
      </w:r>
    </w:p>
    <w:p w14:paraId="4CD4FCCC" w14:textId="77777777" w:rsidR="00C2655C" w:rsidRPr="004D24BF" w:rsidRDefault="00705714" w:rsidP="00C93734">
      <w:pPr>
        <w:pStyle w:val="ListNumb1Last"/>
        <w:jc w:val="both"/>
      </w:pPr>
      <w:r w:rsidRPr="004D24BF">
        <w:t xml:space="preserve">The sector will be further strengthened by </w:t>
      </w:r>
      <w:r w:rsidR="00DC034E">
        <w:t xml:space="preserve">substantial investment and </w:t>
      </w:r>
      <w:r w:rsidRPr="004D24BF">
        <w:t xml:space="preserve">developments at </w:t>
      </w:r>
      <w:r w:rsidR="0091189A">
        <w:t xml:space="preserve">Hull </w:t>
      </w:r>
      <w:r w:rsidRPr="004D24BF">
        <w:t xml:space="preserve">Green Port, </w:t>
      </w:r>
      <w:r w:rsidR="00C2655C" w:rsidRPr="004D24BF">
        <w:t>ABLE Marine Energy Park</w:t>
      </w:r>
      <w:r w:rsidRPr="004D24BF">
        <w:t xml:space="preserve"> and ABLE Logistics </w:t>
      </w:r>
      <w:r w:rsidR="00102792">
        <w:t>P</w:t>
      </w:r>
      <w:r w:rsidRPr="004D24BF">
        <w:t xml:space="preserve">ark. These </w:t>
      </w:r>
      <w:r w:rsidR="00DC034E">
        <w:t>will help consolidate the</w:t>
      </w:r>
      <w:r w:rsidR="00DD6CD5" w:rsidRPr="004D24BF">
        <w:t xml:space="preserve"> critical mass</w:t>
      </w:r>
      <w:r w:rsidR="00DC034E">
        <w:t xml:space="preserve"> necessary to ensure that the Humber remains the single most i</w:t>
      </w:r>
      <w:r w:rsidR="00520DE9">
        <w:t xml:space="preserve">mportant cluster of port, renewables and chemicals activity in the UK.  </w:t>
      </w:r>
    </w:p>
    <w:p w14:paraId="21F2FB8C" w14:textId="77777777" w:rsidR="00520DE9" w:rsidRDefault="00520DE9" w:rsidP="00C93734">
      <w:pPr>
        <w:pStyle w:val="ListNumb1Last"/>
        <w:jc w:val="both"/>
        <w:rPr>
          <w:rFonts w:cs="Arial"/>
        </w:rPr>
      </w:pPr>
      <w:r w:rsidRPr="00520DE9">
        <w:rPr>
          <w:rFonts w:cs="Arial"/>
        </w:rPr>
        <w:t>Technological advancement is a central driver</w:t>
      </w:r>
      <w:r w:rsidR="000C0B23" w:rsidRPr="00520DE9">
        <w:rPr>
          <w:rFonts w:cs="Arial"/>
        </w:rPr>
        <w:t xml:space="preserve"> to the sector’s </w:t>
      </w:r>
      <w:r w:rsidRPr="00520DE9">
        <w:rPr>
          <w:rFonts w:cs="Arial"/>
        </w:rPr>
        <w:t xml:space="preserve">future </w:t>
      </w:r>
      <w:r w:rsidR="000C0B23" w:rsidRPr="00520DE9">
        <w:rPr>
          <w:rFonts w:cs="Arial"/>
        </w:rPr>
        <w:t>growth</w:t>
      </w:r>
      <w:r w:rsidRPr="00520DE9">
        <w:rPr>
          <w:rFonts w:cs="Arial"/>
        </w:rPr>
        <w:t xml:space="preserve"> and diversification prospects.  </w:t>
      </w:r>
    </w:p>
    <w:p w14:paraId="01A8F0BF" w14:textId="77777777" w:rsidR="004D24BF" w:rsidRPr="00520DE9" w:rsidRDefault="00520DE9" w:rsidP="00C93734">
      <w:pPr>
        <w:pStyle w:val="ListNumb1Last"/>
        <w:jc w:val="both"/>
        <w:rPr>
          <w:rFonts w:cs="Arial"/>
        </w:rPr>
      </w:pPr>
      <w:r>
        <w:rPr>
          <w:rFonts w:cs="Arial"/>
        </w:rPr>
        <w:t>Smart logistics</w:t>
      </w:r>
      <w:r w:rsidR="008747B6">
        <w:rPr>
          <w:rFonts w:cs="Arial"/>
        </w:rPr>
        <w:t>: NEL</w:t>
      </w:r>
      <w:r>
        <w:rPr>
          <w:rFonts w:cs="Arial"/>
        </w:rPr>
        <w:t xml:space="preserve"> is well placed to take advantage of market opportunities driven by having well integrated logistics systems. These range from multi-modal opportunities to reverse logistics and third-party logistics. </w:t>
      </w:r>
    </w:p>
    <w:p w14:paraId="49287C6B" w14:textId="77777777" w:rsidR="00893EA5" w:rsidRDefault="005A0F99" w:rsidP="00C93734">
      <w:pPr>
        <w:pStyle w:val="Heading3"/>
        <w:jc w:val="both"/>
      </w:pPr>
      <w:r>
        <w:t xml:space="preserve">Challenges </w:t>
      </w:r>
    </w:p>
    <w:p w14:paraId="3139F515" w14:textId="77777777" w:rsidR="00893EA5" w:rsidRDefault="00E24F82" w:rsidP="00C93734">
      <w:pPr>
        <w:jc w:val="both"/>
      </w:pPr>
      <w:r>
        <w:t>Key challenges and potential constraints to growth and diversification in the sector include:</w:t>
      </w:r>
    </w:p>
    <w:p w14:paraId="177BEE43" w14:textId="77777777" w:rsidR="00E24F82" w:rsidRDefault="00E24F82" w:rsidP="00C93734">
      <w:pPr>
        <w:pStyle w:val="ListNumb1"/>
        <w:numPr>
          <w:ilvl w:val="0"/>
          <w:numId w:val="64"/>
        </w:numPr>
        <w:jc w:val="both"/>
      </w:pPr>
      <w:r>
        <w:t xml:space="preserve">Shortage of waterside land and suitable land outside port areas.  The land-hungry nature of most port activities (such as the import of cars) reflects the need to find sufficient land to accommodate any growth in demand.  In addition to a full assessment of land availability options through the Local Plan process there is an increasing need to consider how more efficient use of port land can be achieved, for example, through multi-storey car storage to increased rail freight usage.  </w:t>
      </w:r>
    </w:p>
    <w:p w14:paraId="08704CB2" w14:textId="77777777" w:rsidR="00520DE9" w:rsidRDefault="00520DE9" w:rsidP="00C93734">
      <w:pPr>
        <w:pStyle w:val="ListNumb1"/>
        <w:numPr>
          <w:ilvl w:val="0"/>
          <w:numId w:val="64"/>
        </w:numPr>
        <w:jc w:val="both"/>
        <w:rPr>
          <w:rFonts w:cs="Arial"/>
        </w:rPr>
      </w:pPr>
      <w:r w:rsidRPr="008B6F3A">
        <w:rPr>
          <w:rFonts w:cs="Arial"/>
        </w:rPr>
        <w:t xml:space="preserve">The sector faces skills shortages </w:t>
      </w:r>
      <w:r w:rsidR="0091189A">
        <w:rPr>
          <w:rFonts w:cs="Arial"/>
        </w:rPr>
        <w:t>including</w:t>
      </w:r>
      <w:r w:rsidR="00E24F82" w:rsidRPr="008B6F3A">
        <w:rPr>
          <w:rFonts w:cs="Arial"/>
        </w:rPr>
        <w:t xml:space="preserve"> both professional</w:t>
      </w:r>
      <w:r w:rsidR="0091189A">
        <w:rPr>
          <w:rFonts w:cs="Arial"/>
        </w:rPr>
        <w:t>s</w:t>
      </w:r>
      <w:r w:rsidR="00E24F82" w:rsidRPr="008B6F3A">
        <w:rPr>
          <w:rFonts w:cs="Arial"/>
        </w:rPr>
        <w:t xml:space="preserve"> and technicians in the engineering disciplines and semi-skilled work</w:t>
      </w:r>
      <w:r w:rsidR="0091189A">
        <w:rPr>
          <w:rFonts w:cs="Arial"/>
        </w:rPr>
        <w:t>ers</w:t>
      </w:r>
      <w:r w:rsidR="00E24F82" w:rsidRPr="008B6F3A">
        <w:rPr>
          <w:rFonts w:cs="Arial"/>
        </w:rPr>
        <w:t xml:space="preserve"> such as </w:t>
      </w:r>
      <w:r w:rsidRPr="008B6F3A">
        <w:rPr>
          <w:rFonts w:cs="Arial"/>
        </w:rPr>
        <w:t xml:space="preserve">HGV drivers with </w:t>
      </w:r>
      <w:r w:rsidR="0091189A">
        <w:rPr>
          <w:rFonts w:cs="Arial"/>
        </w:rPr>
        <w:t>the required</w:t>
      </w:r>
      <w:r w:rsidRPr="008B6F3A">
        <w:rPr>
          <w:rFonts w:cs="Arial"/>
        </w:rPr>
        <w:t xml:space="preserve"> certification and skills (e.g. low carbon driving, customer friendly). </w:t>
      </w:r>
    </w:p>
    <w:p w14:paraId="573AFFA9" w14:textId="77777777" w:rsidR="00C2655C" w:rsidRPr="008B6F3A" w:rsidRDefault="00DA4457" w:rsidP="00C93734">
      <w:pPr>
        <w:pStyle w:val="ListNumb1"/>
        <w:numPr>
          <w:ilvl w:val="0"/>
          <w:numId w:val="64"/>
        </w:numPr>
        <w:jc w:val="both"/>
        <w:rPr>
          <w:rFonts w:cs="Arial"/>
        </w:rPr>
      </w:pPr>
      <w:r w:rsidRPr="008B6F3A">
        <w:rPr>
          <w:rFonts w:cs="Arial"/>
        </w:rPr>
        <w:t xml:space="preserve">The general </w:t>
      </w:r>
      <w:r w:rsidR="00E24F82" w:rsidRPr="008B6F3A">
        <w:rPr>
          <w:rFonts w:cs="Arial"/>
        </w:rPr>
        <w:t xml:space="preserve">quality of port-related </w:t>
      </w:r>
      <w:r w:rsidR="00082A6D" w:rsidRPr="008B6F3A">
        <w:rPr>
          <w:rFonts w:cs="Arial"/>
        </w:rPr>
        <w:t>commercial</w:t>
      </w:r>
      <w:r w:rsidR="00E24F82" w:rsidRPr="008B6F3A">
        <w:rPr>
          <w:rFonts w:cs="Arial"/>
        </w:rPr>
        <w:t xml:space="preserve"> and industrial</w:t>
      </w:r>
      <w:r w:rsidR="00082A6D" w:rsidRPr="008B6F3A">
        <w:rPr>
          <w:rFonts w:cs="Arial"/>
        </w:rPr>
        <w:t xml:space="preserve"> areas is </w:t>
      </w:r>
      <w:r w:rsidR="00E24F82" w:rsidRPr="008B6F3A">
        <w:rPr>
          <w:rFonts w:cs="Arial"/>
        </w:rPr>
        <w:t xml:space="preserve">perceived by many as poor. </w:t>
      </w:r>
      <w:r w:rsidR="00D276A1" w:rsidRPr="008B6F3A">
        <w:rPr>
          <w:rFonts w:cs="Arial"/>
        </w:rPr>
        <w:t>This may act as a constraint to the operations of some existing businesses and deter the attraction of new businesses.</w:t>
      </w:r>
    </w:p>
    <w:p w14:paraId="0D6EDCAD" w14:textId="77777777" w:rsidR="00C2655C" w:rsidRPr="008B6F3A" w:rsidRDefault="00D276A1" w:rsidP="00C93734">
      <w:pPr>
        <w:pStyle w:val="ListNumb1"/>
        <w:numPr>
          <w:ilvl w:val="0"/>
          <w:numId w:val="64"/>
        </w:numPr>
        <w:jc w:val="both"/>
        <w:rPr>
          <w:rFonts w:cs="Arial"/>
        </w:rPr>
      </w:pPr>
      <w:r w:rsidRPr="008B6F3A">
        <w:rPr>
          <w:rFonts w:cs="Arial"/>
        </w:rPr>
        <w:t xml:space="preserve">Concentration of port ownership in the sub-region is perceived by some as a challenge to expansion and </w:t>
      </w:r>
      <w:r w:rsidR="00D848F8">
        <w:rPr>
          <w:rFonts w:cs="Arial"/>
        </w:rPr>
        <w:t>d</w:t>
      </w:r>
      <w:r w:rsidRPr="008B6F3A">
        <w:rPr>
          <w:rFonts w:cs="Arial"/>
        </w:rPr>
        <w:t>iversification</w:t>
      </w:r>
      <w:r w:rsidR="008B6F3A" w:rsidRPr="008B6F3A">
        <w:rPr>
          <w:rFonts w:cs="Arial"/>
        </w:rPr>
        <w:t xml:space="preserve"> of small businesses</w:t>
      </w:r>
      <w:r w:rsidRPr="008B6F3A">
        <w:rPr>
          <w:rFonts w:cs="Arial"/>
        </w:rPr>
        <w:t>.</w:t>
      </w:r>
    </w:p>
    <w:p w14:paraId="711489FF" w14:textId="77777777" w:rsidR="00C2655C" w:rsidRPr="008B6F3A" w:rsidRDefault="002977D0" w:rsidP="00C93734">
      <w:pPr>
        <w:pStyle w:val="ListNumb1"/>
        <w:numPr>
          <w:ilvl w:val="0"/>
          <w:numId w:val="64"/>
        </w:numPr>
        <w:jc w:val="both"/>
        <w:rPr>
          <w:rFonts w:cs="Arial"/>
        </w:rPr>
      </w:pPr>
      <w:r w:rsidRPr="008B6F3A">
        <w:rPr>
          <w:rFonts w:cs="Arial"/>
        </w:rPr>
        <w:t xml:space="preserve">There </w:t>
      </w:r>
      <w:r w:rsidR="00C2655C" w:rsidRPr="008B6F3A">
        <w:rPr>
          <w:rFonts w:cs="Arial"/>
        </w:rPr>
        <w:t>are some environmental challenges</w:t>
      </w:r>
      <w:r w:rsidRPr="008B6F3A">
        <w:rPr>
          <w:rFonts w:cs="Arial"/>
        </w:rPr>
        <w:t xml:space="preserve"> relevant to port activities. </w:t>
      </w:r>
      <w:r w:rsidR="008B6F3A" w:rsidRPr="008B6F3A">
        <w:rPr>
          <w:rFonts w:cs="Arial"/>
        </w:rPr>
        <w:t>This includes</w:t>
      </w:r>
      <w:r w:rsidRPr="008B6F3A">
        <w:rPr>
          <w:rFonts w:cs="Arial"/>
        </w:rPr>
        <w:t xml:space="preserve"> n</w:t>
      </w:r>
      <w:r w:rsidR="00C2655C" w:rsidRPr="008B6F3A">
        <w:rPr>
          <w:rFonts w:cs="Arial"/>
        </w:rPr>
        <w:t>ew EU legislation</w:t>
      </w:r>
      <w:r w:rsidRPr="002977D0">
        <w:rPr>
          <w:rStyle w:val="FootnoteReference"/>
          <w:rFonts w:cs="Arial"/>
        </w:rPr>
        <w:footnoteReference w:id="12"/>
      </w:r>
      <w:r w:rsidR="00C2655C" w:rsidRPr="008B6F3A">
        <w:rPr>
          <w:rFonts w:cs="Arial"/>
        </w:rPr>
        <w:t xml:space="preserve"> which is driving technical modifications </w:t>
      </w:r>
      <w:r w:rsidR="008B6F3A" w:rsidRPr="008B6F3A">
        <w:rPr>
          <w:rFonts w:cs="Arial"/>
        </w:rPr>
        <w:t>to reduce s</w:t>
      </w:r>
      <w:r w:rsidRPr="008B6F3A">
        <w:rPr>
          <w:rFonts w:cs="Arial"/>
        </w:rPr>
        <w:t xml:space="preserve">ulphur emissions </w:t>
      </w:r>
      <w:r w:rsidR="00C2655C" w:rsidRPr="008B6F3A">
        <w:rPr>
          <w:rFonts w:cs="Arial"/>
        </w:rPr>
        <w:t>in seafaring vessels</w:t>
      </w:r>
      <w:r w:rsidR="008B6F3A" w:rsidRPr="008B6F3A">
        <w:rPr>
          <w:rFonts w:cs="Arial"/>
        </w:rPr>
        <w:t>.  This</w:t>
      </w:r>
      <w:r w:rsidRPr="008B6F3A">
        <w:rPr>
          <w:rFonts w:cs="Arial"/>
        </w:rPr>
        <w:t xml:space="preserve"> </w:t>
      </w:r>
      <w:r w:rsidR="008B6F3A" w:rsidRPr="008B6F3A">
        <w:rPr>
          <w:rFonts w:cs="Arial"/>
        </w:rPr>
        <w:t>may</w:t>
      </w:r>
      <w:r w:rsidRPr="008B6F3A">
        <w:rPr>
          <w:rFonts w:cs="Arial"/>
        </w:rPr>
        <w:t xml:space="preserve"> impact</w:t>
      </w:r>
      <w:r w:rsidR="008B6F3A" w:rsidRPr="008B6F3A">
        <w:rPr>
          <w:rFonts w:cs="Arial"/>
        </w:rPr>
        <w:t xml:space="preserve"> on the type of vessels that can be used</w:t>
      </w:r>
      <w:r w:rsidRPr="008B6F3A">
        <w:rPr>
          <w:rFonts w:cs="Arial"/>
        </w:rPr>
        <w:t xml:space="preserve"> and </w:t>
      </w:r>
      <w:r w:rsidR="008B6F3A" w:rsidRPr="008B6F3A">
        <w:rPr>
          <w:rFonts w:cs="Arial"/>
        </w:rPr>
        <w:t xml:space="preserve">is likely to </w:t>
      </w:r>
      <w:r w:rsidRPr="008B6F3A">
        <w:rPr>
          <w:rFonts w:cs="Arial"/>
        </w:rPr>
        <w:t>increase</w:t>
      </w:r>
      <w:r w:rsidR="008B6F3A" w:rsidRPr="008B6F3A">
        <w:rPr>
          <w:rFonts w:cs="Arial"/>
        </w:rPr>
        <w:t xml:space="preserve"> operational</w:t>
      </w:r>
      <w:r w:rsidRPr="008B6F3A">
        <w:rPr>
          <w:rFonts w:cs="Arial"/>
        </w:rPr>
        <w:t xml:space="preserve"> costs.</w:t>
      </w:r>
    </w:p>
    <w:p w14:paraId="3BFF01D5" w14:textId="77777777" w:rsidR="00705714" w:rsidRPr="002977D0" w:rsidRDefault="00705714" w:rsidP="00C93734">
      <w:pPr>
        <w:spacing w:after="200" w:line="276" w:lineRule="auto"/>
        <w:jc w:val="both"/>
        <w:rPr>
          <w:rFonts w:eastAsia="Times New Roman" w:cs="Arial"/>
          <w:b/>
          <w:bCs/>
          <w:color w:val="156570" w:themeColor="background2"/>
          <w:sz w:val="30"/>
          <w:szCs w:val="26"/>
        </w:rPr>
      </w:pPr>
    </w:p>
    <w:p w14:paraId="40F62E82" w14:textId="77777777" w:rsidR="009B3D30" w:rsidRDefault="009B3D30" w:rsidP="00C93734">
      <w:pPr>
        <w:pStyle w:val="Heading1"/>
        <w:jc w:val="both"/>
        <w:sectPr w:rsidR="009B3D30" w:rsidSect="009B3D30">
          <w:headerReference w:type="default" r:id="rId49"/>
          <w:footerReference w:type="default" r:id="rId50"/>
          <w:headerReference w:type="first" r:id="rId51"/>
          <w:footerReference w:type="first" r:id="rId52"/>
          <w:pgSz w:w="11906" w:h="16838" w:code="9"/>
          <w:pgMar w:top="964" w:right="1134" w:bottom="964" w:left="1134" w:header="510" w:footer="340" w:gutter="0"/>
          <w:cols w:space="708"/>
          <w:docGrid w:linePitch="360"/>
        </w:sectPr>
      </w:pPr>
    </w:p>
    <w:p w14:paraId="3F62FACE" w14:textId="77777777" w:rsidR="009B3D30" w:rsidRDefault="009B3D30" w:rsidP="00C93734">
      <w:pPr>
        <w:pStyle w:val="IntroHeading"/>
        <w:jc w:val="both"/>
      </w:pPr>
      <w:bookmarkStart w:id="571" w:name="_Toc384034544"/>
      <w:bookmarkStart w:id="572" w:name="_Toc395103922"/>
      <w:r>
        <w:t>Food</w:t>
      </w:r>
      <w:r w:rsidR="00F87DB4">
        <w:t xml:space="preserve"> Process</w:t>
      </w:r>
      <w:bookmarkEnd w:id="571"/>
      <w:r w:rsidR="00374100">
        <w:t>ing</w:t>
      </w:r>
      <w:bookmarkEnd w:id="572"/>
    </w:p>
    <w:p w14:paraId="533C98E9" w14:textId="77777777" w:rsidR="00374100" w:rsidRPr="00374100" w:rsidRDefault="00374100" w:rsidP="00374100">
      <w:pPr>
        <w:sectPr w:rsidR="00374100" w:rsidRPr="00374100" w:rsidSect="009B3D30">
          <w:headerReference w:type="first" r:id="rId53"/>
          <w:pgSz w:w="11906" w:h="16838" w:code="9"/>
          <w:pgMar w:top="964" w:right="1134" w:bottom="964" w:left="1134" w:header="510" w:footer="340" w:gutter="0"/>
          <w:cols w:space="708"/>
          <w:titlePg/>
          <w:docGrid w:linePitch="360"/>
        </w:sectPr>
      </w:pPr>
    </w:p>
    <w:p w14:paraId="56C307F2" w14:textId="77777777" w:rsidR="00B877A8" w:rsidRPr="00B877A8" w:rsidRDefault="00B877A8" w:rsidP="00C93734">
      <w:pPr>
        <w:pStyle w:val="Heading1"/>
        <w:jc w:val="both"/>
      </w:pPr>
      <w:bookmarkStart w:id="573" w:name="_Toc384034545"/>
      <w:bookmarkStart w:id="574" w:name="_Toc395103923"/>
      <w:r>
        <w:t>Food Processing</w:t>
      </w:r>
      <w:bookmarkEnd w:id="573"/>
      <w:bookmarkEnd w:id="574"/>
    </w:p>
    <w:p w14:paraId="1314BEEF" w14:textId="77777777" w:rsidR="00380AB4" w:rsidRDefault="009B3D30" w:rsidP="00C93734">
      <w:pPr>
        <w:jc w:val="both"/>
        <w:rPr>
          <w:rFonts w:cs="Arial"/>
        </w:rPr>
      </w:pPr>
      <w:r>
        <w:rPr>
          <w:rFonts w:cs="Arial"/>
        </w:rPr>
        <w:t>Food</w:t>
      </w:r>
      <w:r w:rsidR="008747B6">
        <w:rPr>
          <w:rFonts w:cs="Arial"/>
        </w:rPr>
        <w:t>,</w:t>
      </w:r>
      <w:r>
        <w:rPr>
          <w:rFonts w:cs="Arial"/>
        </w:rPr>
        <w:t xml:space="preserve"> and particularly </w:t>
      </w:r>
      <w:r w:rsidR="00381FF9">
        <w:rPr>
          <w:rFonts w:cs="Arial"/>
        </w:rPr>
        <w:t>f</w:t>
      </w:r>
      <w:r w:rsidR="004050AE">
        <w:rPr>
          <w:rFonts w:cs="Arial"/>
        </w:rPr>
        <w:t>ish</w:t>
      </w:r>
      <w:r w:rsidR="008747B6">
        <w:rPr>
          <w:rFonts w:cs="Arial"/>
        </w:rPr>
        <w:t>,</w:t>
      </w:r>
      <w:r w:rsidR="00381FF9">
        <w:rPr>
          <w:rFonts w:cs="Arial"/>
        </w:rPr>
        <w:t xml:space="preserve"> processing</w:t>
      </w:r>
      <w:r w:rsidR="004050AE">
        <w:rPr>
          <w:rFonts w:cs="Arial"/>
        </w:rPr>
        <w:t xml:space="preserve"> </w:t>
      </w:r>
      <w:r w:rsidR="008747B6">
        <w:rPr>
          <w:rFonts w:cs="Arial"/>
        </w:rPr>
        <w:t xml:space="preserve">is </w:t>
      </w:r>
      <w:r w:rsidR="0091189A">
        <w:rPr>
          <w:rFonts w:cs="Arial"/>
        </w:rPr>
        <w:t xml:space="preserve">strongly established </w:t>
      </w:r>
      <w:r w:rsidR="004050AE">
        <w:rPr>
          <w:rFonts w:cs="Arial"/>
        </w:rPr>
        <w:t>in the culture</w:t>
      </w:r>
      <w:r w:rsidR="00E02AFC">
        <w:rPr>
          <w:rFonts w:cs="Arial"/>
        </w:rPr>
        <w:t xml:space="preserve">, economy and </w:t>
      </w:r>
      <w:r w:rsidR="00EE7B23">
        <w:rPr>
          <w:rFonts w:cs="Arial"/>
        </w:rPr>
        <w:t>society of</w:t>
      </w:r>
      <w:r w:rsidR="004050AE">
        <w:rPr>
          <w:rFonts w:cs="Arial"/>
        </w:rPr>
        <w:t xml:space="preserve"> </w:t>
      </w:r>
      <w:r w:rsidR="008747B6">
        <w:rPr>
          <w:rFonts w:cs="Arial"/>
        </w:rPr>
        <w:t>NEL</w:t>
      </w:r>
      <w:r w:rsidR="00EE7B23" w:rsidRPr="009B3D30">
        <w:rPr>
          <w:rFonts w:cs="Arial"/>
          <w:vertAlign w:val="superscript"/>
        </w:rPr>
        <w:footnoteReference w:id="13"/>
      </w:r>
      <w:r w:rsidR="004050AE">
        <w:rPr>
          <w:rFonts w:cs="Arial"/>
        </w:rPr>
        <w:t xml:space="preserve">. </w:t>
      </w:r>
      <w:r w:rsidR="006E52FE" w:rsidRPr="006E52FE">
        <w:rPr>
          <w:rFonts w:cs="Arial"/>
        </w:rPr>
        <w:t xml:space="preserve">Grimsby in particular has a long heritage in </w:t>
      </w:r>
      <w:r w:rsidR="008747B6">
        <w:rPr>
          <w:rFonts w:cs="Arial"/>
        </w:rPr>
        <w:t>producing</w:t>
      </w:r>
      <w:r w:rsidR="008747B6" w:rsidRPr="006E52FE">
        <w:rPr>
          <w:rFonts w:cs="Arial"/>
        </w:rPr>
        <w:t xml:space="preserve"> </w:t>
      </w:r>
      <w:r w:rsidR="006E52FE" w:rsidRPr="006E52FE">
        <w:rPr>
          <w:rFonts w:cs="Arial"/>
        </w:rPr>
        <w:t xml:space="preserve">seafood (and food) products from local catches and more recently </w:t>
      </w:r>
      <w:r w:rsidR="008747B6">
        <w:rPr>
          <w:rFonts w:cs="Arial"/>
        </w:rPr>
        <w:t xml:space="preserve">from </w:t>
      </w:r>
      <w:r w:rsidR="006E52FE" w:rsidRPr="006E52FE">
        <w:rPr>
          <w:rFonts w:cs="Arial"/>
        </w:rPr>
        <w:t xml:space="preserve">seafood imports and the harvest of nearby agricultural land. The seafood </w:t>
      </w:r>
      <w:r w:rsidR="008747B6" w:rsidRPr="006E52FE">
        <w:rPr>
          <w:rFonts w:cs="Arial"/>
        </w:rPr>
        <w:t>industry, which thrived in Grimsby betw</w:t>
      </w:r>
      <w:r w:rsidR="0052787C">
        <w:rPr>
          <w:rFonts w:cs="Arial"/>
        </w:rPr>
        <w:t>e</w:t>
      </w:r>
      <w:r w:rsidR="008747B6" w:rsidRPr="006E52FE">
        <w:rPr>
          <w:rFonts w:cs="Arial"/>
        </w:rPr>
        <w:t>en the mid 1800s and 1900s,</w:t>
      </w:r>
      <w:r w:rsidR="006E52FE" w:rsidRPr="006E52FE">
        <w:rPr>
          <w:rFonts w:cs="Arial"/>
        </w:rPr>
        <w:t xml:space="preserve"> has </w:t>
      </w:r>
      <w:r w:rsidR="008747B6">
        <w:rPr>
          <w:rFonts w:cs="Arial"/>
        </w:rPr>
        <w:t xml:space="preserve">now </w:t>
      </w:r>
      <w:r w:rsidR="006E52FE" w:rsidRPr="006E52FE">
        <w:rPr>
          <w:rFonts w:cs="Arial"/>
        </w:rPr>
        <w:t xml:space="preserve">expanded to incorporate other food </w:t>
      </w:r>
      <w:r w:rsidR="008747B6">
        <w:rPr>
          <w:rFonts w:cs="Arial"/>
        </w:rPr>
        <w:t>processing</w:t>
      </w:r>
      <w:r w:rsidR="008747B6" w:rsidRPr="006E52FE">
        <w:rPr>
          <w:rFonts w:cs="Arial"/>
        </w:rPr>
        <w:t xml:space="preserve"> </w:t>
      </w:r>
      <w:r w:rsidR="006E52FE" w:rsidRPr="006E52FE">
        <w:rPr>
          <w:rFonts w:cs="Arial"/>
        </w:rPr>
        <w:t>activities</w:t>
      </w:r>
      <w:r w:rsidR="006E52FE">
        <w:rPr>
          <w:rFonts w:cs="Arial"/>
        </w:rPr>
        <w:t xml:space="preserve">. </w:t>
      </w:r>
      <w:r w:rsidR="00381FF9">
        <w:rPr>
          <w:rFonts w:cs="Arial"/>
        </w:rPr>
        <w:t>The Grimsby fish processing sector is recognised as one of the most significant</w:t>
      </w:r>
      <w:r w:rsidR="00380AB4" w:rsidRPr="00380AB4">
        <w:rPr>
          <w:rFonts w:cs="Arial"/>
        </w:rPr>
        <w:t xml:space="preserve"> industrial </w:t>
      </w:r>
      <w:r w:rsidR="00381FF9">
        <w:rPr>
          <w:rFonts w:cs="Arial"/>
        </w:rPr>
        <w:t>clusters</w:t>
      </w:r>
      <w:r w:rsidR="00380AB4" w:rsidRPr="00380AB4">
        <w:rPr>
          <w:rFonts w:cs="Arial"/>
        </w:rPr>
        <w:t xml:space="preserve"> in the UK. </w:t>
      </w:r>
      <w:r w:rsidR="00380AB4" w:rsidRPr="00EC0389">
        <w:rPr>
          <w:rFonts w:cs="Arial"/>
        </w:rPr>
        <w:t xml:space="preserve">As such, it has been referred to as “Europe’s </w:t>
      </w:r>
      <w:r w:rsidR="0052787C">
        <w:rPr>
          <w:rFonts w:cs="Arial"/>
        </w:rPr>
        <w:t>F</w:t>
      </w:r>
      <w:r w:rsidR="0052787C" w:rsidRPr="00EC0389">
        <w:rPr>
          <w:rFonts w:cs="Arial"/>
        </w:rPr>
        <w:t xml:space="preserve">ood </w:t>
      </w:r>
      <w:r w:rsidR="0052787C">
        <w:rPr>
          <w:rFonts w:cs="Arial"/>
        </w:rPr>
        <w:t>T</w:t>
      </w:r>
      <w:r w:rsidR="0052787C" w:rsidRPr="00EC0389">
        <w:rPr>
          <w:rFonts w:cs="Arial"/>
        </w:rPr>
        <w:t>own</w:t>
      </w:r>
      <w:r w:rsidR="00380AB4" w:rsidRPr="00EC0389">
        <w:rPr>
          <w:rFonts w:cs="Arial"/>
        </w:rPr>
        <w:t xml:space="preserve">”. </w:t>
      </w:r>
    </w:p>
    <w:p w14:paraId="1DED9F82" w14:textId="77777777" w:rsidR="00380AB4" w:rsidRPr="00380AB4" w:rsidRDefault="00380AB4" w:rsidP="00C93734">
      <w:pPr>
        <w:jc w:val="both"/>
        <w:rPr>
          <w:rFonts w:cs="Arial"/>
        </w:rPr>
      </w:pPr>
      <w:r w:rsidRPr="00380AB4">
        <w:rPr>
          <w:rFonts w:cs="Arial"/>
        </w:rPr>
        <w:t>Fish consumption in the UK has risen steadily since the</w:t>
      </w:r>
      <w:r w:rsidR="0091189A">
        <w:rPr>
          <w:rFonts w:cs="Arial"/>
        </w:rPr>
        <w:t xml:space="preserve"> </w:t>
      </w:r>
      <w:r w:rsidRPr="00380AB4">
        <w:rPr>
          <w:rFonts w:cs="Arial"/>
        </w:rPr>
        <w:t xml:space="preserve">1970s and is now </w:t>
      </w:r>
      <w:r w:rsidR="005556BF">
        <w:rPr>
          <w:rFonts w:cs="Arial"/>
        </w:rPr>
        <w:t>a</w:t>
      </w:r>
      <w:r w:rsidRPr="00380AB4">
        <w:rPr>
          <w:rFonts w:cs="Arial"/>
        </w:rPr>
        <w:t xml:space="preserve"> multi-billion pound industry in the UK. Four out of five households </w:t>
      </w:r>
      <w:r w:rsidR="005556BF">
        <w:rPr>
          <w:rFonts w:cs="Arial"/>
        </w:rPr>
        <w:t>c</w:t>
      </w:r>
      <w:r w:rsidRPr="00380AB4">
        <w:rPr>
          <w:rFonts w:cs="Arial"/>
        </w:rPr>
        <w:t xml:space="preserve">onsume seafood at least once a month and total purchases of seafood in the UK were worth £5.6 billion in 2011. There </w:t>
      </w:r>
      <w:r w:rsidR="00381FF9">
        <w:rPr>
          <w:rFonts w:cs="Arial"/>
        </w:rPr>
        <w:t>is an established trend of steadily growing market demand whilst overall</w:t>
      </w:r>
      <w:r w:rsidRPr="00380AB4">
        <w:rPr>
          <w:rFonts w:cs="Arial"/>
        </w:rPr>
        <w:t xml:space="preserve"> </w:t>
      </w:r>
      <w:r w:rsidR="00D06940">
        <w:rPr>
          <w:rFonts w:cs="Arial"/>
        </w:rPr>
        <w:t xml:space="preserve">supply of fish and fish products by </w:t>
      </w:r>
      <w:r w:rsidRPr="00380AB4">
        <w:rPr>
          <w:rFonts w:cs="Arial"/>
        </w:rPr>
        <w:t>volume</w:t>
      </w:r>
      <w:r w:rsidR="00381FF9">
        <w:rPr>
          <w:rFonts w:cs="Arial"/>
        </w:rPr>
        <w:t xml:space="preserve"> have been</w:t>
      </w:r>
      <w:r w:rsidRPr="00380AB4">
        <w:rPr>
          <w:rFonts w:cs="Arial"/>
        </w:rPr>
        <w:t xml:space="preserve"> falling</w:t>
      </w:r>
      <w:r w:rsidR="00381FF9">
        <w:rPr>
          <w:rFonts w:cs="Arial"/>
        </w:rPr>
        <w:t>. This demand-supply imbalance</w:t>
      </w:r>
      <w:r w:rsidRPr="00380AB4">
        <w:rPr>
          <w:rFonts w:cs="Arial"/>
        </w:rPr>
        <w:t xml:space="preserve"> </w:t>
      </w:r>
      <w:r w:rsidR="00381FF9">
        <w:rPr>
          <w:rFonts w:cs="Arial"/>
        </w:rPr>
        <w:t>is reflected in</w:t>
      </w:r>
      <w:r w:rsidRPr="00380AB4">
        <w:rPr>
          <w:rFonts w:cs="Arial"/>
        </w:rPr>
        <w:t xml:space="preserve"> significant increases in the</w:t>
      </w:r>
      <w:r>
        <w:rPr>
          <w:rFonts w:cs="Arial"/>
        </w:rPr>
        <w:t xml:space="preserve"> </w:t>
      </w:r>
      <w:r w:rsidRPr="00380AB4">
        <w:rPr>
          <w:rFonts w:cs="Arial"/>
        </w:rPr>
        <w:t>wholesale price of seafood and rising food prices in general</w:t>
      </w:r>
      <w:r>
        <w:rPr>
          <w:rStyle w:val="FootnoteReference"/>
          <w:rFonts w:cs="Arial"/>
        </w:rPr>
        <w:footnoteReference w:id="14"/>
      </w:r>
      <w:r w:rsidRPr="00380AB4">
        <w:rPr>
          <w:rFonts w:cs="Arial"/>
        </w:rPr>
        <w:t xml:space="preserve">. </w:t>
      </w:r>
    </w:p>
    <w:p w14:paraId="400CF90C" w14:textId="77777777" w:rsidR="00380AB4" w:rsidRDefault="00380AB4" w:rsidP="00C93734">
      <w:pPr>
        <w:jc w:val="both"/>
        <w:rPr>
          <w:rFonts w:cs="Arial"/>
        </w:rPr>
      </w:pPr>
      <w:r w:rsidRPr="00EC0389">
        <w:rPr>
          <w:rFonts w:cs="Arial"/>
        </w:rPr>
        <w:t>Since the 1960s, there have been huge changes in the way in which raw food materials (</w:t>
      </w:r>
      <w:r>
        <w:rPr>
          <w:rFonts w:cs="Arial"/>
        </w:rPr>
        <w:t xml:space="preserve">especially </w:t>
      </w:r>
      <w:r w:rsidRPr="00EC0389">
        <w:rPr>
          <w:rFonts w:cs="Arial"/>
        </w:rPr>
        <w:t xml:space="preserve">fish) are converted into food products, the way products are marketed and the way </w:t>
      </w:r>
      <w:r w:rsidR="0091189A">
        <w:rPr>
          <w:rFonts w:cs="Arial"/>
        </w:rPr>
        <w:t>consumers</w:t>
      </w:r>
      <w:r w:rsidR="0091189A" w:rsidRPr="00EC0389">
        <w:rPr>
          <w:rFonts w:cs="Arial"/>
        </w:rPr>
        <w:t xml:space="preserve"> </w:t>
      </w:r>
      <w:r w:rsidRPr="00EC0389">
        <w:rPr>
          <w:rFonts w:cs="Arial"/>
        </w:rPr>
        <w:t xml:space="preserve">buy and use them. </w:t>
      </w:r>
      <w:r>
        <w:rPr>
          <w:rFonts w:cs="Arial"/>
        </w:rPr>
        <w:t xml:space="preserve">The </w:t>
      </w:r>
      <w:r w:rsidRPr="00EE7B23">
        <w:rPr>
          <w:rFonts w:cs="Arial"/>
        </w:rPr>
        <w:t xml:space="preserve">market </w:t>
      </w:r>
      <w:r>
        <w:rPr>
          <w:rFonts w:cs="Arial"/>
        </w:rPr>
        <w:t xml:space="preserve">for fish </w:t>
      </w:r>
      <w:r w:rsidRPr="00EE7B23">
        <w:rPr>
          <w:rFonts w:cs="Arial"/>
        </w:rPr>
        <w:t>is highly competitive</w:t>
      </w:r>
      <w:r>
        <w:rPr>
          <w:rFonts w:cs="Arial"/>
        </w:rPr>
        <w:t xml:space="preserve"> and </w:t>
      </w:r>
      <w:r w:rsidRPr="00EE7B23">
        <w:rPr>
          <w:rFonts w:cs="Arial"/>
        </w:rPr>
        <w:t xml:space="preserve">processors </w:t>
      </w:r>
      <w:r>
        <w:rPr>
          <w:rFonts w:cs="Arial"/>
        </w:rPr>
        <w:t xml:space="preserve">are constantly under pressure to </w:t>
      </w:r>
      <w:r w:rsidRPr="00EE7B23">
        <w:rPr>
          <w:rFonts w:cs="Arial"/>
        </w:rPr>
        <w:t>reduce costs</w:t>
      </w:r>
      <w:r>
        <w:rPr>
          <w:rFonts w:cs="Arial"/>
        </w:rPr>
        <w:t xml:space="preserve">, </w:t>
      </w:r>
      <w:r w:rsidRPr="00EE7B23">
        <w:rPr>
          <w:rFonts w:cs="Arial"/>
        </w:rPr>
        <w:t xml:space="preserve">stimulate demand </w:t>
      </w:r>
      <w:r>
        <w:rPr>
          <w:rFonts w:cs="Arial"/>
        </w:rPr>
        <w:t>and improve</w:t>
      </w:r>
      <w:r w:rsidRPr="00EE7B23">
        <w:rPr>
          <w:rFonts w:cs="Arial"/>
        </w:rPr>
        <w:t xml:space="preserve"> the end product. This is often difficult to do using traditional practices, and so the industry has develop</w:t>
      </w:r>
      <w:r>
        <w:rPr>
          <w:rFonts w:cs="Arial"/>
        </w:rPr>
        <w:t>ed</w:t>
      </w:r>
      <w:r w:rsidRPr="00EE7B23">
        <w:rPr>
          <w:rFonts w:cs="Arial"/>
        </w:rPr>
        <w:t xml:space="preserve"> </w:t>
      </w:r>
      <w:r>
        <w:rPr>
          <w:rFonts w:cs="Arial"/>
        </w:rPr>
        <w:t xml:space="preserve">innovative </w:t>
      </w:r>
      <w:r w:rsidRPr="00EE7B23">
        <w:rPr>
          <w:rFonts w:cs="Arial"/>
        </w:rPr>
        <w:t>processing methods.</w:t>
      </w:r>
      <w:r w:rsidRPr="00380AB4">
        <w:rPr>
          <w:rFonts w:cs="Arial"/>
        </w:rPr>
        <w:t xml:space="preserve"> There is confidence</w:t>
      </w:r>
      <w:r w:rsidR="0012616E">
        <w:rPr>
          <w:rFonts w:cs="Arial"/>
        </w:rPr>
        <w:t xml:space="preserve"> in Grimsby</w:t>
      </w:r>
      <w:r w:rsidRPr="00380AB4">
        <w:rPr>
          <w:rFonts w:cs="Arial"/>
        </w:rPr>
        <w:t xml:space="preserve"> that the industry will maintain its </w:t>
      </w:r>
      <w:r w:rsidR="0012616E">
        <w:rPr>
          <w:rFonts w:cs="Arial"/>
        </w:rPr>
        <w:t>dominance</w:t>
      </w:r>
      <w:r w:rsidRPr="00380AB4">
        <w:rPr>
          <w:rFonts w:cs="Arial"/>
        </w:rPr>
        <w:t xml:space="preserve"> and potentially grow.</w:t>
      </w:r>
    </w:p>
    <w:p w14:paraId="4CBB0B63" w14:textId="77777777" w:rsidR="004050AE" w:rsidRDefault="004050AE" w:rsidP="00C93734">
      <w:pPr>
        <w:jc w:val="both"/>
        <w:rPr>
          <w:rFonts w:cs="Arial"/>
        </w:rPr>
      </w:pPr>
      <w:r>
        <w:rPr>
          <w:rFonts w:cs="Arial"/>
        </w:rPr>
        <w:t xml:space="preserve">It is felt by many businesses that the future </w:t>
      </w:r>
      <w:r w:rsidR="0063025A">
        <w:rPr>
          <w:rFonts w:cs="Arial"/>
        </w:rPr>
        <w:t xml:space="preserve">of </w:t>
      </w:r>
      <w:r w:rsidR="008747B6">
        <w:rPr>
          <w:rFonts w:cs="Arial"/>
        </w:rPr>
        <w:t>NEL</w:t>
      </w:r>
      <w:r w:rsidR="0063025A">
        <w:rPr>
          <w:rFonts w:cs="Arial"/>
        </w:rPr>
        <w:t xml:space="preserve"> </w:t>
      </w:r>
      <w:r>
        <w:rPr>
          <w:rFonts w:cs="Arial"/>
        </w:rPr>
        <w:t>will also be linked to fish.</w:t>
      </w:r>
      <w:r w:rsidR="0063025A">
        <w:rPr>
          <w:rFonts w:cs="Arial"/>
        </w:rPr>
        <w:t xml:space="preserve"> As the brief economic history above explained, the area ha</w:t>
      </w:r>
      <w:r w:rsidR="0091189A">
        <w:rPr>
          <w:rFonts w:cs="Arial"/>
        </w:rPr>
        <w:t>d</w:t>
      </w:r>
      <w:r w:rsidR="0063025A">
        <w:rPr>
          <w:rFonts w:cs="Arial"/>
        </w:rPr>
        <w:t xml:space="preserve"> previously been </w:t>
      </w:r>
      <w:r w:rsidR="00EE7B23">
        <w:rPr>
          <w:rFonts w:cs="Arial"/>
        </w:rPr>
        <w:t>central to the UK</w:t>
      </w:r>
      <w:r w:rsidR="008747B6">
        <w:rPr>
          <w:rFonts w:cs="Arial"/>
        </w:rPr>
        <w:t>’s</w:t>
      </w:r>
      <w:r w:rsidR="00EE7B23">
        <w:rPr>
          <w:rFonts w:cs="Arial"/>
        </w:rPr>
        <w:t xml:space="preserve"> </w:t>
      </w:r>
      <w:r w:rsidR="0063025A">
        <w:rPr>
          <w:rFonts w:cs="Arial"/>
        </w:rPr>
        <w:t xml:space="preserve">maritime and fishing </w:t>
      </w:r>
      <w:r w:rsidR="00EE7B23">
        <w:rPr>
          <w:rFonts w:cs="Arial"/>
        </w:rPr>
        <w:t xml:space="preserve">economy, with trawlers landing their catch at the docks. The legacy </w:t>
      </w:r>
      <w:r w:rsidR="0091189A">
        <w:rPr>
          <w:rFonts w:cs="Arial"/>
        </w:rPr>
        <w:t xml:space="preserve">of this historic role is evident </w:t>
      </w:r>
      <w:r w:rsidR="00EE7B23">
        <w:rPr>
          <w:rFonts w:cs="Arial"/>
        </w:rPr>
        <w:t xml:space="preserve">in the current </w:t>
      </w:r>
      <w:r w:rsidR="008747B6">
        <w:rPr>
          <w:rFonts w:cs="Arial"/>
        </w:rPr>
        <w:t>NEL</w:t>
      </w:r>
      <w:r w:rsidR="00EE7B23">
        <w:rPr>
          <w:rFonts w:cs="Arial"/>
        </w:rPr>
        <w:t xml:space="preserve"> economy with:</w:t>
      </w:r>
    </w:p>
    <w:p w14:paraId="3EB0C07D" w14:textId="77777777" w:rsidR="00EE7B23" w:rsidRPr="00EE7B23" w:rsidRDefault="00EE7B23" w:rsidP="00C93734">
      <w:pPr>
        <w:pStyle w:val="ListParagraph"/>
        <w:numPr>
          <w:ilvl w:val="0"/>
          <w:numId w:val="22"/>
        </w:numPr>
        <w:jc w:val="both"/>
        <w:rPr>
          <w:rFonts w:cs="Arial"/>
        </w:rPr>
      </w:pPr>
      <w:r w:rsidRPr="00EE7B23">
        <w:rPr>
          <w:rFonts w:cs="Arial"/>
        </w:rPr>
        <w:t>Key businesses in the fish processing industry like Young</w:t>
      </w:r>
      <w:r w:rsidR="009B5CFE">
        <w:rPr>
          <w:rFonts w:cs="Arial"/>
        </w:rPr>
        <w:t>’</w:t>
      </w:r>
      <w:r w:rsidRPr="00EE7B23">
        <w:rPr>
          <w:rFonts w:cs="Arial"/>
        </w:rPr>
        <w:t>s and Icelandic Seachill.</w:t>
      </w:r>
    </w:p>
    <w:p w14:paraId="1DD547FD" w14:textId="77777777" w:rsidR="00EE7B23" w:rsidRPr="00EE7B23" w:rsidRDefault="00EE7B23" w:rsidP="00C93734">
      <w:pPr>
        <w:pStyle w:val="ListParagraph"/>
        <w:numPr>
          <w:ilvl w:val="0"/>
          <w:numId w:val="22"/>
        </w:numPr>
        <w:jc w:val="both"/>
        <w:rPr>
          <w:rFonts w:cs="Arial"/>
        </w:rPr>
      </w:pPr>
      <w:r w:rsidRPr="00EE7B23">
        <w:rPr>
          <w:rFonts w:cs="Arial"/>
        </w:rPr>
        <w:t>Key assets like the Grimsby Fish Market and training facilities at Grimsby Institute for Further Education.</w:t>
      </w:r>
    </w:p>
    <w:p w14:paraId="1A3780D1" w14:textId="77777777" w:rsidR="00EE7B23" w:rsidRDefault="00EE7B23" w:rsidP="00C93734">
      <w:pPr>
        <w:pStyle w:val="ListParagraph"/>
        <w:numPr>
          <w:ilvl w:val="0"/>
          <w:numId w:val="22"/>
        </w:numPr>
        <w:jc w:val="both"/>
        <w:rPr>
          <w:rFonts w:cs="Arial"/>
        </w:rPr>
      </w:pPr>
      <w:r w:rsidRPr="00EE7B23">
        <w:rPr>
          <w:rFonts w:cs="Arial"/>
        </w:rPr>
        <w:t>A workforce with skills in seafood pro</w:t>
      </w:r>
      <w:r w:rsidR="00B51737">
        <w:rPr>
          <w:rFonts w:cs="Arial"/>
        </w:rPr>
        <w:t>cessing and preparations.</w:t>
      </w:r>
    </w:p>
    <w:p w14:paraId="5E55857A" w14:textId="77777777" w:rsidR="00B51737" w:rsidRPr="00EE7B23" w:rsidRDefault="00B51737" w:rsidP="00C93734">
      <w:pPr>
        <w:pStyle w:val="ListParagraph"/>
        <w:numPr>
          <w:ilvl w:val="0"/>
          <w:numId w:val="22"/>
        </w:numPr>
        <w:jc w:val="both"/>
        <w:rPr>
          <w:rFonts w:cs="Arial"/>
        </w:rPr>
      </w:pPr>
      <w:r>
        <w:rPr>
          <w:rFonts w:cs="Arial"/>
        </w:rPr>
        <w:t>A supply chain which supports the industry and specialist businesses that contributes to the economic future of the industry.</w:t>
      </w:r>
    </w:p>
    <w:p w14:paraId="11EE71F7" w14:textId="77777777" w:rsidR="00EE7B23" w:rsidRDefault="00EE7B23" w:rsidP="00C93734">
      <w:pPr>
        <w:pStyle w:val="ListParagraph"/>
        <w:numPr>
          <w:ilvl w:val="0"/>
          <w:numId w:val="22"/>
        </w:numPr>
        <w:jc w:val="both"/>
        <w:rPr>
          <w:rFonts w:cs="Arial"/>
        </w:rPr>
      </w:pPr>
      <w:r w:rsidRPr="00EE7B23">
        <w:rPr>
          <w:rFonts w:cs="Arial"/>
        </w:rPr>
        <w:t xml:space="preserve">Links with other seafaring nations like </w:t>
      </w:r>
      <w:r w:rsidR="0052787C">
        <w:rPr>
          <w:rFonts w:cs="Arial"/>
        </w:rPr>
        <w:t>Norway</w:t>
      </w:r>
      <w:r w:rsidR="0052787C" w:rsidRPr="00EE7B23">
        <w:rPr>
          <w:rFonts w:cs="Arial"/>
        </w:rPr>
        <w:t xml:space="preserve"> </w:t>
      </w:r>
      <w:r w:rsidRPr="00EE7B23">
        <w:rPr>
          <w:rFonts w:cs="Arial"/>
        </w:rPr>
        <w:t>and Iceland.</w:t>
      </w:r>
    </w:p>
    <w:p w14:paraId="0396BFA4" w14:textId="77777777" w:rsidR="002F7137" w:rsidRPr="006E52FE" w:rsidRDefault="002F7137" w:rsidP="00C93734">
      <w:pPr>
        <w:pStyle w:val="Heading3"/>
        <w:numPr>
          <w:ilvl w:val="2"/>
          <w:numId w:val="5"/>
        </w:numPr>
        <w:jc w:val="both"/>
        <w:rPr>
          <w:b w:val="0"/>
        </w:rPr>
      </w:pPr>
      <w:r w:rsidRPr="004C4518">
        <w:t>Sector Size</w:t>
      </w:r>
    </w:p>
    <w:p w14:paraId="49429ED0" w14:textId="77777777" w:rsidR="00A019A4" w:rsidRDefault="00556361" w:rsidP="00C93734">
      <w:pPr>
        <w:jc w:val="both"/>
      </w:pPr>
      <w:r w:rsidRPr="006E52FE">
        <w:t xml:space="preserve">The sector </w:t>
      </w:r>
      <w:r w:rsidR="0012616E" w:rsidRPr="006E52FE">
        <w:t xml:space="preserve">accounts for some of the largest employers in </w:t>
      </w:r>
      <w:r w:rsidR="008747B6">
        <w:t>NEL:</w:t>
      </w:r>
      <w:r w:rsidR="008747B6" w:rsidRPr="006E52FE">
        <w:t xml:space="preserve"> </w:t>
      </w:r>
      <w:r w:rsidR="0012616E" w:rsidRPr="006E52FE">
        <w:t>for example, Young</w:t>
      </w:r>
      <w:r w:rsidR="00C415F6" w:rsidRPr="006E52FE">
        <w:t>’</w:t>
      </w:r>
      <w:r w:rsidR="0012616E" w:rsidRPr="006E52FE">
        <w:t>s e</w:t>
      </w:r>
      <w:r w:rsidR="006E52FE" w:rsidRPr="006E52FE">
        <w:t xml:space="preserve">mploy </w:t>
      </w:r>
      <w:r w:rsidR="00374100">
        <w:t>approximately</w:t>
      </w:r>
      <w:r w:rsidR="006E52FE" w:rsidRPr="006E52FE">
        <w:t xml:space="preserve"> </w:t>
      </w:r>
      <w:r w:rsidR="0052787C" w:rsidRPr="006E52FE">
        <w:t>1</w:t>
      </w:r>
      <w:r w:rsidR="009B5CFE">
        <w:t>,8</w:t>
      </w:r>
      <w:r w:rsidR="0052787C" w:rsidRPr="006E52FE">
        <w:t>00</w:t>
      </w:r>
      <w:r w:rsidR="0052787C">
        <w:t xml:space="preserve"> people</w:t>
      </w:r>
      <w:r w:rsidR="0012616E">
        <w:t xml:space="preserve"> in the Humber </w:t>
      </w:r>
      <w:r w:rsidR="00374100">
        <w:t>area</w:t>
      </w:r>
      <w:r w:rsidR="0012616E">
        <w:t>.  In</w:t>
      </w:r>
      <w:r>
        <w:t xml:space="preserve"> 2013</w:t>
      </w:r>
      <w:r w:rsidR="0012616E">
        <w:t>, the sector</w:t>
      </w:r>
      <w:r>
        <w:t xml:space="preserve"> employed </w:t>
      </w:r>
      <w:r w:rsidR="0012616E">
        <w:t xml:space="preserve">approximately </w:t>
      </w:r>
      <w:r>
        <w:t xml:space="preserve">4,100 people across </w:t>
      </w:r>
      <w:r w:rsidR="00E5137A">
        <w:t>90</w:t>
      </w:r>
      <w:r>
        <w:t xml:space="preserve"> firms. The industry has a smaller proportion of SMEs</w:t>
      </w:r>
      <w:r w:rsidR="00D339E0">
        <w:t xml:space="preserve"> and micro</w:t>
      </w:r>
      <w:r w:rsidR="0012616E">
        <w:t>-</w:t>
      </w:r>
      <w:r w:rsidR="00D339E0">
        <w:t>businesses</w:t>
      </w:r>
      <w:r>
        <w:t xml:space="preserve"> </w:t>
      </w:r>
      <w:r w:rsidR="0012616E">
        <w:t>compared to the other 4</w:t>
      </w:r>
      <w:r>
        <w:t xml:space="preserve"> </w:t>
      </w:r>
      <w:r w:rsidR="00D339E0">
        <w:t xml:space="preserve">key </w:t>
      </w:r>
      <w:r w:rsidR="0012616E">
        <w:t xml:space="preserve">sectors which reflects </w:t>
      </w:r>
      <w:r w:rsidR="00C415F6">
        <w:t>the</w:t>
      </w:r>
      <w:r w:rsidR="0012616E">
        <w:t xml:space="preserve"> importance of relatively large firm</w:t>
      </w:r>
      <w:r w:rsidR="00D06940">
        <w:t>s in the sector</w:t>
      </w:r>
      <w:r w:rsidR="00374100">
        <w:t xml:space="preserve"> (see Table 5</w:t>
      </w:r>
      <w:r w:rsidR="0012616E">
        <w:t>.1).</w:t>
      </w:r>
      <w:r w:rsidR="00A019A4" w:rsidRPr="00A019A4">
        <w:t xml:space="preserve"> </w:t>
      </w:r>
    </w:p>
    <w:p w14:paraId="1BD38029" w14:textId="77777777" w:rsidR="00556361" w:rsidRDefault="00A019A4" w:rsidP="00C93734">
      <w:pPr>
        <w:jc w:val="both"/>
      </w:pPr>
      <w:r>
        <w:t>Changes within large companies can</w:t>
      </w:r>
      <w:r w:rsidR="0091189A">
        <w:t xml:space="preserve"> therefore</w:t>
      </w:r>
      <w:r>
        <w:t xml:space="preserve"> affect the overall employment levels for the sector. There </w:t>
      </w:r>
      <w:r w:rsidR="008747B6">
        <w:t xml:space="preserve">are </w:t>
      </w:r>
      <w:r>
        <w:t xml:space="preserve">a </w:t>
      </w:r>
      <w:r w:rsidR="0091189A">
        <w:t xml:space="preserve">large </w:t>
      </w:r>
      <w:r>
        <w:t>proportion of employees that can be affected by structural changes within a firm. Furthermore, there are important headquartered firms in the local area</w:t>
      </w:r>
      <w:r w:rsidR="000E0FA5">
        <w:t>:</w:t>
      </w:r>
      <w:r>
        <w:t xml:space="preserve"> </w:t>
      </w:r>
      <w:r w:rsidR="000E0FA5">
        <w:t xml:space="preserve">Youngs, </w:t>
      </w:r>
      <w:r>
        <w:t>for example, generates jobs in other areas of the county with processing activities, transport and other functions based around the UK.</w:t>
      </w:r>
    </w:p>
    <w:p w14:paraId="1BE85C45" w14:textId="77777777" w:rsidR="00D8354B" w:rsidRDefault="00D8354B" w:rsidP="00C93734">
      <w:pPr>
        <w:pStyle w:val="Caption"/>
        <w:jc w:val="both"/>
      </w:pPr>
      <w:bookmarkStart w:id="575" w:name="_Toc383159693"/>
      <w:r>
        <w:t xml:space="preserve">Table </w:t>
      </w:r>
      <w:fldSimple w:instr=" STYLEREF 1 \s  \* MERGEFORMAT ">
        <w:r w:rsidR="00E95E1A">
          <w:rPr>
            <w:noProof/>
          </w:rPr>
          <w:t>5</w:t>
        </w:r>
      </w:fldSimple>
      <w:r>
        <w:t>-</w:t>
      </w:r>
      <w:fldSimple w:instr=" SEQ Table \* ARABIC \s 1  \* MERGEFORMAT ">
        <w:r w:rsidR="00E95E1A">
          <w:rPr>
            <w:noProof/>
          </w:rPr>
          <w:t>1</w:t>
        </w:r>
      </w:fldSimple>
      <w:r>
        <w:tab/>
        <w:t xml:space="preserve">% of Firms by Employment Size </w:t>
      </w:r>
      <w:r w:rsidR="009405CE">
        <w:t>B</w:t>
      </w:r>
      <w:r>
        <w:t>and</w:t>
      </w:r>
      <w:bookmarkEnd w:id="575"/>
    </w:p>
    <w:tbl>
      <w:tblPr>
        <w:tblStyle w:val="Atkins14pt"/>
        <w:tblpPr w:leftFromText="180" w:rightFromText="180" w:vertAnchor="text" w:horzAnchor="margin" w:tblpY="43"/>
        <w:tblW w:w="9405" w:type="dxa"/>
        <w:tblInd w:w="0" w:type="dxa"/>
        <w:tblLook w:val="04A0" w:firstRow="1" w:lastRow="0" w:firstColumn="1" w:lastColumn="0" w:noHBand="0" w:noVBand="1"/>
      </w:tblPr>
      <w:tblGrid>
        <w:gridCol w:w="2457"/>
        <w:gridCol w:w="849"/>
        <w:gridCol w:w="850"/>
        <w:gridCol w:w="850"/>
        <w:gridCol w:w="850"/>
        <w:gridCol w:w="850"/>
        <w:gridCol w:w="954"/>
        <w:gridCol w:w="850"/>
        <w:gridCol w:w="895"/>
      </w:tblGrid>
      <w:tr w:rsidR="00D8354B" w:rsidRPr="00E5137A" w14:paraId="32AAAAFE" w14:textId="77777777" w:rsidTr="00D8354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457" w:type="dxa"/>
            <w:noWrap/>
            <w:hideMark/>
          </w:tcPr>
          <w:p w14:paraId="3C287F76" w14:textId="77777777" w:rsidR="00D8354B" w:rsidRPr="00282B77" w:rsidRDefault="00D8354B" w:rsidP="00C93734">
            <w:pPr>
              <w:pStyle w:val="TableHeading"/>
              <w:jc w:val="both"/>
              <w:rPr>
                <w:color w:val="auto"/>
              </w:rPr>
            </w:pPr>
            <w:r w:rsidRPr="00282B77">
              <w:rPr>
                <w:color w:val="auto"/>
              </w:rPr>
              <w:t>Size</w:t>
            </w:r>
            <w:r w:rsidR="0012616E" w:rsidRPr="00282B77">
              <w:rPr>
                <w:color w:val="auto"/>
              </w:rPr>
              <w:t xml:space="preserve"> (employees)</w:t>
            </w:r>
          </w:p>
        </w:tc>
        <w:tc>
          <w:tcPr>
            <w:tcW w:w="849" w:type="dxa"/>
            <w:noWrap/>
            <w:hideMark/>
          </w:tcPr>
          <w:p w14:paraId="78AE94C6" w14:textId="77777777" w:rsidR="00D8354B" w:rsidRPr="00282B77" w:rsidRDefault="00D8354B" w:rsidP="00C93734">
            <w:pPr>
              <w:pStyle w:val="TableHeading"/>
              <w:jc w:val="both"/>
              <w:cnfStyle w:val="100000000000" w:firstRow="1" w:lastRow="0" w:firstColumn="0" w:lastColumn="0" w:oddVBand="0" w:evenVBand="0" w:oddHBand="0" w:evenHBand="0" w:firstRowFirstColumn="0" w:firstRowLastColumn="0" w:lastRowFirstColumn="0" w:lastRowLastColumn="0"/>
              <w:rPr>
                <w:color w:val="auto"/>
              </w:rPr>
            </w:pPr>
            <w:r w:rsidRPr="00282B77">
              <w:rPr>
                <w:color w:val="auto"/>
              </w:rPr>
              <w:t>0-10</w:t>
            </w:r>
          </w:p>
        </w:tc>
        <w:tc>
          <w:tcPr>
            <w:tcW w:w="850" w:type="dxa"/>
            <w:noWrap/>
            <w:hideMark/>
          </w:tcPr>
          <w:p w14:paraId="5C8E77FF" w14:textId="77777777" w:rsidR="00D8354B" w:rsidRPr="00282B77" w:rsidRDefault="00D8354B" w:rsidP="00C93734">
            <w:pPr>
              <w:pStyle w:val="TableHeading"/>
              <w:jc w:val="both"/>
              <w:cnfStyle w:val="100000000000" w:firstRow="1" w:lastRow="0" w:firstColumn="0" w:lastColumn="0" w:oddVBand="0" w:evenVBand="0" w:oddHBand="0" w:evenHBand="0" w:firstRowFirstColumn="0" w:firstRowLastColumn="0" w:lastRowFirstColumn="0" w:lastRowLastColumn="0"/>
              <w:rPr>
                <w:color w:val="auto"/>
              </w:rPr>
            </w:pPr>
            <w:r w:rsidRPr="00282B77">
              <w:rPr>
                <w:color w:val="auto"/>
              </w:rPr>
              <w:t>11-20</w:t>
            </w:r>
          </w:p>
        </w:tc>
        <w:tc>
          <w:tcPr>
            <w:tcW w:w="850" w:type="dxa"/>
            <w:noWrap/>
            <w:hideMark/>
          </w:tcPr>
          <w:p w14:paraId="609E6C71" w14:textId="77777777" w:rsidR="00D8354B" w:rsidRPr="00282B77" w:rsidRDefault="00D8354B" w:rsidP="00C93734">
            <w:pPr>
              <w:pStyle w:val="TableHeading"/>
              <w:jc w:val="both"/>
              <w:cnfStyle w:val="100000000000" w:firstRow="1" w:lastRow="0" w:firstColumn="0" w:lastColumn="0" w:oddVBand="0" w:evenVBand="0" w:oddHBand="0" w:evenHBand="0" w:firstRowFirstColumn="0" w:firstRowLastColumn="0" w:lastRowFirstColumn="0" w:lastRowLastColumn="0"/>
              <w:rPr>
                <w:color w:val="auto"/>
              </w:rPr>
            </w:pPr>
            <w:r w:rsidRPr="00282B77">
              <w:rPr>
                <w:color w:val="auto"/>
              </w:rPr>
              <w:t>21-50</w:t>
            </w:r>
          </w:p>
        </w:tc>
        <w:tc>
          <w:tcPr>
            <w:tcW w:w="850" w:type="dxa"/>
            <w:noWrap/>
            <w:hideMark/>
          </w:tcPr>
          <w:p w14:paraId="38B32017" w14:textId="77777777" w:rsidR="00D8354B" w:rsidRPr="00282B77" w:rsidRDefault="00D8354B" w:rsidP="00C93734">
            <w:pPr>
              <w:pStyle w:val="TableHeading"/>
              <w:jc w:val="both"/>
              <w:cnfStyle w:val="100000000000" w:firstRow="1" w:lastRow="0" w:firstColumn="0" w:lastColumn="0" w:oddVBand="0" w:evenVBand="0" w:oddHBand="0" w:evenHBand="0" w:firstRowFirstColumn="0" w:firstRowLastColumn="0" w:lastRowFirstColumn="0" w:lastRowLastColumn="0"/>
              <w:rPr>
                <w:color w:val="auto"/>
              </w:rPr>
            </w:pPr>
            <w:r w:rsidRPr="00282B77">
              <w:rPr>
                <w:color w:val="auto"/>
              </w:rPr>
              <w:t>51-100</w:t>
            </w:r>
          </w:p>
        </w:tc>
        <w:tc>
          <w:tcPr>
            <w:tcW w:w="850" w:type="dxa"/>
            <w:noWrap/>
            <w:hideMark/>
          </w:tcPr>
          <w:p w14:paraId="4AE2E18E" w14:textId="77777777" w:rsidR="00D8354B" w:rsidRPr="00282B77" w:rsidRDefault="00D8354B" w:rsidP="00C93734">
            <w:pPr>
              <w:pStyle w:val="TableHeading"/>
              <w:jc w:val="both"/>
              <w:cnfStyle w:val="100000000000" w:firstRow="1" w:lastRow="0" w:firstColumn="0" w:lastColumn="0" w:oddVBand="0" w:evenVBand="0" w:oddHBand="0" w:evenHBand="0" w:firstRowFirstColumn="0" w:firstRowLastColumn="0" w:lastRowFirstColumn="0" w:lastRowLastColumn="0"/>
              <w:rPr>
                <w:color w:val="auto"/>
              </w:rPr>
            </w:pPr>
            <w:r w:rsidRPr="00282B77">
              <w:rPr>
                <w:color w:val="auto"/>
              </w:rPr>
              <w:t>101-250</w:t>
            </w:r>
          </w:p>
        </w:tc>
        <w:tc>
          <w:tcPr>
            <w:tcW w:w="954" w:type="dxa"/>
            <w:noWrap/>
            <w:hideMark/>
          </w:tcPr>
          <w:p w14:paraId="7CF3DE32" w14:textId="77777777" w:rsidR="00D8354B" w:rsidRPr="00282B77" w:rsidRDefault="00D8354B" w:rsidP="00C93734">
            <w:pPr>
              <w:pStyle w:val="TableHeading"/>
              <w:jc w:val="both"/>
              <w:cnfStyle w:val="100000000000" w:firstRow="1" w:lastRow="0" w:firstColumn="0" w:lastColumn="0" w:oddVBand="0" w:evenVBand="0" w:oddHBand="0" w:evenHBand="0" w:firstRowFirstColumn="0" w:firstRowLastColumn="0" w:lastRowFirstColumn="0" w:lastRowLastColumn="0"/>
              <w:rPr>
                <w:color w:val="auto"/>
              </w:rPr>
            </w:pPr>
            <w:r w:rsidRPr="00282B77">
              <w:rPr>
                <w:color w:val="auto"/>
              </w:rPr>
              <w:t>250-500</w:t>
            </w:r>
          </w:p>
        </w:tc>
        <w:tc>
          <w:tcPr>
            <w:tcW w:w="850" w:type="dxa"/>
            <w:noWrap/>
            <w:hideMark/>
          </w:tcPr>
          <w:p w14:paraId="32A02DA9" w14:textId="77777777" w:rsidR="00D8354B" w:rsidRPr="00282B77" w:rsidRDefault="00D8354B" w:rsidP="00C93734">
            <w:pPr>
              <w:pStyle w:val="TableHeading"/>
              <w:jc w:val="both"/>
              <w:cnfStyle w:val="100000000000" w:firstRow="1" w:lastRow="0" w:firstColumn="0" w:lastColumn="0" w:oddVBand="0" w:evenVBand="0" w:oddHBand="0" w:evenHBand="0" w:firstRowFirstColumn="0" w:firstRowLastColumn="0" w:lastRowFirstColumn="0" w:lastRowLastColumn="0"/>
              <w:rPr>
                <w:color w:val="auto"/>
              </w:rPr>
            </w:pPr>
            <w:r w:rsidRPr="00282B77">
              <w:rPr>
                <w:color w:val="auto"/>
              </w:rPr>
              <w:t>500+</w:t>
            </w:r>
          </w:p>
        </w:tc>
        <w:tc>
          <w:tcPr>
            <w:tcW w:w="895" w:type="dxa"/>
            <w:noWrap/>
            <w:hideMark/>
          </w:tcPr>
          <w:p w14:paraId="46046BDC" w14:textId="77777777" w:rsidR="00D8354B" w:rsidRPr="00282B77" w:rsidRDefault="00D8354B" w:rsidP="00C93734">
            <w:pPr>
              <w:pStyle w:val="TableHeading"/>
              <w:jc w:val="both"/>
              <w:cnfStyle w:val="100000000000" w:firstRow="1" w:lastRow="0" w:firstColumn="0" w:lastColumn="0" w:oddVBand="0" w:evenVBand="0" w:oddHBand="0" w:evenHBand="0" w:firstRowFirstColumn="0" w:firstRowLastColumn="0" w:lastRowFirstColumn="0" w:lastRowLastColumn="0"/>
              <w:rPr>
                <w:color w:val="auto"/>
              </w:rPr>
            </w:pPr>
            <w:r w:rsidRPr="00282B77">
              <w:rPr>
                <w:color w:val="auto"/>
              </w:rPr>
              <w:t>Total</w:t>
            </w:r>
          </w:p>
        </w:tc>
      </w:tr>
      <w:tr w:rsidR="00D8354B" w:rsidRPr="00E5137A" w14:paraId="4624BE5D" w14:textId="77777777" w:rsidTr="00D8354B">
        <w:trPr>
          <w:trHeight w:val="255"/>
        </w:trPr>
        <w:tc>
          <w:tcPr>
            <w:cnfStyle w:val="001000000000" w:firstRow="0" w:lastRow="0" w:firstColumn="1" w:lastColumn="0" w:oddVBand="0" w:evenVBand="0" w:oddHBand="0" w:evenHBand="0" w:firstRowFirstColumn="0" w:firstRowLastColumn="0" w:lastRowFirstColumn="0" w:lastRowLastColumn="0"/>
            <w:tcW w:w="2457" w:type="dxa"/>
            <w:noWrap/>
            <w:hideMark/>
          </w:tcPr>
          <w:p w14:paraId="586EA478" w14:textId="77777777" w:rsidR="00D8354B" w:rsidRPr="00282B77" w:rsidRDefault="00D8354B" w:rsidP="00C93734">
            <w:pPr>
              <w:pStyle w:val="TableHeading"/>
              <w:jc w:val="both"/>
              <w:rPr>
                <w:color w:val="auto"/>
              </w:rPr>
            </w:pPr>
            <w:r w:rsidRPr="00282B77">
              <w:rPr>
                <w:color w:val="auto"/>
              </w:rPr>
              <w:t>Food Processing</w:t>
            </w:r>
          </w:p>
        </w:tc>
        <w:tc>
          <w:tcPr>
            <w:tcW w:w="849" w:type="dxa"/>
            <w:noWrap/>
            <w:hideMark/>
          </w:tcPr>
          <w:p w14:paraId="27A87366" w14:textId="77777777" w:rsidR="00D8354B" w:rsidRPr="00282B77" w:rsidRDefault="00D8354B" w:rsidP="00C93734">
            <w:pPr>
              <w:pStyle w:val="TableHeading"/>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63.6%</w:t>
            </w:r>
          </w:p>
        </w:tc>
        <w:tc>
          <w:tcPr>
            <w:tcW w:w="850" w:type="dxa"/>
            <w:noWrap/>
            <w:hideMark/>
          </w:tcPr>
          <w:p w14:paraId="045FE7CD" w14:textId="77777777" w:rsidR="00D8354B" w:rsidRPr="00282B77" w:rsidRDefault="00D8354B" w:rsidP="00C93734">
            <w:pPr>
              <w:pStyle w:val="TableHeading"/>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8.0%</w:t>
            </w:r>
          </w:p>
        </w:tc>
        <w:tc>
          <w:tcPr>
            <w:tcW w:w="850" w:type="dxa"/>
            <w:noWrap/>
            <w:hideMark/>
          </w:tcPr>
          <w:p w14:paraId="6E4C4B7B" w14:textId="77777777" w:rsidR="00D8354B" w:rsidRPr="00282B77" w:rsidRDefault="00D8354B" w:rsidP="00C93734">
            <w:pPr>
              <w:pStyle w:val="TableHeading"/>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12.5%</w:t>
            </w:r>
          </w:p>
        </w:tc>
        <w:tc>
          <w:tcPr>
            <w:tcW w:w="850" w:type="dxa"/>
            <w:noWrap/>
            <w:hideMark/>
          </w:tcPr>
          <w:p w14:paraId="7FF8ADBC" w14:textId="77777777" w:rsidR="00D8354B" w:rsidRPr="00282B77" w:rsidRDefault="00D8354B" w:rsidP="00C93734">
            <w:pPr>
              <w:pStyle w:val="TableHeading"/>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3.4%</w:t>
            </w:r>
          </w:p>
        </w:tc>
        <w:tc>
          <w:tcPr>
            <w:tcW w:w="850" w:type="dxa"/>
            <w:noWrap/>
            <w:hideMark/>
          </w:tcPr>
          <w:p w14:paraId="022DEF79" w14:textId="77777777" w:rsidR="00D8354B" w:rsidRPr="00282B77" w:rsidRDefault="00D8354B" w:rsidP="00C93734">
            <w:pPr>
              <w:pStyle w:val="TableHeading"/>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3.4%</w:t>
            </w:r>
          </w:p>
        </w:tc>
        <w:tc>
          <w:tcPr>
            <w:tcW w:w="954" w:type="dxa"/>
            <w:noWrap/>
            <w:hideMark/>
          </w:tcPr>
          <w:p w14:paraId="3748B745" w14:textId="77777777" w:rsidR="00D8354B" w:rsidRPr="00282B77" w:rsidRDefault="00D8354B" w:rsidP="00C93734">
            <w:pPr>
              <w:pStyle w:val="TableHeading"/>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9.1%</w:t>
            </w:r>
          </w:p>
        </w:tc>
        <w:tc>
          <w:tcPr>
            <w:tcW w:w="850" w:type="dxa"/>
            <w:noWrap/>
            <w:hideMark/>
          </w:tcPr>
          <w:p w14:paraId="7BABA263" w14:textId="77777777" w:rsidR="00D8354B" w:rsidRPr="00282B77" w:rsidRDefault="00D8354B" w:rsidP="00C93734">
            <w:pPr>
              <w:pStyle w:val="TableHeading"/>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0.0%</w:t>
            </w:r>
          </w:p>
        </w:tc>
        <w:tc>
          <w:tcPr>
            <w:tcW w:w="895" w:type="dxa"/>
            <w:noWrap/>
            <w:hideMark/>
          </w:tcPr>
          <w:p w14:paraId="0281BC62" w14:textId="77777777" w:rsidR="00D8354B" w:rsidRPr="00282B77" w:rsidRDefault="00D8354B" w:rsidP="00C93734">
            <w:pPr>
              <w:pStyle w:val="TableHeading"/>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100.0%</w:t>
            </w:r>
          </w:p>
        </w:tc>
      </w:tr>
      <w:tr w:rsidR="00D8354B" w:rsidRPr="00E5137A" w14:paraId="31FEBECD" w14:textId="77777777" w:rsidTr="00D8354B">
        <w:trPr>
          <w:trHeight w:val="255"/>
        </w:trPr>
        <w:tc>
          <w:tcPr>
            <w:cnfStyle w:val="001000000000" w:firstRow="0" w:lastRow="0" w:firstColumn="1" w:lastColumn="0" w:oddVBand="0" w:evenVBand="0" w:oddHBand="0" w:evenHBand="0" w:firstRowFirstColumn="0" w:firstRowLastColumn="0" w:lastRowFirstColumn="0" w:lastRowLastColumn="0"/>
            <w:tcW w:w="2457" w:type="dxa"/>
            <w:noWrap/>
            <w:hideMark/>
          </w:tcPr>
          <w:p w14:paraId="0AA7C990" w14:textId="77777777" w:rsidR="00D8354B" w:rsidRPr="00282B77" w:rsidRDefault="00D8354B" w:rsidP="00C93734">
            <w:pPr>
              <w:pStyle w:val="TableHeading"/>
              <w:jc w:val="both"/>
              <w:rPr>
                <w:color w:val="auto"/>
              </w:rPr>
            </w:pPr>
            <w:r w:rsidRPr="00282B77">
              <w:rPr>
                <w:color w:val="auto"/>
              </w:rPr>
              <w:t xml:space="preserve">Whole </w:t>
            </w:r>
            <w:r w:rsidR="005D590A" w:rsidRPr="00282B77">
              <w:rPr>
                <w:color w:val="auto"/>
              </w:rPr>
              <w:t>NEL Economy</w:t>
            </w:r>
          </w:p>
        </w:tc>
        <w:tc>
          <w:tcPr>
            <w:tcW w:w="849" w:type="dxa"/>
            <w:noWrap/>
            <w:hideMark/>
          </w:tcPr>
          <w:p w14:paraId="61EC4046" w14:textId="77777777" w:rsidR="00D8354B" w:rsidRPr="00282B77" w:rsidRDefault="00D8354B" w:rsidP="00C93734">
            <w:pPr>
              <w:pStyle w:val="TableHeading"/>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76.4%</w:t>
            </w:r>
          </w:p>
        </w:tc>
        <w:tc>
          <w:tcPr>
            <w:tcW w:w="850" w:type="dxa"/>
            <w:noWrap/>
            <w:hideMark/>
          </w:tcPr>
          <w:p w14:paraId="3F6AA8A7" w14:textId="77777777" w:rsidR="00D8354B" w:rsidRPr="00282B77" w:rsidRDefault="00D8354B" w:rsidP="00C93734">
            <w:pPr>
              <w:pStyle w:val="TableHeading"/>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10.2%</w:t>
            </w:r>
          </w:p>
        </w:tc>
        <w:tc>
          <w:tcPr>
            <w:tcW w:w="850" w:type="dxa"/>
            <w:noWrap/>
            <w:hideMark/>
          </w:tcPr>
          <w:p w14:paraId="79D4E5BB" w14:textId="77777777" w:rsidR="00D8354B" w:rsidRPr="00282B77" w:rsidRDefault="00D8354B" w:rsidP="00C93734">
            <w:pPr>
              <w:pStyle w:val="TableHeading"/>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8.4%</w:t>
            </w:r>
          </w:p>
        </w:tc>
        <w:tc>
          <w:tcPr>
            <w:tcW w:w="850" w:type="dxa"/>
            <w:noWrap/>
            <w:hideMark/>
          </w:tcPr>
          <w:p w14:paraId="777E39AE" w14:textId="77777777" w:rsidR="00D8354B" w:rsidRPr="00282B77" w:rsidRDefault="00D8354B" w:rsidP="00C93734">
            <w:pPr>
              <w:pStyle w:val="TableHeading"/>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2.8%</w:t>
            </w:r>
          </w:p>
        </w:tc>
        <w:tc>
          <w:tcPr>
            <w:tcW w:w="850" w:type="dxa"/>
            <w:noWrap/>
            <w:hideMark/>
          </w:tcPr>
          <w:p w14:paraId="4077C711" w14:textId="77777777" w:rsidR="00D8354B" w:rsidRPr="00282B77" w:rsidRDefault="00D8354B" w:rsidP="00C93734">
            <w:pPr>
              <w:pStyle w:val="TableHeading"/>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1.5%</w:t>
            </w:r>
          </w:p>
        </w:tc>
        <w:tc>
          <w:tcPr>
            <w:tcW w:w="954" w:type="dxa"/>
            <w:noWrap/>
            <w:hideMark/>
          </w:tcPr>
          <w:p w14:paraId="4E1C9E95" w14:textId="77777777" w:rsidR="00D8354B" w:rsidRPr="00282B77" w:rsidRDefault="00D8354B" w:rsidP="00C93734">
            <w:pPr>
              <w:pStyle w:val="TableHeading"/>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0.6%</w:t>
            </w:r>
          </w:p>
        </w:tc>
        <w:tc>
          <w:tcPr>
            <w:tcW w:w="850" w:type="dxa"/>
            <w:noWrap/>
            <w:hideMark/>
          </w:tcPr>
          <w:p w14:paraId="3AFC97F1" w14:textId="77777777" w:rsidR="00D8354B" w:rsidRPr="00282B77" w:rsidRDefault="00D8354B" w:rsidP="00C93734">
            <w:pPr>
              <w:pStyle w:val="TableHeading"/>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0.2%</w:t>
            </w:r>
          </w:p>
        </w:tc>
        <w:tc>
          <w:tcPr>
            <w:tcW w:w="895" w:type="dxa"/>
            <w:noWrap/>
            <w:hideMark/>
          </w:tcPr>
          <w:p w14:paraId="075DBBEA" w14:textId="77777777" w:rsidR="00D8354B" w:rsidRPr="00282B77" w:rsidRDefault="00D8354B" w:rsidP="00C93734">
            <w:pPr>
              <w:pStyle w:val="TableHeading"/>
              <w:jc w:val="both"/>
              <w:cnfStyle w:val="000000000000" w:firstRow="0" w:lastRow="0" w:firstColumn="0" w:lastColumn="0" w:oddVBand="0" w:evenVBand="0" w:oddHBand="0" w:evenHBand="0" w:firstRowFirstColumn="0" w:firstRowLastColumn="0" w:lastRowFirstColumn="0" w:lastRowLastColumn="0"/>
              <w:rPr>
                <w:color w:val="auto"/>
              </w:rPr>
            </w:pPr>
            <w:r w:rsidRPr="00282B77">
              <w:rPr>
                <w:color w:val="auto"/>
              </w:rPr>
              <w:t>100.0%</w:t>
            </w:r>
          </w:p>
        </w:tc>
      </w:tr>
    </w:tbl>
    <w:p w14:paraId="14EA7A32" w14:textId="77777777" w:rsidR="00D8354B" w:rsidRPr="00D8354B" w:rsidRDefault="0012616E" w:rsidP="009405CE">
      <w:pPr>
        <w:pStyle w:val="TableSource"/>
      </w:pPr>
      <w:r>
        <w:t>Source:  I</w:t>
      </w:r>
      <w:r w:rsidR="005D2D0C">
        <w:t>DBR 2013</w:t>
      </w:r>
    </w:p>
    <w:p w14:paraId="025E7ABA" w14:textId="77777777" w:rsidR="00556361" w:rsidRDefault="00556361" w:rsidP="00C93734">
      <w:pPr>
        <w:jc w:val="both"/>
      </w:pPr>
      <w:r>
        <w:t xml:space="preserve">It should be </w:t>
      </w:r>
      <w:r w:rsidR="000F23F6">
        <w:t>highlighted</w:t>
      </w:r>
      <w:r>
        <w:t xml:space="preserve"> that employment in the </w:t>
      </w:r>
      <w:r w:rsidR="000F23F6">
        <w:t>sector</w:t>
      </w:r>
      <w:r>
        <w:t xml:space="preserve"> </w:t>
      </w:r>
      <w:r w:rsidR="006E52FE">
        <w:t xml:space="preserve">can be </w:t>
      </w:r>
      <w:r w:rsidR="000F23F6">
        <w:t xml:space="preserve">subject to notable variation according to fluctuations in consumer demand and factors related to seasonality.  This volatility requires </w:t>
      </w:r>
      <w:r w:rsidR="003A7678">
        <w:t xml:space="preserve">a flexible </w:t>
      </w:r>
      <w:r w:rsidR="000F23F6">
        <w:t xml:space="preserve">labour market to </w:t>
      </w:r>
      <w:r w:rsidR="003A7678">
        <w:t xml:space="preserve">accommodate </w:t>
      </w:r>
      <w:r w:rsidR="000F23F6">
        <w:t>part-time, seasonal and short-term contract work.</w:t>
      </w:r>
    </w:p>
    <w:p w14:paraId="7D96EBA3" w14:textId="77777777" w:rsidR="002F7137" w:rsidRDefault="002F7137" w:rsidP="00C93734">
      <w:pPr>
        <w:pStyle w:val="Heading3"/>
        <w:numPr>
          <w:ilvl w:val="2"/>
          <w:numId w:val="5"/>
        </w:numPr>
        <w:jc w:val="both"/>
      </w:pPr>
      <w:r w:rsidRPr="004C4518">
        <w:t>Sector Profile</w:t>
      </w:r>
    </w:p>
    <w:p w14:paraId="21DAC3A8" w14:textId="77777777" w:rsidR="00F5463F" w:rsidRDefault="008330EA" w:rsidP="00C93734">
      <w:pPr>
        <w:jc w:val="both"/>
        <w:rPr>
          <w:rFonts w:cs="Arial"/>
        </w:rPr>
      </w:pPr>
      <w:r>
        <w:rPr>
          <w:rFonts w:cs="Arial"/>
        </w:rPr>
        <w:t xml:space="preserve">The following provides a summary of the </w:t>
      </w:r>
      <w:r w:rsidR="002F2F31">
        <w:rPr>
          <w:rFonts w:cs="Arial"/>
        </w:rPr>
        <w:t>key economic features of the sector.  Further details are set out in Appendix B.</w:t>
      </w:r>
    </w:p>
    <w:p w14:paraId="6090BCC0" w14:textId="77777777" w:rsidR="00F5463F" w:rsidRPr="00F103FE" w:rsidRDefault="00F5463F" w:rsidP="00C93734">
      <w:pPr>
        <w:jc w:val="both"/>
        <w:rPr>
          <w:rFonts w:cs="Arial"/>
          <w:b/>
        </w:rPr>
      </w:pPr>
      <w:r w:rsidRPr="00F103FE">
        <w:rPr>
          <w:rFonts w:cs="Arial"/>
          <w:b/>
        </w:rPr>
        <w:t>Output</w:t>
      </w:r>
      <w:r w:rsidR="008330EA">
        <w:rPr>
          <w:rFonts w:cs="Arial"/>
          <w:b/>
        </w:rPr>
        <w:t xml:space="preserve"> </w:t>
      </w:r>
    </w:p>
    <w:p w14:paraId="2BA5FED9" w14:textId="77777777" w:rsidR="00F5463F" w:rsidRDefault="002F2F31" w:rsidP="00C93734">
      <w:pPr>
        <w:jc w:val="both"/>
        <w:rPr>
          <w:rFonts w:cs="Arial"/>
        </w:rPr>
      </w:pPr>
      <w:r>
        <w:rPr>
          <w:rFonts w:cs="Arial"/>
        </w:rPr>
        <w:t xml:space="preserve">Based on the business survey sample, we estimate that the </w:t>
      </w:r>
      <w:r w:rsidR="00F5463F">
        <w:rPr>
          <w:rFonts w:cs="Arial"/>
        </w:rPr>
        <w:t>sector contributes</w:t>
      </w:r>
      <w:r>
        <w:rPr>
          <w:rFonts w:cs="Arial"/>
        </w:rPr>
        <w:t xml:space="preserve"> approximately</w:t>
      </w:r>
      <w:r w:rsidR="00F5463F">
        <w:rPr>
          <w:rFonts w:cs="Arial"/>
        </w:rPr>
        <w:t xml:space="preserve"> </w:t>
      </w:r>
      <w:r>
        <w:rPr>
          <w:rFonts w:cs="Arial"/>
        </w:rPr>
        <w:t>£240</w:t>
      </w:r>
      <w:r w:rsidR="00D06940">
        <w:rPr>
          <w:rFonts w:cs="Arial"/>
        </w:rPr>
        <w:t xml:space="preserve"> million to economic output</w:t>
      </w:r>
      <w:r>
        <w:rPr>
          <w:rFonts w:cs="Arial"/>
        </w:rPr>
        <w:t>.  This is equivalent to</w:t>
      </w:r>
      <w:r w:rsidR="0038652B">
        <w:rPr>
          <w:rFonts w:cs="Arial"/>
        </w:rPr>
        <w:t xml:space="preserve"> approximately 8</w:t>
      </w:r>
      <w:r>
        <w:rPr>
          <w:rFonts w:cs="Arial"/>
        </w:rPr>
        <w:t>% of</w:t>
      </w:r>
      <w:r w:rsidR="00F5463F">
        <w:rPr>
          <w:rFonts w:cs="Arial"/>
        </w:rPr>
        <w:t xml:space="preserve"> </w:t>
      </w:r>
      <w:r w:rsidR="00577236">
        <w:rPr>
          <w:rFonts w:cs="Arial"/>
        </w:rPr>
        <w:t>NEL’s</w:t>
      </w:r>
      <w:r w:rsidR="00D06940">
        <w:rPr>
          <w:rFonts w:cs="Arial"/>
        </w:rPr>
        <w:t xml:space="preserve"> GDP</w:t>
      </w:r>
      <w:r w:rsidR="0038652B">
        <w:rPr>
          <w:rFonts w:cs="Arial"/>
        </w:rPr>
        <w:t xml:space="preserve"> (</w:t>
      </w:r>
      <w:r w:rsidR="0038652B">
        <w:t>£3,021 million)</w:t>
      </w:r>
      <w:r w:rsidR="00D06940">
        <w:rPr>
          <w:rFonts w:cs="Arial"/>
        </w:rPr>
        <w:t xml:space="preserve">.  </w:t>
      </w:r>
    </w:p>
    <w:p w14:paraId="1A2E904B" w14:textId="77777777" w:rsidR="00F5463F" w:rsidRDefault="00F5463F" w:rsidP="00C93734">
      <w:pPr>
        <w:pStyle w:val="Caption"/>
        <w:jc w:val="both"/>
      </w:pPr>
      <w:r>
        <w:t xml:space="preserve">Table </w:t>
      </w:r>
      <w:fldSimple w:instr=" STYLEREF 1 \s  \* MERGEFORMAT ">
        <w:r w:rsidR="00E95E1A">
          <w:rPr>
            <w:noProof/>
          </w:rPr>
          <w:t>5</w:t>
        </w:r>
      </w:fldSimple>
      <w:r>
        <w:t>-</w:t>
      </w:r>
      <w:fldSimple w:instr=" SEQ Table \* ARABIC \s 1  \* MERGEFORMAT ">
        <w:r w:rsidR="00E95E1A">
          <w:rPr>
            <w:noProof/>
          </w:rPr>
          <w:t>2</w:t>
        </w:r>
      </w:fldSimple>
      <w:r>
        <w:tab/>
      </w:r>
      <w:r w:rsidR="002F2F31">
        <w:t xml:space="preserve">Food Processing </w:t>
      </w:r>
      <w:r w:rsidR="001B70DF">
        <w:t>Economic</w:t>
      </w:r>
      <w:r w:rsidR="009405CE">
        <w:t xml:space="preserve"> Contribution</w:t>
      </w:r>
      <w:r w:rsidR="002F2F31">
        <w:t xml:space="preserve"> </w:t>
      </w:r>
    </w:p>
    <w:tbl>
      <w:tblPr>
        <w:tblStyle w:val="Atkins14pt"/>
        <w:tblW w:w="9923" w:type="dxa"/>
        <w:tblInd w:w="-85" w:type="dxa"/>
        <w:tblLayout w:type="fixed"/>
        <w:tblLook w:val="04A0" w:firstRow="1" w:lastRow="0" w:firstColumn="1" w:lastColumn="0" w:noHBand="0" w:noVBand="1"/>
      </w:tblPr>
      <w:tblGrid>
        <w:gridCol w:w="1276"/>
        <w:gridCol w:w="1323"/>
        <w:gridCol w:w="1323"/>
        <w:gridCol w:w="1323"/>
        <w:gridCol w:w="1323"/>
        <w:gridCol w:w="1323"/>
        <w:gridCol w:w="1323"/>
        <w:gridCol w:w="709"/>
      </w:tblGrid>
      <w:tr w:rsidR="00F5463F" w:rsidRPr="00023F68" w14:paraId="6F859B59" w14:textId="77777777" w:rsidTr="002F2F31">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276" w:type="dxa"/>
            <w:noWrap/>
            <w:hideMark/>
          </w:tcPr>
          <w:p w14:paraId="07624F56" w14:textId="77777777" w:rsidR="00F5463F" w:rsidRPr="00282B77" w:rsidRDefault="00F5463F" w:rsidP="00C93734">
            <w:pPr>
              <w:spacing w:after="120"/>
              <w:jc w:val="both"/>
              <w:rPr>
                <w:color w:val="000000"/>
                <w:sz w:val="18"/>
              </w:rPr>
            </w:pPr>
            <w:r w:rsidRPr="00282B77">
              <w:rPr>
                <w:color w:val="000000"/>
                <w:sz w:val="18"/>
              </w:rPr>
              <w:t>Sector</w:t>
            </w:r>
          </w:p>
        </w:tc>
        <w:tc>
          <w:tcPr>
            <w:tcW w:w="1323" w:type="dxa"/>
            <w:noWrap/>
            <w:hideMark/>
          </w:tcPr>
          <w:p w14:paraId="618A51A9" w14:textId="77777777" w:rsidR="00F5463F" w:rsidRPr="00282B77" w:rsidRDefault="00F5463F"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282B77">
              <w:rPr>
                <w:color w:val="000000"/>
                <w:sz w:val="18"/>
              </w:rPr>
              <w:t>GDP</w:t>
            </w:r>
          </w:p>
        </w:tc>
        <w:tc>
          <w:tcPr>
            <w:tcW w:w="1323" w:type="dxa"/>
            <w:noWrap/>
            <w:hideMark/>
          </w:tcPr>
          <w:p w14:paraId="126B9BCF" w14:textId="77777777" w:rsidR="00F5463F" w:rsidRPr="00282B77" w:rsidRDefault="00F5463F"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282B77">
              <w:rPr>
                <w:color w:val="000000"/>
                <w:sz w:val="18"/>
              </w:rPr>
              <w:t>Total Purchases</w:t>
            </w:r>
          </w:p>
        </w:tc>
        <w:tc>
          <w:tcPr>
            <w:tcW w:w="1323" w:type="dxa"/>
            <w:noWrap/>
            <w:hideMark/>
          </w:tcPr>
          <w:p w14:paraId="45451EC1" w14:textId="77777777" w:rsidR="00F5463F" w:rsidRPr="00282B77" w:rsidRDefault="00F5463F"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282B77">
              <w:rPr>
                <w:color w:val="000000"/>
                <w:sz w:val="18"/>
              </w:rPr>
              <w:t>Payroll</w:t>
            </w:r>
          </w:p>
        </w:tc>
        <w:tc>
          <w:tcPr>
            <w:tcW w:w="1323" w:type="dxa"/>
            <w:noWrap/>
            <w:hideMark/>
          </w:tcPr>
          <w:p w14:paraId="07B9A1B1" w14:textId="77777777" w:rsidR="00F5463F" w:rsidRPr="00282B77" w:rsidRDefault="00F5463F"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282B77">
              <w:rPr>
                <w:color w:val="000000"/>
                <w:sz w:val="18"/>
              </w:rPr>
              <w:t>Land or property</w:t>
            </w:r>
          </w:p>
        </w:tc>
        <w:tc>
          <w:tcPr>
            <w:tcW w:w="1323" w:type="dxa"/>
            <w:noWrap/>
            <w:hideMark/>
          </w:tcPr>
          <w:p w14:paraId="777CB307" w14:textId="77777777" w:rsidR="00F5463F" w:rsidRPr="00282B77" w:rsidRDefault="00F5463F"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282B77">
              <w:rPr>
                <w:color w:val="000000"/>
                <w:sz w:val="18"/>
              </w:rPr>
              <w:t>Gross Profit</w:t>
            </w:r>
          </w:p>
        </w:tc>
        <w:tc>
          <w:tcPr>
            <w:tcW w:w="1323" w:type="dxa"/>
            <w:noWrap/>
            <w:hideMark/>
          </w:tcPr>
          <w:p w14:paraId="05ED086F" w14:textId="77777777" w:rsidR="00F5463F" w:rsidRPr="00282B77" w:rsidRDefault="00F5463F"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282B77">
              <w:rPr>
                <w:color w:val="000000"/>
                <w:sz w:val="18"/>
              </w:rPr>
              <w:t>GVA</w:t>
            </w:r>
          </w:p>
        </w:tc>
        <w:tc>
          <w:tcPr>
            <w:tcW w:w="709" w:type="dxa"/>
            <w:noWrap/>
            <w:hideMark/>
          </w:tcPr>
          <w:p w14:paraId="71694B96" w14:textId="77777777" w:rsidR="00F5463F" w:rsidRPr="00282B77" w:rsidRDefault="00F5463F"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282B77">
              <w:rPr>
                <w:color w:val="000000"/>
                <w:sz w:val="18"/>
              </w:rPr>
              <w:t>GVA % of GDP</w:t>
            </w:r>
          </w:p>
        </w:tc>
      </w:tr>
      <w:tr w:rsidR="00F5463F" w:rsidRPr="00023F68" w14:paraId="26F84C98" w14:textId="77777777" w:rsidTr="002F2F31">
        <w:trPr>
          <w:trHeight w:val="255"/>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3A587DC" w14:textId="77777777" w:rsidR="00F5463F" w:rsidRPr="00282B77" w:rsidRDefault="00F5463F" w:rsidP="00C93734">
            <w:pPr>
              <w:spacing w:after="120"/>
              <w:jc w:val="both"/>
              <w:rPr>
                <w:color w:val="000000"/>
                <w:sz w:val="18"/>
              </w:rPr>
            </w:pPr>
            <w:r w:rsidRPr="00282B77">
              <w:rPr>
                <w:color w:val="000000"/>
                <w:sz w:val="18"/>
              </w:rPr>
              <w:t>Food manufacturing</w:t>
            </w:r>
          </w:p>
        </w:tc>
        <w:tc>
          <w:tcPr>
            <w:tcW w:w="1323" w:type="dxa"/>
            <w:noWrap/>
            <w:hideMark/>
          </w:tcPr>
          <w:p w14:paraId="3059FDBB" w14:textId="77777777" w:rsidR="00F5463F" w:rsidRPr="00282B77" w:rsidRDefault="00F5463F"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282B77">
              <w:rPr>
                <w:color w:val="000000"/>
                <w:sz w:val="18"/>
              </w:rPr>
              <w:t>£239,775,500</w:t>
            </w:r>
          </w:p>
        </w:tc>
        <w:tc>
          <w:tcPr>
            <w:tcW w:w="1323" w:type="dxa"/>
            <w:noWrap/>
            <w:hideMark/>
          </w:tcPr>
          <w:p w14:paraId="0767BDB0" w14:textId="77777777" w:rsidR="00F5463F" w:rsidRPr="00282B77" w:rsidRDefault="00F5463F"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282B77">
              <w:rPr>
                <w:color w:val="000000"/>
                <w:sz w:val="18"/>
              </w:rPr>
              <w:t>£120,587,095</w:t>
            </w:r>
          </w:p>
        </w:tc>
        <w:tc>
          <w:tcPr>
            <w:tcW w:w="1323" w:type="dxa"/>
            <w:noWrap/>
            <w:hideMark/>
          </w:tcPr>
          <w:p w14:paraId="31E4B8BE" w14:textId="77777777" w:rsidR="00F5463F" w:rsidRPr="00282B77" w:rsidRDefault="00F5463F"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282B77">
              <w:rPr>
                <w:color w:val="000000"/>
                <w:sz w:val="18"/>
              </w:rPr>
              <w:t>£40,854,056</w:t>
            </w:r>
          </w:p>
        </w:tc>
        <w:tc>
          <w:tcPr>
            <w:tcW w:w="1323" w:type="dxa"/>
            <w:noWrap/>
            <w:hideMark/>
          </w:tcPr>
          <w:p w14:paraId="2E902685" w14:textId="77777777" w:rsidR="00F5463F" w:rsidRPr="00282B77" w:rsidRDefault="00F5463F"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282B77">
              <w:rPr>
                <w:color w:val="000000"/>
                <w:sz w:val="18"/>
              </w:rPr>
              <w:t>£28,293,509</w:t>
            </w:r>
          </w:p>
        </w:tc>
        <w:tc>
          <w:tcPr>
            <w:tcW w:w="1323" w:type="dxa"/>
            <w:noWrap/>
            <w:hideMark/>
          </w:tcPr>
          <w:p w14:paraId="6B227975" w14:textId="77777777" w:rsidR="00F5463F" w:rsidRPr="00282B77" w:rsidRDefault="00F5463F"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282B77">
              <w:rPr>
                <w:color w:val="000000"/>
                <w:sz w:val="18"/>
              </w:rPr>
              <w:t>£60,971,484</w:t>
            </w:r>
          </w:p>
        </w:tc>
        <w:tc>
          <w:tcPr>
            <w:tcW w:w="1323" w:type="dxa"/>
            <w:noWrap/>
            <w:hideMark/>
          </w:tcPr>
          <w:p w14:paraId="249A5FBD" w14:textId="77777777" w:rsidR="00F5463F" w:rsidRPr="00282B77" w:rsidRDefault="00F5463F"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282B77">
              <w:rPr>
                <w:color w:val="000000"/>
                <w:sz w:val="18"/>
              </w:rPr>
              <w:t>£101,825,541</w:t>
            </w:r>
          </w:p>
        </w:tc>
        <w:tc>
          <w:tcPr>
            <w:tcW w:w="709" w:type="dxa"/>
            <w:noWrap/>
            <w:hideMark/>
          </w:tcPr>
          <w:p w14:paraId="51578E3B" w14:textId="77777777" w:rsidR="00F5463F" w:rsidRPr="00282B77" w:rsidRDefault="00F5463F"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282B77">
              <w:rPr>
                <w:color w:val="000000"/>
                <w:sz w:val="18"/>
              </w:rPr>
              <w:t>42.5%</w:t>
            </w:r>
          </w:p>
        </w:tc>
      </w:tr>
      <w:tr w:rsidR="00F5463F" w:rsidRPr="00023F68" w14:paraId="5C248F12" w14:textId="77777777" w:rsidTr="002F2F31">
        <w:trPr>
          <w:trHeight w:val="255"/>
        </w:trPr>
        <w:tc>
          <w:tcPr>
            <w:cnfStyle w:val="001000000000" w:firstRow="0" w:lastRow="0" w:firstColumn="1" w:lastColumn="0" w:oddVBand="0" w:evenVBand="0" w:oddHBand="0" w:evenHBand="0" w:firstRowFirstColumn="0" w:firstRowLastColumn="0" w:lastRowFirstColumn="0" w:lastRowLastColumn="0"/>
            <w:tcW w:w="9923" w:type="dxa"/>
            <w:gridSpan w:val="8"/>
            <w:noWrap/>
            <w:hideMark/>
          </w:tcPr>
          <w:p w14:paraId="1E9F30EC" w14:textId="77777777" w:rsidR="00F5463F" w:rsidRPr="00282B77" w:rsidRDefault="00F5463F" w:rsidP="00C93734">
            <w:pPr>
              <w:spacing w:after="120"/>
              <w:jc w:val="both"/>
              <w:rPr>
                <w:color w:val="000000"/>
                <w:sz w:val="18"/>
              </w:rPr>
            </w:pPr>
          </w:p>
        </w:tc>
      </w:tr>
      <w:tr w:rsidR="006E52FE" w:rsidRPr="00023F68" w14:paraId="03703CAF" w14:textId="77777777" w:rsidTr="002F2F31">
        <w:trPr>
          <w:trHeight w:val="255"/>
        </w:trPr>
        <w:tc>
          <w:tcPr>
            <w:cnfStyle w:val="001000000000" w:firstRow="0" w:lastRow="0" w:firstColumn="1" w:lastColumn="0" w:oddVBand="0" w:evenVBand="0" w:oddHBand="0" w:evenHBand="0" w:firstRowFirstColumn="0" w:firstRowLastColumn="0" w:lastRowFirstColumn="0" w:lastRowLastColumn="0"/>
            <w:tcW w:w="1276" w:type="dxa"/>
            <w:shd w:val="clear" w:color="auto" w:fill="E6E4DE" w:themeFill="accent6"/>
            <w:noWrap/>
            <w:hideMark/>
          </w:tcPr>
          <w:p w14:paraId="01918E5E" w14:textId="77777777" w:rsidR="006E52FE" w:rsidRPr="00282B77" w:rsidRDefault="006E52FE" w:rsidP="00C93734">
            <w:pPr>
              <w:spacing w:after="120"/>
              <w:jc w:val="both"/>
              <w:rPr>
                <w:color w:val="000000"/>
                <w:sz w:val="18"/>
              </w:rPr>
            </w:pPr>
            <w:r w:rsidRPr="00282B77">
              <w:rPr>
                <w:color w:val="000000"/>
                <w:sz w:val="18"/>
              </w:rPr>
              <w:t>All key sectors</w:t>
            </w:r>
          </w:p>
        </w:tc>
        <w:tc>
          <w:tcPr>
            <w:tcW w:w="1323" w:type="dxa"/>
            <w:shd w:val="clear" w:color="auto" w:fill="E6E4DE" w:themeFill="accent6"/>
            <w:noWrap/>
            <w:hideMark/>
          </w:tcPr>
          <w:p w14:paraId="480F640B" w14:textId="77777777" w:rsidR="006E52FE" w:rsidRPr="000B1890" w:rsidRDefault="006E52FE" w:rsidP="006E52FE">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£1,740,618,300 </w:t>
            </w:r>
          </w:p>
        </w:tc>
        <w:tc>
          <w:tcPr>
            <w:tcW w:w="1323" w:type="dxa"/>
            <w:shd w:val="clear" w:color="auto" w:fill="E6E4DE" w:themeFill="accent6"/>
            <w:noWrap/>
            <w:hideMark/>
          </w:tcPr>
          <w:p w14:paraId="117DE72C" w14:textId="77777777" w:rsidR="006E52FE" w:rsidRPr="000B1890" w:rsidRDefault="006E52FE" w:rsidP="006E52FE">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 £687,591,325 </w:t>
            </w:r>
          </w:p>
        </w:tc>
        <w:tc>
          <w:tcPr>
            <w:tcW w:w="1323" w:type="dxa"/>
            <w:shd w:val="clear" w:color="auto" w:fill="E6E4DE" w:themeFill="accent6"/>
            <w:noWrap/>
            <w:hideMark/>
          </w:tcPr>
          <w:p w14:paraId="261A3484" w14:textId="77777777" w:rsidR="006E52FE" w:rsidRPr="000B1890" w:rsidRDefault="006E52FE" w:rsidP="006E52FE">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 £464,748,498 </w:t>
            </w:r>
          </w:p>
        </w:tc>
        <w:tc>
          <w:tcPr>
            <w:tcW w:w="1323" w:type="dxa"/>
            <w:shd w:val="clear" w:color="auto" w:fill="E6E4DE" w:themeFill="accent6"/>
            <w:noWrap/>
            <w:hideMark/>
          </w:tcPr>
          <w:p w14:paraId="565D61E7" w14:textId="77777777" w:rsidR="006E52FE" w:rsidRPr="000B1890" w:rsidRDefault="006E52FE" w:rsidP="006E52FE">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 £182,392,375 </w:t>
            </w:r>
          </w:p>
        </w:tc>
        <w:tc>
          <w:tcPr>
            <w:tcW w:w="1323" w:type="dxa"/>
            <w:shd w:val="clear" w:color="auto" w:fill="E6E4DE" w:themeFill="accent6"/>
            <w:noWrap/>
            <w:hideMark/>
          </w:tcPr>
          <w:p w14:paraId="5781AC5D" w14:textId="77777777" w:rsidR="006E52FE" w:rsidRPr="000B1890" w:rsidRDefault="006E52FE" w:rsidP="006E52FE">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 £448,059,002 </w:t>
            </w:r>
          </w:p>
        </w:tc>
        <w:tc>
          <w:tcPr>
            <w:tcW w:w="1323" w:type="dxa"/>
            <w:shd w:val="clear" w:color="auto" w:fill="E6E4DE" w:themeFill="accent6"/>
            <w:noWrap/>
            <w:hideMark/>
          </w:tcPr>
          <w:p w14:paraId="24BE56A3" w14:textId="77777777" w:rsidR="006E52FE" w:rsidRPr="000B1890" w:rsidRDefault="006E52FE" w:rsidP="006E52FE">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 £912,807,499 </w:t>
            </w:r>
          </w:p>
        </w:tc>
        <w:tc>
          <w:tcPr>
            <w:tcW w:w="709" w:type="dxa"/>
            <w:shd w:val="clear" w:color="auto" w:fill="E6E4DE" w:themeFill="accent6"/>
            <w:noWrap/>
            <w:hideMark/>
          </w:tcPr>
          <w:p w14:paraId="350E5F71" w14:textId="77777777" w:rsidR="006E52FE" w:rsidRPr="00282B77" w:rsidRDefault="006E52FE" w:rsidP="006E52FE">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282B77">
              <w:rPr>
                <w:color w:val="000000"/>
                <w:sz w:val="18"/>
              </w:rPr>
              <w:t>5</w:t>
            </w:r>
            <w:r>
              <w:rPr>
                <w:color w:val="000000"/>
                <w:sz w:val="18"/>
              </w:rPr>
              <w:t>7</w:t>
            </w:r>
            <w:r w:rsidRPr="00282B77">
              <w:rPr>
                <w:color w:val="000000"/>
                <w:sz w:val="18"/>
              </w:rPr>
              <w:t>.4%</w:t>
            </w:r>
          </w:p>
        </w:tc>
      </w:tr>
    </w:tbl>
    <w:p w14:paraId="03D4B5C2" w14:textId="77777777" w:rsidR="00F5463F" w:rsidRPr="002805F3" w:rsidRDefault="00F5463F" w:rsidP="00C93734">
      <w:pPr>
        <w:pStyle w:val="TableSource"/>
        <w:jc w:val="both"/>
      </w:pPr>
      <w:r w:rsidRPr="002805F3">
        <w:t xml:space="preserve">Source: Hill Taylor &amp; Atkins 2013. Atkins Ref: Survey – A5.1/L20. </w:t>
      </w:r>
    </w:p>
    <w:p w14:paraId="124D7F17" w14:textId="77777777" w:rsidR="00F5463F" w:rsidRPr="00F103FE" w:rsidRDefault="00F5463F" w:rsidP="00C93734">
      <w:pPr>
        <w:jc w:val="both"/>
        <w:rPr>
          <w:rFonts w:cs="Arial"/>
          <w:b/>
        </w:rPr>
      </w:pPr>
      <w:r w:rsidRPr="00F103FE">
        <w:rPr>
          <w:rFonts w:cs="Arial"/>
          <w:b/>
        </w:rPr>
        <w:t xml:space="preserve">Employment </w:t>
      </w:r>
    </w:p>
    <w:p w14:paraId="42113DE4" w14:textId="77777777" w:rsidR="00F5463F" w:rsidRDefault="00F5463F" w:rsidP="00C93734">
      <w:pPr>
        <w:jc w:val="both"/>
        <w:rPr>
          <w:rFonts w:cs="Arial"/>
        </w:rPr>
      </w:pPr>
      <w:r>
        <w:rPr>
          <w:rFonts w:cs="Arial"/>
        </w:rPr>
        <w:t>The sector contribu</w:t>
      </w:r>
      <w:r w:rsidR="002F2F31">
        <w:rPr>
          <w:rFonts w:cs="Arial"/>
        </w:rPr>
        <w:t xml:space="preserve">tes significantly to local, sub-regional and </w:t>
      </w:r>
      <w:r>
        <w:rPr>
          <w:rFonts w:cs="Arial"/>
        </w:rPr>
        <w:t xml:space="preserve">regional </w:t>
      </w:r>
      <w:r w:rsidR="002F2F31">
        <w:rPr>
          <w:rFonts w:cs="Arial"/>
        </w:rPr>
        <w:t>employment</w:t>
      </w:r>
      <w:r>
        <w:rPr>
          <w:rFonts w:cs="Arial"/>
        </w:rPr>
        <w:t xml:space="preserve"> </w:t>
      </w:r>
      <w:r w:rsidR="002F2F31">
        <w:rPr>
          <w:rFonts w:cs="Arial"/>
        </w:rPr>
        <w:t>by providing</w:t>
      </w:r>
      <w:r>
        <w:rPr>
          <w:rFonts w:cs="Arial"/>
        </w:rPr>
        <w:t xml:space="preserve"> just over 4,100</w:t>
      </w:r>
      <w:r w:rsidR="002F2F31">
        <w:rPr>
          <w:rFonts w:cs="Arial"/>
        </w:rPr>
        <w:t xml:space="preserve"> direct</w:t>
      </w:r>
      <w:r>
        <w:rPr>
          <w:rFonts w:cs="Arial"/>
        </w:rPr>
        <w:t xml:space="preserve"> local jobs</w:t>
      </w:r>
      <w:r>
        <w:rPr>
          <w:rStyle w:val="FootnoteReference"/>
          <w:rFonts w:cs="Arial"/>
        </w:rPr>
        <w:footnoteReference w:id="15"/>
      </w:r>
      <w:r w:rsidR="002F2F31">
        <w:rPr>
          <w:rFonts w:cs="Arial"/>
        </w:rPr>
        <w:t>.  In addition, we estimate that the sector supports a further</w:t>
      </w:r>
      <w:r>
        <w:rPr>
          <w:rFonts w:cs="Arial"/>
        </w:rPr>
        <w:t xml:space="preserve"> </w:t>
      </w:r>
      <w:r w:rsidR="0052787C">
        <w:rPr>
          <w:rFonts w:cs="Arial"/>
        </w:rPr>
        <w:t xml:space="preserve">1,500 indirect </w:t>
      </w:r>
      <w:r>
        <w:rPr>
          <w:rFonts w:cs="Arial"/>
        </w:rPr>
        <w:t xml:space="preserve">jobs across the whole economy </w:t>
      </w:r>
      <w:r w:rsidR="002F2F31">
        <w:rPr>
          <w:rFonts w:cs="Arial"/>
        </w:rPr>
        <w:t>as well as approximately</w:t>
      </w:r>
      <w:r>
        <w:rPr>
          <w:rFonts w:cs="Arial"/>
        </w:rPr>
        <w:t xml:space="preserve"> 410 induced</w:t>
      </w:r>
      <w:r w:rsidR="002F2F31">
        <w:rPr>
          <w:rFonts w:cs="Arial"/>
        </w:rPr>
        <w:t xml:space="preserve"> jobs</w:t>
      </w:r>
      <w:r>
        <w:rPr>
          <w:rFonts w:cs="Arial"/>
        </w:rPr>
        <w:t>.</w:t>
      </w:r>
    </w:p>
    <w:p w14:paraId="2A8037EF" w14:textId="77777777" w:rsidR="00F5463F" w:rsidRDefault="00F5463F" w:rsidP="00C93734">
      <w:pPr>
        <w:pStyle w:val="Caption"/>
        <w:jc w:val="both"/>
      </w:pPr>
      <w:r>
        <w:t xml:space="preserve">Table </w:t>
      </w:r>
      <w:fldSimple w:instr=" STYLEREF 1 \s  \* MERGEFORMAT ">
        <w:r w:rsidR="00E95E1A">
          <w:rPr>
            <w:noProof/>
          </w:rPr>
          <w:t>5</w:t>
        </w:r>
      </w:fldSimple>
      <w:r>
        <w:t>-</w:t>
      </w:r>
      <w:fldSimple w:instr=" SEQ Table \* ARABIC \s 1  \* MERGEFORMAT ">
        <w:r w:rsidR="00E95E1A">
          <w:rPr>
            <w:noProof/>
          </w:rPr>
          <w:t>3</w:t>
        </w:r>
      </w:fldSimple>
      <w:r>
        <w:tab/>
        <w:t>Key Sector Employment Summary</w:t>
      </w:r>
      <w:r w:rsidR="0005147B">
        <w:t xml:space="preserve"> – Food Processing</w:t>
      </w:r>
    </w:p>
    <w:tbl>
      <w:tblPr>
        <w:tblStyle w:val="Atkins14pt"/>
        <w:tblW w:w="4761" w:type="dxa"/>
        <w:tblLook w:val="04A0" w:firstRow="1" w:lastRow="0" w:firstColumn="1" w:lastColumn="0" w:noHBand="0" w:noVBand="1"/>
      </w:tblPr>
      <w:tblGrid>
        <w:gridCol w:w="3222"/>
        <w:gridCol w:w="1539"/>
      </w:tblGrid>
      <w:tr w:rsidR="00C415F6" w:rsidRPr="00556CEF" w14:paraId="3A23A3B8" w14:textId="77777777" w:rsidTr="002E0D85">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3222" w:type="dxa"/>
            <w:shd w:val="clear" w:color="auto" w:fill="BED600" w:themeFill="accent1"/>
            <w:noWrap/>
            <w:hideMark/>
          </w:tcPr>
          <w:p w14:paraId="13EE9914" w14:textId="77777777" w:rsidR="00C415F6" w:rsidRPr="00556CEF" w:rsidRDefault="00C415F6" w:rsidP="00C93734">
            <w:pPr>
              <w:jc w:val="both"/>
              <w:rPr>
                <w:rFonts w:eastAsia="Times New Roman"/>
                <w:b w:val="0"/>
                <w:bCs/>
                <w:color w:val="000000"/>
              </w:rPr>
            </w:pPr>
            <w:r w:rsidRPr="00556CEF">
              <w:rPr>
                <w:rFonts w:eastAsia="Times New Roman"/>
                <w:bCs/>
                <w:color w:val="000000"/>
              </w:rPr>
              <w:t>Geography</w:t>
            </w:r>
          </w:p>
        </w:tc>
        <w:tc>
          <w:tcPr>
            <w:tcW w:w="1539" w:type="dxa"/>
            <w:shd w:val="clear" w:color="auto" w:fill="BED600" w:themeFill="accent1"/>
            <w:noWrap/>
            <w:hideMark/>
          </w:tcPr>
          <w:p w14:paraId="43735228" w14:textId="77777777" w:rsidR="00C415F6" w:rsidRPr="00556CEF" w:rsidRDefault="00C415F6" w:rsidP="00C93734">
            <w:pPr>
              <w:jc w:val="both"/>
              <w:cnfStyle w:val="100000000000" w:firstRow="1" w:lastRow="0" w:firstColumn="0" w:lastColumn="0" w:oddVBand="0" w:evenVBand="0" w:oddHBand="0" w:evenHBand="0" w:firstRowFirstColumn="0" w:firstRowLastColumn="0" w:lastRowFirstColumn="0" w:lastRowLastColumn="0"/>
              <w:rPr>
                <w:rFonts w:eastAsia="Times New Roman"/>
                <w:b w:val="0"/>
                <w:bCs/>
                <w:color w:val="000000"/>
              </w:rPr>
            </w:pPr>
            <w:r w:rsidRPr="00556CEF">
              <w:rPr>
                <w:rFonts w:eastAsia="Times New Roman"/>
                <w:bCs/>
                <w:color w:val="000000"/>
              </w:rPr>
              <w:t xml:space="preserve">Food </w:t>
            </w:r>
            <w:r>
              <w:rPr>
                <w:rFonts w:eastAsia="Times New Roman"/>
                <w:bCs/>
                <w:color w:val="000000"/>
              </w:rPr>
              <w:t>Processing</w:t>
            </w:r>
          </w:p>
        </w:tc>
      </w:tr>
      <w:tr w:rsidR="00C415F6" w:rsidRPr="00556CEF" w14:paraId="5364431B" w14:textId="77777777" w:rsidTr="002E0D85">
        <w:trPr>
          <w:trHeight w:val="270"/>
        </w:trPr>
        <w:tc>
          <w:tcPr>
            <w:cnfStyle w:val="001000000000" w:firstRow="0" w:lastRow="0" w:firstColumn="1" w:lastColumn="0" w:oddVBand="0" w:evenVBand="0" w:oddHBand="0" w:evenHBand="0" w:firstRowFirstColumn="0" w:firstRowLastColumn="0" w:lastRowFirstColumn="0" w:lastRowLastColumn="0"/>
            <w:tcW w:w="3222" w:type="dxa"/>
            <w:shd w:val="clear" w:color="auto" w:fill="E6E4DE" w:themeFill="accent6"/>
            <w:noWrap/>
            <w:hideMark/>
          </w:tcPr>
          <w:p w14:paraId="044CA5DC" w14:textId="77777777" w:rsidR="00C415F6" w:rsidRPr="00556CEF" w:rsidRDefault="00C415F6" w:rsidP="00C93734">
            <w:pPr>
              <w:jc w:val="both"/>
              <w:rPr>
                <w:rFonts w:eastAsia="Times New Roman"/>
                <w:b/>
                <w:bCs/>
                <w:color w:val="000000"/>
              </w:rPr>
            </w:pPr>
            <w:r>
              <w:rPr>
                <w:rFonts w:eastAsia="Times New Roman"/>
                <w:b/>
                <w:bCs/>
                <w:color w:val="000000"/>
              </w:rPr>
              <w:t>Direct</w:t>
            </w:r>
            <w:r w:rsidRPr="00556CEF">
              <w:rPr>
                <w:rFonts w:eastAsia="Times New Roman"/>
                <w:b/>
                <w:bCs/>
                <w:color w:val="000000"/>
              </w:rPr>
              <w:t xml:space="preserve"> Jobs</w:t>
            </w:r>
          </w:p>
        </w:tc>
        <w:tc>
          <w:tcPr>
            <w:tcW w:w="1539" w:type="dxa"/>
            <w:shd w:val="clear" w:color="auto" w:fill="E6E4DE" w:themeFill="accent6"/>
            <w:noWrap/>
            <w:hideMark/>
          </w:tcPr>
          <w:p w14:paraId="0B839E80" w14:textId="77777777" w:rsidR="00C415F6" w:rsidRPr="00556CEF" w:rsidRDefault="00C415F6"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56CEF">
              <w:rPr>
                <w:rFonts w:eastAsia="Times New Roman"/>
                <w:color w:val="000000"/>
              </w:rPr>
              <w:t> </w:t>
            </w:r>
          </w:p>
        </w:tc>
      </w:tr>
      <w:tr w:rsidR="00C415F6" w:rsidRPr="00556CEF" w14:paraId="040B964F" w14:textId="77777777" w:rsidTr="002E0D85">
        <w:trPr>
          <w:trHeight w:val="270"/>
        </w:trPr>
        <w:tc>
          <w:tcPr>
            <w:cnfStyle w:val="001000000000" w:firstRow="0" w:lastRow="0" w:firstColumn="1" w:lastColumn="0" w:oddVBand="0" w:evenVBand="0" w:oddHBand="0" w:evenHBand="0" w:firstRowFirstColumn="0" w:firstRowLastColumn="0" w:lastRowFirstColumn="0" w:lastRowLastColumn="0"/>
            <w:tcW w:w="3222" w:type="dxa"/>
            <w:noWrap/>
            <w:hideMark/>
          </w:tcPr>
          <w:p w14:paraId="486F3BE6" w14:textId="77777777" w:rsidR="00C415F6" w:rsidRPr="00556CEF" w:rsidRDefault="00C415F6" w:rsidP="00C93734">
            <w:pPr>
              <w:jc w:val="both"/>
              <w:rPr>
                <w:rFonts w:eastAsia="Times New Roman"/>
                <w:color w:val="000000"/>
              </w:rPr>
            </w:pPr>
            <w:r w:rsidRPr="00556CEF">
              <w:rPr>
                <w:rFonts w:eastAsia="Times New Roman"/>
                <w:color w:val="000000"/>
              </w:rPr>
              <w:t>North East Lincolnshire</w:t>
            </w:r>
          </w:p>
        </w:tc>
        <w:tc>
          <w:tcPr>
            <w:tcW w:w="1539" w:type="dxa"/>
            <w:noWrap/>
            <w:hideMark/>
          </w:tcPr>
          <w:p w14:paraId="6E59BF44" w14:textId="77777777" w:rsidR="00C415F6" w:rsidRPr="00556CEF" w:rsidRDefault="00C415F6"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56CEF">
              <w:rPr>
                <w:rFonts w:eastAsia="Times New Roman"/>
                <w:color w:val="000000"/>
              </w:rPr>
              <w:t>4,100</w:t>
            </w:r>
          </w:p>
        </w:tc>
      </w:tr>
      <w:tr w:rsidR="00C415F6" w:rsidRPr="00556CEF" w14:paraId="15FCCF83" w14:textId="77777777" w:rsidTr="002E0D85">
        <w:trPr>
          <w:trHeight w:val="270"/>
        </w:trPr>
        <w:tc>
          <w:tcPr>
            <w:cnfStyle w:val="001000000000" w:firstRow="0" w:lastRow="0" w:firstColumn="1" w:lastColumn="0" w:oddVBand="0" w:evenVBand="0" w:oddHBand="0" w:evenHBand="0" w:firstRowFirstColumn="0" w:firstRowLastColumn="0" w:lastRowFirstColumn="0" w:lastRowLastColumn="0"/>
            <w:tcW w:w="3222" w:type="dxa"/>
            <w:shd w:val="clear" w:color="auto" w:fill="E6E4DE" w:themeFill="accent6"/>
            <w:noWrap/>
            <w:hideMark/>
          </w:tcPr>
          <w:p w14:paraId="4B91F8E4" w14:textId="77777777" w:rsidR="00C415F6" w:rsidRPr="00556CEF" w:rsidRDefault="00C415F6" w:rsidP="00C93734">
            <w:pPr>
              <w:jc w:val="both"/>
              <w:rPr>
                <w:rFonts w:eastAsia="Times New Roman"/>
                <w:b/>
                <w:bCs/>
                <w:color w:val="000000"/>
              </w:rPr>
            </w:pPr>
            <w:r w:rsidRPr="00556CEF">
              <w:rPr>
                <w:rFonts w:eastAsia="Times New Roman"/>
                <w:b/>
                <w:bCs/>
                <w:color w:val="000000"/>
              </w:rPr>
              <w:t>Indirect Jobs</w:t>
            </w:r>
          </w:p>
        </w:tc>
        <w:tc>
          <w:tcPr>
            <w:tcW w:w="1539" w:type="dxa"/>
            <w:shd w:val="clear" w:color="auto" w:fill="E6E4DE" w:themeFill="accent6"/>
            <w:hideMark/>
          </w:tcPr>
          <w:p w14:paraId="3A061267" w14:textId="77777777" w:rsidR="00C415F6" w:rsidRPr="00556CEF" w:rsidRDefault="00C415F6"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56CEF">
              <w:rPr>
                <w:rFonts w:eastAsia="Times New Roman"/>
                <w:color w:val="000000"/>
              </w:rPr>
              <w:t> </w:t>
            </w:r>
          </w:p>
        </w:tc>
      </w:tr>
      <w:tr w:rsidR="00C415F6" w:rsidRPr="00556CEF" w14:paraId="5BA741C0" w14:textId="77777777" w:rsidTr="002E0D85">
        <w:trPr>
          <w:trHeight w:val="270"/>
        </w:trPr>
        <w:tc>
          <w:tcPr>
            <w:cnfStyle w:val="001000000000" w:firstRow="0" w:lastRow="0" w:firstColumn="1" w:lastColumn="0" w:oddVBand="0" w:evenVBand="0" w:oddHBand="0" w:evenHBand="0" w:firstRowFirstColumn="0" w:firstRowLastColumn="0" w:lastRowFirstColumn="0" w:lastRowLastColumn="0"/>
            <w:tcW w:w="3222" w:type="dxa"/>
            <w:noWrap/>
            <w:hideMark/>
          </w:tcPr>
          <w:p w14:paraId="1EB1A31E" w14:textId="77777777" w:rsidR="00C415F6" w:rsidRPr="00556CEF" w:rsidRDefault="00C415F6" w:rsidP="00C93734">
            <w:pPr>
              <w:jc w:val="both"/>
              <w:rPr>
                <w:rFonts w:eastAsia="Times New Roman"/>
                <w:color w:val="000000"/>
              </w:rPr>
            </w:pPr>
            <w:r w:rsidRPr="00556CEF">
              <w:rPr>
                <w:rFonts w:eastAsia="Times New Roman"/>
                <w:color w:val="000000"/>
              </w:rPr>
              <w:t>N.&amp; N.E Lincolnshire &amp; Humber</w:t>
            </w:r>
          </w:p>
        </w:tc>
        <w:tc>
          <w:tcPr>
            <w:tcW w:w="1539" w:type="dxa"/>
            <w:noWrap/>
            <w:hideMark/>
          </w:tcPr>
          <w:p w14:paraId="1FCB772A" w14:textId="77777777" w:rsidR="00C415F6" w:rsidRPr="00556CEF" w:rsidRDefault="00C415F6"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56CEF">
              <w:rPr>
                <w:rFonts w:eastAsia="Times New Roman"/>
                <w:color w:val="000000"/>
              </w:rPr>
              <w:t>600</w:t>
            </w:r>
          </w:p>
        </w:tc>
      </w:tr>
      <w:tr w:rsidR="00C415F6" w:rsidRPr="00556CEF" w14:paraId="0C65C1F9" w14:textId="77777777" w:rsidTr="002E0D85">
        <w:trPr>
          <w:trHeight w:val="270"/>
        </w:trPr>
        <w:tc>
          <w:tcPr>
            <w:cnfStyle w:val="001000000000" w:firstRow="0" w:lastRow="0" w:firstColumn="1" w:lastColumn="0" w:oddVBand="0" w:evenVBand="0" w:oddHBand="0" w:evenHBand="0" w:firstRowFirstColumn="0" w:firstRowLastColumn="0" w:lastRowFirstColumn="0" w:lastRowLastColumn="0"/>
            <w:tcW w:w="3222" w:type="dxa"/>
            <w:noWrap/>
            <w:hideMark/>
          </w:tcPr>
          <w:p w14:paraId="3A924522" w14:textId="77777777" w:rsidR="00C415F6" w:rsidRPr="00556CEF" w:rsidRDefault="00C415F6" w:rsidP="00C93734">
            <w:pPr>
              <w:jc w:val="both"/>
              <w:rPr>
                <w:rFonts w:eastAsia="Times New Roman"/>
                <w:color w:val="000000"/>
              </w:rPr>
            </w:pPr>
            <w:r w:rsidRPr="00556CEF">
              <w:rPr>
                <w:rFonts w:eastAsia="Times New Roman"/>
                <w:color w:val="000000"/>
              </w:rPr>
              <w:t>Elsewhere in Yorkshire and Humber</w:t>
            </w:r>
          </w:p>
        </w:tc>
        <w:tc>
          <w:tcPr>
            <w:tcW w:w="1539" w:type="dxa"/>
            <w:noWrap/>
            <w:hideMark/>
          </w:tcPr>
          <w:p w14:paraId="1872EFC9" w14:textId="77777777" w:rsidR="00C415F6" w:rsidRPr="00556CEF" w:rsidRDefault="00C415F6"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56CEF">
              <w:rPr>
                <w:rFonts w:eastAsia="Times New Roman"/>
                <w:color w:val="000000"/>
              </w:rPr>
              <w:t>390</w:t>
            </w:r>
          </w:p>
        </w:tc>
      </w:tr>
      <w:tr w:rsidR="00C415F6" w:rsidRPr="00556CEF" w14:paraId="3E68BC22" w14:textId="77777777" w:rsidTr="002E0D85">
        <w:trPr>
          <w:trHeight w:val="270"/>
        </w:trPr>
        <w:tc>
          <w:tcPr>
            <w:cnfStyle w:val="001000000000" w:firstRow="0" w:lastRow="0" w:firstColumn="1" w:lastColumn="0" w:oddVBand="0" w:evenVBand="0" w:oddHBand="0" w:evenHBand="0" w:firstRowFirstColumn="0" w:firstRowLastColumn="0" w:lastRowFirstColumn="0" w:lastRowLastColumn="0"/>
            <w:tcW w:w="3222" w:type="dxa"/>
            <w:noWrap/>
            <w:hideMark/>
          </w:tcPr>
          <w:p w14:paraId="36CF19AA" w14:textId="77777777" w:rsidR="00C415F6" w:rsidRPr="00556CEF" w:rsidRDefault="00C415F6" w:rsidP="00C93734">
            <w:pPr>
              <w:jc w:val="both"/>
              <w:rPr>
                <w:rFonts w:eastAsia="Times New Roman"/>
                <w:color w:val="000000"/>
              </w:rPr>
            </w:pPr>
            <w:r w:rsidRPr="00556CEF">
              <w:rPr>
                <w:rFonts w:eastAsia="Times New Roman"/>
                <w:color w:val="000000"/>
              </w:rPr>
              <w:t>Outside L/H</w:t>
            </w:r>
          </w:p>
        </w:tc>
        <w:tc>
          <w:tcPr>
            <w:tcW w:w="1539" w:type="dxa"/>
            <w:noWrap/>
            <w:hideMark/>
          </w:tcPr>
          <w:p w14:paraId="42186F0A" w14:textId="77777777" w:rsidR="00C415F6" w:rsidRPr="00556CEF" w:rsidRDefault="00C415F6"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56CEF">
              <w:rPr>
                <w:rFonts w:eastAsia="Times New Roman"/>
                <w:color w:val="000000"/>
              </w:rPr>
              <w:t>510</w:t>
            </w:r>
          </w:p>
        </w:tc>
      </w:tr>
      <w:tr w:rsidR="00C415F6" w:rsidRPr="00556CEF" w14:paraId="59FF9C57" w14:textId="77777777" w:rsidTr="002E0D85">
        <w:trPr>
          <w:trHeight w:val="270"/>
        </w:trPr>
        <w:tc>
          <w:tcPr>
            <w:cnfStyle w:val="001000000000" w:firstRow="0" w:lastRow="0" w:firstColumn="1" w:lastColumn="0" w:oddVBand="0" w:evenVBand="0" w:oddHBand="0" w:evenHBand="0" w:firstRowFirstColumn="0" w:firstRowLastColumn="0" w:lastRowFirstColumn="0" w:lastRowLastColumn="0"/>
            <w:tcW w:w="3222" w:type="dxa"/>
            <w:shd w:val="clear" w:color="auto" w:fill="auto"/>
            <w:noWrap/>
            <w:hideMark/>
          </w:tcPr>
          <w:p w14:paraId="53063499" w14:textId="77777777" w:rsidR="00C415F6" w:rsidRPr="00556CEF" w:rsidRDefault="00C415F6" w:rsidP="00C93734">
            <w:pPr>
              <w:jc w:val="both"/>
              <w:rPr>
                <w:rFonts w:eastAsia="Times New Roman"/>
                <w:b/>
                <w:bCs/>
                <w:color w:val="000000"/>
              </w:rPr>
            </w:pPr>
            <w:r w:rsidRPr="00556CEF">
              <w:rPr>
                <w:rFonts w:eastAsia="Times New Roman"/>
                <w:b/>
                <w:bCs/>
                <w:color w:val="000000"/>
              </w:rPr>
              <w:t>Total</w:t>
            </w:r>
          </w:p>
        </w:tc>
        <w:tc>
          <w:tcPr>
            <w:tcW w:w="1539" w:type="dxa"/>
            <w:shd w:val="clear" w:color="auto" w:fill="auto"/>
            <w:noWrap/>
            <w:hideMark/>
          </w:tcPr>
          <w:p w14:paraId="301CC007" w14:textId="77777777" w:rsidR="00C415F6" w:rsidRPr="00556CEF" w:rsidRDefault="00C415F6" w:rsidP="00C93734">
            <w:pPr>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1,5</w:t>
            </w:r>
            <w:r w:rsidRPr="00556CEF">
              <w:rPr>
                <w:rFonts w:eastAsia="Times New Roman"/>
                <w:b/>
                <w:bCs/>
                <w:color w:val="000000"/>
              </w:rPr>
              <w:t>00</w:t>
            </w:r>
          </w:p>
        </w:tc>
      </w:tr>
      <w:tr w:rsidR="00C415F6" w:rsidRPr="00556CEF" w14:paraId="52FC1058" w14:textId="77777777" w:rsidTr="002E0D85">
        <w:trPr>
          <w:trHeight w:val="270"/>
        </w:trPr>
        <w:tc>
          <w:tcPr>
            <w:cnfStyle w:val="001000000000" w:firstRow="0" w:lastRow="0" w:firstColumn="1" w:lastColumn="0" w:oddVBand="0" w:evenVBand="0" w:oddHBand="0" w:evenHBand="0" w:firstRowFirstColumn="0" w:firstRowLastColumn="0" w:lastRowFirstColumn="0" w:lastRowLastColumn="0"/>
            <w:tcW w:w="3222" w:type="dxa"/>
            <w:shd w:val="clear" w:color="auto" w:fill="E6E4DE" w:themeFill="accent6"/>
            <w:noWrap/>
            <w:hideMark/>
          </w:tcPr>
          <w:p w14:paraId="3E1DA09A" w14:textId="77777777" w:rsidR="00C415F6" w:rsidRPr="00556CEF" w:rsidRDefault="00C415F6" w:rsidP="00C93734">
            <w:pPr>
              <w:jc w:val="both"/>
              <w:rPr>
                <w:rFonts w:eastAsia="Times New Roman"/>
                <w:b/>
                <w:bCs/>
                <w:color w:val="000000"/>
              </w:rPr>
            </w:pPr>
            <w:r w:rsidRPr="00556CEF">
              <w:rPr>
                <w:rFonts w:eastAsia="Times New Roman"/>
                <w:b/>
                <w:bCs/>
                <w:color w:val="000000"/>
              </w:rPr>
              <w:t>Induced</w:t>
            </w:r>
          </w:p>
        </w:tc>
        <w:tc>
          <w:tcPr>
            <w:tcW w:w="1539" w:type="dxa"/>
            <w:shd w:val="clear" w:color="auto" w:fill="E6E4DE" w:themeFill="accent6"/>
            <w:hideMark/>
          </w:tcPr>
          <w:p w14:paraId="11A71C79" w14:textId="77777777" w:rsidR="00C415F6" w:rsidRPr="00556CEF" w:rsidRDefault="00C415F6"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56CEF">
              <w:rPr>
                <w:rFonts w:eastAsia="Times New Roman"/>
                <w:color w:val="000000"/>
              </w:rPr>
              <w:t> </w:t>
            </w:r>
          </w:p>
        </w:tc>
      </w:tr>
      <w:tr w:rsidR="00C415F6" w:rsidRPr="00556CEF" w14:paraId="4907531E" w14:textId="77777777" w:rsidTr="002E0D85">
        <w:trPr>
          <w:trHeight w:val="270"/>
        </w:trPr>
        <w:tc>
          <w:tcPr>
            <w:cnfStyle w:val="001000000000" w:firstRow="0" w:lastRow="0" w:firstColumn="1" w:lastColumn="0" w:oddVBand="0" w:evenVBand="0" w:oddHBand="0" w:evenHBand="0" w:firstRowFirstColumn="0" w:firstRowLastColumn="0" w:lastRowFirstColumn="0" w:lastRowLastColumn="0"/>
            <w:tcW w:w="3222" w:type="dxa"/>
            <w:noWrap/>
            <w:hideMark/>
          </w:tcPr>
          <w:p w14:paraId="2B0BD743" w14:textId="77777777" w:rsidR="00C415F6" w:rsidRPr="00556CEF" w:rsidRDefault="00C415F6" w:rsidP="00C93734">
            <w:pPr>
              <w:jc w:val="both"/>
              <w:rPr>
                <w:rFonts w:eastAsia="Times New Roman"/>
                <w:color w:val="000000"/>
              </w:rPr>
            </w:pPr>
            <w:r w:rsidRPr="00556CEF">
              <w:rPr>
                <w:rFonts w:eastAsia="Times New Roman"/>
                <w:color w:val="000000"/>
              </w:rPr>
              <w:t>N.&amp; N.E Lincolnshire &amp; Humber</w:t>
            </w:r>
          </w:p>
        </w:tc>
        <w:tc>
          <w:tcPr>
            <w:tcW w:w="1539" w:type="dxa"/>
            <w:noWrap/>
            <w:hideMark/>
          </w:tcPr>
          <w:p w14:paraId="004DF046" w14:textId="77777777" w:rsidR="00C415F6" w:rsidRPr="00556CEF" w:rsidRDefault="00C415F6"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56CEF">
              <w:rPr>
                <w:rFonts w:eastAsia="Times New Roman"/>
                <w:color w:val="000000"/>
              </w:rPr>
              <w:t>160</w:t>
            </w:r>
          </w:p>
        </w:tc>
      </w:tr>
      <w:tr w:rsidR="00C415F6" w:rsidRPr="00556CEF" w14:paraId="698DA1FD" w14:textId="77777777" w:rsidTr="002E0D85">
        <w:trPr>
          <w:trHeight w:val="270"/>
        </w:trPr>
        <w:tc>
          <w:tcPr>
            <w:cnfStyle w:val="001000000000" w:firstRow="0" w:lastRow="0" w:firstColumn="1" w:lastColumn="0" w:oddVBand="0" w:evenVBand="0" w:oddHBand="0" w:evenHBand="0" w:firstRowFirstColumn="0" w:firstRowLastColumn="0" w:lastRowFirstColumn="0" w:lastRowLastColumn="0"/>
            <w:tcW w:w="3222" w:type="dxa"/>
            <w:noWrap/>
            <w:hideMark/>
          </w:tcPr>
          <w:p w14:paraId="390C8DC0" w14:textId="77777777" w:rsidR="00C415F6" w:rsidRPr="00556CEF" w:rsidRDefault="00C415F6" w:rsidP="00C93734">
            <w:pPr>
              <w:jc w:val="both"/>
              <w:rPr>
                <w:rFonts w:eastAsia="Times New Roman"/>
                <w:color w:val="000000"/>
              </w:rPr>
            </w:pPr>
            <w:r w:rsidRPr="00556CEF">
              <w:rPr>
                <w:rFonts w:eastAsia="Times New Roman"/>
                <w:color w:val="000000"/>
              </w:rPr>
              <w:t>Elsewhere in Yorkshire and Humber</w:t>
            </w:r>
          </w:p>
        </w:tc>
        <w:tc>
          <w:tcPr>
            <w:tcW w:w="1539" w:type="dxa"/>
            <w:noWrap/>
            <w:hideMark/>
          </w:tcPr>
          <w:p w14:paraId="31A6DD89" w14:textId="77777777" w:rsidR="00C415F6" w:rsidRPr="00556CEF" w:rsidRDefault="00C415F6"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56CEF">
              <w:rPr>
                <w:rFonts w:eastAsia="Times New Roman"/>
                <w:color w:val="000000"/>
              </w:rPr>
              <w:t>110</w:t>
            </w:r>
          </w:p>
        </w:tc>
      </w:tr>
      <w:tr w:rsidR="00C415F6" w:rsidRPr="00556CEF" w14:paraId="0687697C" w14:textId="77777777" w:rsidTr="002E0D85">
        <w:trPr>
          <w:trHeight w:val="270"/>
        </w:trPr>
        <w:tc>
          <w:tcPr>
            <w:cnfStyle w:val="001000000000" w:firstRow="0" w:lastRow="0" w:firstColumn="1" w:lastColumn="0" w:oddVBand="0" w:evenVBand="0" w:oddHBand="0" w:evenHBand="0" w:firstRowFirstColumn="0" w:firstRowLastColumn="0" w:lastRowFirstColumn="0" w:lastRowLastColumn="0"/>
            <w:tcW w:w="3222" w:type="dxa"/>
            <w:noWrap/>
            <w:hideMark/>
          </w:tcPr>
          <w:p w14:paraId="798C6337" w14:textId="77777777" w:rsidR="00C415F6" w:rsidRPr="00556CEF" w:rsidRDefault="00C415F6" w:rsidP="00C93734">
            <w:pPr>
              <w:jc w:val="both"/>
              <w:rPr>
                <w:rFonts w:eastAsia="Times New Roman"/>
                <w:color w:val="000000"/>
              </w:rPr>
            </w:pPr>
            <w:r w:rsidRPr="00556CEF">
              <w:rPr>
                <w:rFonts w:eastAsia="Times New Roman"/>
                <w:color w:val="000000"/>
              </w:rPr>
              <w:t>Outside Yorkshire</w:t>
            </w:r>
          </w:p>
        </w:tc>
        <w:tc>
          <w:tcPr>
            <w:tcW w:w="1539" w:type="dxa"/>
            <w:noWrap/>
            <w:hideMark/>
          </w:tcPr>
          <w:p w14:paraId="19C71BEF" w14:textId="77777777" w:rsidR="00C415F6" w:rsidRPr="00556CEF" w:rsidRDefault="00C415F6"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56CEF">
              <w:rPr>
                <w:rFonts w:eastAsia="Times New Roman"/>
                <w:color w:val="000000"/>
              </w:rPr>
              <w:t>140</w:t>
            </w:r>
          </w:p>
        </w:tc>
      </w:tr>
      <w:tr w:rsidR="002E0D85" w:rsidRPr="00556CEF" w14:paraId="4499C01F" w14:textId="77777777" w:rsidTr="002E0D85">
        <w:trPr>
          <w:trHeight w:val="270"/>
        </w:trPr>
        <w:tc>
          <w:tcPr>
            <w:cnfStyle w:val="001000000000" w:firstRow="0" w:lastRow="0" w:firstColumn="1" w:lastColumn="0" w:oddVBand="0" w:evenVBand="0" w:oddHBand="0" w:evenHBand="0" w:firstRowFirstColumn="0" w:firstRowLastColumn="0" w:lastRowFirstColumn="0" w:lastRowLastColumn="0"/>
            <w:tcW w:w="3222" w:type="dxa"/>
            <w:noWrap/>
            <w:hideMark/>
          </w:tcPr>
          <w:p w14:paraId="13E65C5E" w14:textId="77777777" w:rsidR="002E0D85" w:rsidRPr="00556CEF" w:rsidRDefault="002E0D85" w:rsidP="00C93734">
            <w:pPr>
              <w:jc w:val="both"/>
              <w:rPr>
                <w:rFonts w:eastAsia="Times New Roman"/>
                <w:color w:val="000000"/>
              </w:rPr>
            </w:pPr>
            <w:r>
              <w:rPr>
                <w:rFonts w:eastAsia="Times New Roman"/>
                <w:color w:val="000000"/>
              </w:rPr>
              <w:t xml:space="preserve">Total </w:t>
            </w:r>
          </w:p>
        </w:tc>
        <w:tc>
          <w:tcPr>
            <w:tcW w:w="1539" w:type="dxa"/>
            <w:noWrap/>
            <w:hideMark/>
          </w:tcPr>
          <w:p w14:paraId="07723CF9" w14:textId="77777777" w:rsidR="002E0D85" w:rsidRPr="00556CEF" w:rsidRDefault="002E0D85"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410</w:t>
            </w:r>
          </w:p>
        </w:tc>
      </w:tr>
      <w:tr w:rsidR="00C415F6" w:rsidRPr="00556CEF" w14:paraId="35B7E87C" w14:textId="77777777" w:rsidTr="002E0D85">
        <w:trPr>
          <w:trHeight w:val="270"/>
        </w:trPr>
        <w:tc>
          <w:tcPr>
            <w:cnfStyle w:val="001000000000" w:firstRow="0" w:lastRow="0" w:firstColumn="1" w:lastColumn="0" w:oddVBand="0" w:evenVBand="0" w:oddHBand="0" w:evenHBand="0" w:firstRowFirstColumn="0" w:firstRowLastColumn="0" w:lastRowFirstColumn="0" w:lastRowLastColumn="0"/>
            <w:tcW w:w="3222" w:type="dxa"/>
            <w:shd w:val="clear" w:color="auto" w:fill="E6E4DE" w:themeFill="accent6"/>
            <w:noWrap/>
            <w:hideMark/>
          </w:tcPr>
          <w:p w14:paraId="596C50C8" w14:textId="77777777" w:rsidR="00C415F6" w:rsidRPr="00556CEF" w:rsidRDefault="00C415F6" w:rsidP="00C93734">
            <w:pPr>
              <w:jc w:val="both"/>
              <w:rPr>
                <w:rFonts w:eastAsia="Times New Roman"/>
                <w:b/>
                <w:bCs/>
                <w:color w:val="000000"/>
              </w:rPr>
            </w:pPr>
            <w:r w:rsidRPr="00556CEF">
              <w:rPr>
                <w:rFonts w:eastAsia="Times New Roman"/>
                <w:b/>
                <w:bCs/>
                <w:color w:val="000000"/>
              </w:rPr>
              <w:t xml:space="preserve">Total </w:t>
            </w:r>
          </w:p>
        </w:tc>
        <w:tc>
          <w:tcPr>
            <w:tcW w:w="1539" w:type="dxa"/>
            <w:shd w:val="clear" w:color="auto" w:fill="E6E4DE" w:themeFill="accent6"/>
            <w:noWrap/>
            <w:hideMark/>
          </w:tcPr>
          <w:p w14:paraId="2B63FB99" w14:textId="77777777" w:rsidR="00C415F6" w:rsidRPr="00556CEF" w:rsidRDefault="00F87DB4" w:rsidP="00C93734">
            <w:pPr>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6,010</w:t>
            </w:r>
          </w:p>
        </w:tc>
      </w:tr>
    </w:tbl>
    <w:p w14:paraId="6B5EB6F5" w14:textId="77777777" w:rsidR="00F5463F" w:rsidRPr="002805F3" w:rsidRDefault="00F5463F" w:rsidP="00C93734">
      <w:pPr>
        <w:pStyle w:val="TableSource"/>
        <w:jc w:val="both"/>
      </w:pPr>
      <w:r w:rsidRPr="002805F3">
        <w:t>Source: Atkins 2013. Atkins Ref: Survey –A9-A11. Figures rounded.</w:t>
      </w:r>
    </w:p>
    <w:p w14:paraId="2B9DD402" w14:textId="77777777" w:rsidR="00F5463F" w:rsidRDefault="00F5463F" w:rsidP="00C93734">
      <w:pPr>
        <w:jc w:val="both"/>
        <w:rPr>
          <w:rFonts w:cs="Arial"/>
          <w:b/>
        </w:rPr>
      </w:pPr>
      <w:r w:rsidRPr="00F103FE">
        <w:rPr>
          <w:rFonts w:cs="Arial"/>
          <w:b/>
        </w:rPr>
        <w:t>Supply chain</w:t>
      </w:r>
    </w:p>
    <w:p w14:paraId="60DB2611" w14:textId="77777777" w:rsidR="00F5463F" w:rsidRPr="00AB1B23" w:rsidRDefault="00F5463F" w:rsidP="00C93734">
      <w:pPr>
        <w:jc w:val="both"/>
        <w:rPr>
          <w:rFonts w:cs="Arial"/>
        </w:rPr>
      </w:pPr>
      <w:r w:rsidRPr="00AB1B23">
        <w:rPr>
          <w:rFonts w:cs="Arial"/>
        </w:rPr>
        <w:t>Turnover within the sector is split between purcha</w:t>
      </w:r>
      <w:r>
        <w:rPr>
          <w:rFonts w:cs="Arial"/>
        </w:rPr>
        <w:t>ses, payroll, land and property.</w:t>
      </w:r>
      <w:r w:rsidRPr="00AB1B23">
        <w:rPr>
          <w:rFonts w:cs="Arial"/>
        </w:rPr>
        <w:t xml:space="preserve"> </w:t>
      </w:r>
      <w:r w:rsidR="00C415F6">
        <w:rPr>
          <w:rFonts w:cs="Arial"/>
        </w:rPr>
        <w:t xml:space="preserve">As </w:t>
      </w:r>
      <w:r w:rsidR="003A7678">
        <w:rPr>
          <w:rFonts w:cs="Arial"/>
        </w:rPr>
        <w:t xml:space="preserve">with </w:t>
      </w:r>
      <w:r w:rsidR="00C415F6">
        <w:rPr>
          <w:rFonts w:cs="Arial"/>
        </w:rPr>
        <w:t xml:space="preserve">ports and logistics, </w:t>
      </w:r>
      <w:r w:rsidR="003A7678">
        <w:rPr>
          <w:rFonts w:cs="Arial"/>
        </w:rPr>
        <w:t>the breakdown</w:t>
      </w:r>
      <w:r w:rsidR="003A7678" w:rsidRPr="00AB1B23">
        <w:rPr>
          <w:rFonts w:cs="Arial"/>
        </w:rPr>
        <w:t xml:space="preserve"> </w:t>
      </w:r>
      <w:r w:rsidR="003A7678">
        <w:rPr>
          <w:rFonts w:cs="Arial"/>
        </w:rPr>
        <w:t>demonstrates</w:t>
      </w:r>
      <w:r w:rsidR="003A7678" w:rsidRPr="00AB1B23">
        <w:rPr>
          <w:rFonts w:cs="Arial"/>
        </w:rPr>
        <w:t xml:space="preserve"> </w:t>
      </w:r>
      <w:r w:rsidRPr="00AB1B23">
        <w:rPr>
          <w:rFonts w:cs="Arial"/>
        </w:rPr>
        <w:t xml:space="preserve">that </w:t>
      </w:r>
      <w:r>
        <w:rPr>
          <w:rFonts w:cs="Arial"/>
        </w:rPr>
        <w:t>purchasing</w:t>
      </w:r>
      <w:r w:rsidR="00C415F6">
        <w:rPr>
          <w:rFonts w:cs="Arial"/>
        </w:rPr>
        <w:t xml:space="preserve"> </w:t>
      </w:r>
      <w:r w:rsidR="003A7678">
        <w:rPr>
          <w:rFonts w:cs="Arial"/>
        </w:rPr>
        <w:t>represents</w:t>
      </w:r>
      <w:r w:rsidR="00C415F6">
        <w:rPr>
          <w:rFonts w:cs="Arial"/>
        </w:rPr>
        <w:t xml:space="preserve"> a high proportion of total turnover. </w:t>
      </w:r>
      <w:r>
        <w:rPr>
          <w:rFonts w:cs="Arial"/>
        </w:rPr>
        <w:t xml:space="preserve"> Payroll costs are</w:t>
      </w:r>
      <w:r w:rsidR="00C415F6">
        <w:rPr>
          <w:rFonts w:cs="Arial"/>
        </w:rPr>
        <w:t xml:space="preserve"> relatively</w:t>
      </w:r>
      <w:r>
        <w:rPr>
          <w:rFonts w:cs="Arial"/>
        </w:rPr>
        <w:t xml:space="preserve"> </w:t>
      </w:r>
      <w:r w:rsidR="00C415F6">
        <w:rPr>
          <w:rFonts w:cs="Arial"/>
        </w:rPr>
        <w:t>low which indicates a low wage sector with a high number of unskilled workers.</w:t>
      </w:r>
      <w:r w:rsidR="00E30FCA">
        <w:rPr>
          <w:rFonts w:cs="Arial"/>
        </w:rPr>
        <w:t xml:space="preserve">  Despite the skills profile of the sector, the importance of the food processing industry in NEL in providing local job opportunities should not be understated.  </w:t>
      </w:r>
    </w:p>
    <w:p w14:paraId="5250561B" w14:textId="77777777" w:rsidR="00F5463F" w:rsidRDefault="00F5463F" w:rsidP="00C93734">
      <w:pPr>
        <w:pStyle w:val="Caption"/>
        <w:jc w:val="both"/>
      </w:pPr>
      <w:r>
        <w:t xml:space="preserve">Table </w:t>
      </w:r>
      <w:fldSimple w:instr=" STYLEREF 1 \s  \* MERGEFORMAT ">
        <w:r w:rsidR="00E95E1A">
          <w:rPr>
            <w:noProof/>
          </w:rPr>
          <w:t>5</w:t>
        </w:r>
      </w:fldSimple>
      <w:r>
        <w:t>-</w:t>
      </w:r>
      <w:fldSimple w:instr=" SEQ Table \* ARABIC \s 1  \* MERGEFORMAT ">
        <w:r w:rsidR="00E95E1A">
          <w:rPr>
            <w:noProof/>
          </w:rPr>
          <w:t>4</w:t>
        </w:r>
      </w:fldSimple>
      <w:r>
        <w:tab/>
      </w:r>
      <w:r w:rsidRPr="00F5463F">
        <w:t xml:space="preserve"> </w:t>
      </w:r>
      <w:r>
        <w:t xml:space="preserve">Breakdown of Annual Turnover </w:t>
      </w:r>
    </w:p>
    <w:tbl>
      <w:tblPr>
        <w:tblStyle w:val="Atkins14pt"/>
        <w:tblW w:w="3402" w:type="dxa"/>
        <w:tblLayout w:type="fixed"/>
        <w:tblLook w:val="04A0" w:firstRow="1" w:lastRow="0" w:firstColumn="1" w:lastColumn="0" w:noHBand="0" w:noVBand="1"/>
      </w:tblPr>
      <w:tblGrid>
        <w:gridCol w:w="1843"/>
        <w:gridCol w:w="1559"/>
      </w:tblGrid>
      <w:tr w:rsidR="00F5463F" w:rsidRPr="00DC3863" w14:paraId="064FEBF1" w14:textId="77777777" w:rsidTr="00F5473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843" w:type="dxa"/>
            <w:noWrap/>
            <w:hideMark/>
          </w:tcPr>
          <w:p w14:paraId="6F043447" w14:textId="77777777" w:rsidR="00F5463F" w:rsidRPr="00DC3863" w:rsidRDefault="00F5463F" w:rsidP="00C93734">
            <w:pPr>
              <w:pStyle w:val="TableHeading"/>
              <w:jc w:val="both"/>
              <w:rPr>
                <w:color w:val="394A58"/>
              </w:rPr>
            </w:pPr>
          </w:p>
        </w:tc>
        <w:tc>
          <w:tcPr>
            <w:tcW w:w="1559" w:type="dxa"/>
            <w:noWrap/>
            <w:hideMark/>
          </w:tcPr>
          <w:p w14:paraId="0F568C45" w14:textId="77777777" w:rsidR="00F5463F" w:rsidRPr="00DC3863" w:rsidRDefault="00F5463F" w:rsidP="001B70DF">
            <w:pPr>
              <w:pStyle w:val="TableHeading"/>
              <w:jc w:val="both"/>
              <w:cnfStyle w:val="100000000000" w:firstRow="1" w:lastRow="0" w:firstColumn="0" w:lastColumn="0" w:oddVBand="0" w:evenVBand="0" w:oddHBand="0" w:evenHBand="0" w:firstRowFirstColumn="0" w:firstRowLastColumn="0" w:lastRowFirstColumn="0" w:lastRowLastColumn="0"/>
              <w:rPr>
                <w:color w:val="auto"/>
              </w:rPr>
            </w:pPr>
            <w:r w:rsidRPr="00DC3863">
              <w:rPr>
                <w:color w:val="auto"/>
              </w:rPr>
              <w:t xml:space="preserve">Food </w:t>
            </w:r>
            <w:r w:rsidR="001B70DF">
              <w:rPr>
                <w:color w:val="auto"/>
              </w:rPr>
              <w:t>processing</w:t>
            </w:r>
          </w:p>
        </w:tc>
      </w:tr>
      <w:tr w:rsidR="00F5463F" w:rsidRPr="00DC3863" w14:paraId="57E0E2EA"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31B2ADB" w14:textId="77777777" w:rsidR="00F5463F" w:rsidRPr="00DC3863" w:rsidRDefault="00F5463F" w:rsidP="00C93734">
            <w:pPr>
              <w:pStyle w:val="TableHeading"/>
              <w:ind w:right="202"/>
              <w:jc w:val="both"/>
              <w:rPr>
                <w:b w:val="0"/>
                <w:color w:val="auto"/>
              </w:rPr>
            </w:pPr>
            <w:r w:rsidRPr="00DC3863">
              <w:rPr>
                <w:b w:val="0"/>
                <w:color w:val="auto"/>
              </w:rPr>
              <w:t>Total Purchases</w:t>
            </w:r>
          </w:p>
        </w:tc>
        <w:tc>
          <w:tcPr>
            <w:tcW w:w="1559" w:type="dxa"/>
            <w:noWrap/>
            <w:hideMark/>
          </w:tcPr>
          <w:p w14:paraId="0447F724" w14:textId="77777777" w:rsidR="00F5463F" w:rsidRPr="00DC3863" w:rsidRDefault="00F5463F"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50.3%</w:t>
            </w:r>
          </w:p>
        </w:tc>
      </w:tr>
      <w:tr w:rsidR="00F5463F" w:rsidRPr="00DC3863" w14:paraId="5CFE86F0"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96E05BE" w14:textId="77777777" w:rsidR="00F5463F" w:rsidRPr="00DC3863" w:rsidRDefault="00F5463F" w:rsidP="00C93734">
            <w:pPr>
              <w:pStyle w:val="TableHeading"/>
              <w:ind w:right="202"/>
              <w:jc w:val="both"/>
              <w:rPr>
                <w:b w:val="0"/>
                <w:color w:val="auto"/>
              </w:rPr>
            </w:pPr>
            <w:r w:rsidRPr="00DC3863">
              <w:rPr>
                <w:b w:val="0"/>
                <w:color w:val="auto"/>
              </w:rPr>
              <w:t>Payroll</w:t>
            </w:r>
          </w:p>
        </w:tc>
        <w:tc>
          <w:tcPr>
            <w:tcW w:w="1559" w:type="dxa"/>
            <w:noWrap/>
            <w:hideMark/>
          </w:tcPr>
          <w:p w14:paraId="3CDF48F4" w14:textId="77777777" w:rsidR="00F5463F" w:rsidRPr="00DC3863" w:rsidRDefault="00F5463F"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17.0%</w:t>
            </w:r>
          </w:p>
        </w:tc>
      </w:tr>
      <w:tr w:rsidR="00F5463F" w:rsidRPr="00DC3863" w14:paraId="0D0EF0C8"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B8B9E46" w14:textId="77777777" w:rsidR="00F5463F" w:rsidRPr="00DC3863" w:rsidRDefault="00F5463F" w:rsidP="00C93734">
            <w:pPr>
              <w:pStyle w:val="TableHeading"/>
              <w:ind w:right="202"/>
              <w:jc w:val="both"/>
              <w:rPr>
                <w:b w:val="0"/>
                <w:color w:val="auto"/>
              </w:rPr>
            </w:pPr>
            <w:r w:rsidRPr="00DC3863">
              <w:rPr>
                <w:b w:val="0"/>
                <w:color w:val="auto"/>
              </w:rPr>
              <w:t>Land property</w:t>
            </w:r>
          </w:p>
        </w:tc>
        <w:tc>
          <w:tcPr>
            <w:tcW w:w="1559" w:type="dxa"/>
            <w:noWrap/>
            <w:hideMark/>
          </w:tcPr>
          <w:p w14:paraId="2643AB4A" w14:textId="77777777" w:rsidR="00F5463F" w:rsidRPr="00DC3863" w:rsidRDefault="00F5463F"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11.8%</w:t>
            </w:r>
          </w:p>
        </w:tc>
      </w:tr>
      <w:tr w:rsidR="00F5463F" w:rsidRPr="00DC3863" w14:paraId="2B1EAE79"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137D34B" w14:textId="77777777" w:rsidR="00F5463F" w:rsidRPr="00DC3863" w:rsidRDefault="00F5463F" w:rsidP="00C93734">
            <w:pPr>
              <w:pStyle w:val="TableHeading"/>
              <w:ind w:right="202"/>
              <w:jc w:val="both"/>
              <w:rPr>
                <w:b w:val="0"/>
                <w:color w:val="auto"/>
              </w:rPr>
            </w:pPr>
            <w:r w:rsidRPr="00DC3863">
              <w:rPr>
                <w:b w:val="0"/>
                <w:color w:val="auto"/>
              </w:rPr>
              <w:t>Gross Profit</w:t>
            </w:r>
          </w:p>
        </w:tc>
        <w:tc>
          <w:tcPr>
            <w:tcW w:w="1559" w:type="dxa"/>
            <w:noWrap/>
            <w:hideMark/>
          </w:tcPr>
          <w:p w14:paraId="25B1A549" w14:textId="77777777" w:rsidR="00F5463F" w:rsidRPr="00DC3863" w:rsidRDefault="00F5463F"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25.4%</w:t>
            </w:r>
          </w:p>
        </w:tc>
      </w:tr>
    </w:tbl>
    <w:p w14:paraId="53182056" w14:textId="77777777" w:rsidR="00F5463F" w:rsidRPr="002805F3" w:rsidRDefault="00F5463F" w:rsidP="00C93734">
      <w:pPr>
        <w:pStyle w:val="TableSource"/>
        <w:jc w:val="both"/>
      </w:pPr>
      <w:r w:rsidRPr="002805F3">
        <w:t>Source: Hill Taylor and Atkins 2013. Atkins Ref: Survey –A14</w:t>
      </w:r>
    </w:p>
    <w:p w14:paraId="5F9D6EEA" w14:textId="77777777" w:rsidR="00F5463F" w:rsidRDefault="00E30FCA" w:rsidP="00C93734">
      <w:pPr>
        <w:jc w:val="both"/>
        <w:rPr>
          <w:rFonts w:cs="Arial"/>
        </w:rPr>
      </w:pPr>
      <w:r>
        <w:rPr>
          <w:rFonts w:cs="Arial"/>
        </w:rPr>
        <w:t xml:space="preserve">Key supply chain activities (in terms of expenditure) include energy &amp; utilities (19%) reflecting </w:t>
      </w:r>
      <w:r w:rsidR="00F5463F">
        <w:rPr>
          <w:rFonts w:cs="Arial"/>
        </w:rPr>
        <w:t xml:space="preserve">costs associated with running machinery, using water and waste water. Financial </w:t>
      </w:r>
      <w:r w:rsidR="006C2F73">
        <w:rPr>
          <w:rFonts w:cs="Arial"/>
        </w:rPr>
        <w:t>and i</w:t>
      </w:r>
      <w:r w:rsidR="00F5463F">
        <w:rPr>
          <w:rFonts w:cs="Arial"/>
        </w:rPr>
        <w:t xml:space="preserve">nsurance services (17.8%) are also important </w:t>
      </w:r>
      <w:r w:rsidR="006C2F73">
        <w:rPr>
          <w:rFonts w:cs="Arial"/>
        </w:rPr>
        <w:t>and</w:t>
      </w:r>
      <w:r w:rsidR="003A7678">
        <w:rPr>
          <w:rFonts w:cs="Arial"/>
        </w:rPr>
        <w:t xml:space="preserve"> </w:t>
      </w:r>
      <w:r w:rsidR="006C2F73">
        <w:rPr>
          <w:rFonts w:cs="Arial"/>
        </w:rPr>
        <w:t xml:space="preserve">there </w:t>
      </w:r>
      <w:r w:rsidR="003A7678">
        <w:rPr>
          <w:rFonts w:cs="Arial"/>
        </w:rPr>
        <w:t>are a</w:t>
      </w:r>
      <w:r w:rsidR="00F5463F">
        <w:rPr>
          <w:rFonts w:cs="Arial"/>
        </w:rPr>
        <w:t xml:space="preserve"> range of </w:t>
      </w:r>
      <w:r w:rsidR="003A7678">
        <w:rPr>
          <w:rFonts w:cs="Arial"/>
        </w:rPr>
        <w:t xml:space="preserve">local </w:t>
      </w:r>
      <w:r w:rsidR="00F5463F">
        <w:rPr>
          <w:rFonts w:cs="Arial"/>
        </w:rPr>
        <w:t xml:space="preserve">firms </w:t>
      </w:r>
      <w:r w:rsidR="006C2F73">
        <w:rPr>
          <w:rFonts w:cs="Arial"/>
        </w:rPr>
        <w:t xml:space="preserve">who </w:t>
      </w:r>
      <w:r w:rsidR="00F5463F">
        <w:rPr>
          <w:rFonts w:cs="Arial"/>
        </w:rPr>
        <w:t xml:space="preserve">provide specialist support and services to the sector. </w:t>
      </w:r>
      <w:r>
        <w:rPr>
          <w:rFonts w:cs="Arial"/>
        </w:rPr>
        <w:t>The significance of c</w:t>
      </w:r>
      <w:r w:rsidR="00F5463F">
        <w:rPr>
          <w:rFonts w:cs="Arial"/>
        </w:rPr>
        <w:t xml:space="preserve">atering and food </w:t>
      </w:r>
      <w:r>
        <w:rPr>
          <w:rFonts w:cs="Arial"/>
        </w:rPr>
        <w:t xml:space="preserve">purchase </w:t>
      </w:r>
      <w:r w:rsidR="00F5463F">
        <w:rPr>
          <w:rFonts w:cs="Arial"/>
        </w:rPr>
        <w:t>is also important (15%)</w:t>
      </w:r>
      <w:r w:rsidR="003A7678">
        <w:rPr>
          <w:rFonts w:cs="Arial"/>
        </w:rPr>
        <w:t>,</w:t>
      </w:r>
      <w:r>
        <w:rPr>
          <w:rFonts w:cs="Arial"/>
        </w:rPr>
        <w:t xml:space="preserve"> </w:t>
      </w:r>
      <w:r w:rsidR="006C2F73">
        <w:rPr>
          <w:rFonts w:cs="Arial"/>
        </w:rPr>
        <w:t xml:space="preserve">as it </w:t>
      </w:r>
      <w:r>
        <w:rPr>
          <w:rFonts w:cs="Arial"/>
        </w:rPr>
        <w:t xml:space="preserve">demonstrates the importance of inter-industry trading in the sector. </w:t>
      </w:r>
    </w:p>
    <w:p w14:paraId="35B4E186" w14:textId="77777777" w:rsidR="00F5463F" w:rsidRPr="00282B77" w:rsidRDefault="00F5463F" w:rsidP="00C93734">
      <w:pPr>
        <w:pStyle w:val="Caption"/>
        <w:jc w:val="both"/>
      </w:pPr>
      <w:r>
        <w:t xml:space="preserve">Table </w:t>
      </w:r>
      <w:fldSimple w:instr=" STYLEREF 1 \s  \* MERGEFORMAT ">
        <w:r w:rsidR="00E95E1A">
          <w:rPr>
            <w:noProof/>
          </w:rPr>
          <w:t>5</w:t>
        </w:r>
      </w:fldSimple>
      <w:r>
        <w:t>-</w:t>
      </w:r>
      <w:fldSimple w:instr=" SEQ Table \* ARABIC \s 1  \* MERGEFORMAT ">
        <w:r w:rsidR="00E95E1A">
          <w:rPr>
            <w:noProof/>
          </w:rPr>
          <w:t>5</w:t>
        </w:r>
      </w:fldSimple>
      <w:r>
        <w:tab/>
      </w:r>
      <w:r w:rsidRPr="00282B77">
        <w:t xml:space="preserve">Types of Goods &amp; Services Purchased </w:t>
      </w:r>
    </w:p>
    <w:tbl>
      <w:tblPr>
        <w:tblW w:w="6343" w:type="dxa"/>
        <w:tblInd w:w="98" w:type="dxa"/>
        <w:tblLook w:val="04A0" w:firstRow="1" w:lastRow="0" w:firstColumn="1" w:lastColumn="0" w:noHBand="0" w:noVBand="1"/>
      </w:tblPr>
      <w:tblGrid>
        <w:gridCol w:w="4934"/>
        <w:gridCol w:w="1409"/>
      </w:tblGrid>
      <w:tr w:rsidR="00F5463F" w:rsidRPr="00282B77" w14:paraId="4EE8F9D0" w14:textId="77777777" w:rsidTr="00F54736">
        <w:trPr>
          <w:trHeight w:val="270"/>
        </w:trPr>
        <w:tc>
          <w:tcPr>
            <w:tcW w:w="4934" w:type="dxa"/>
            <w:tcBorders>
              <w:top w:val="single" w:sz="8" w:space="0" w:color="000000"/>
              <w:left w:val="single" w:sz="8" w:space="0" w:color="000000"/>
              <w:bottom w:val="single" w:sz="8" w:space="0" w:color="auto"/>
              <w:right w:val="single" w:sz="8" w:space="0" w:color="000000"/>
            </w:tcBorders>
            <w:shd w:val="clear" w:color="000000" w:fill="F0EEEB"/>
            <w:noWrap/>
            <w:hideMark/>
          </w:tcPr>
          <w:p w14:paraId="773C9556" w14:textId="77777777" w:rsidR="00F5463F" w:rsidRPr="00282B77" w:rsidRDefault="00F5463F" w:rsidP="00C93734">
            <w:pPr>
              <w:spacing w:after="0"/>
              <w:jc w:val="both"/>
              <w:rPr>
                <w:rFonts w:eastAsia="Times New Roman" w:cs="Arial"/>
                <w:b/>
                <w:color w:val="000000"/>
                <w:szCs w:val="20"/>
                <w:lang w:eastAsia="en-GB"/>
              </w:rPr>
            </w:pPr>
            <w:r w:rsidRPr="00282B77">
              <w:rPr>
                <w:rFonts w:eastAsia="Times New Roman" w:cs="Arial"/>
                <w:b/>
                <w:color w:val="000000"/>
                <w:szCs w:val="20"/>
                <w:lang w:eastAsia="en-GB"/>
              </w:rPr>
              <w:t> Supply Chain Element</w:t>
            </w:r>
          </w:p>
        </w:tc>
        <w:tc>
          <w:tcPr>
            <w:tcW w:w="1409" w:type="dxa"/>
            <w:tcBorders>
              <w:top w:val="single" w:sz="8" w:space="0" w:color="000000"/>
              <w:left w:val="nil"/>
              <w:bottom w:val="single" w:sz="8" w:space="0" w:color="auto"/>
              <w:right w:val="single" w:sz="8" w:space="0" w:color="000000"/>
            </w:tcBorders>
            <w:shd w:val="clear" w:color="000000" w:fill="F0EEEB"/>
            <w:noWrap/>
            <w:hideMark/>
          </w:tcPr>
          <w:p w14:paraId="6A3A0544" w14:textId="77777777" w:rsidR="00F5463F" w:rsidRPr="00282B77" w:rsidRDefault="00F5463F" w:rsidP="009405CE">
            <w:pPr>
              <w:spacing w:after="0"/>
              <w:jc w:val="both"/>
              <w:rPr>
                <w:rFonts w:eastAsia="Times New Roman" w:cs="Arial"/>
                <w:b/>
                <w:bCs/>
                <w:color w:val="000000"/>
                <w:szCs w:val="20"/>
                <w:lang w:eastAsia="en-GB"/>
              </w:rPr>
            </w:pPr>
            <w:r w:rsidRPr="00282B77">
              <w:rPr>
                <w:rFonts w:eastAsia="Times New Roman" w:cs="Arial"/>
                <w:b/>
                <w:bCs/>
                <w:color w:val="000000"/>
                <w:szCs w:val="20"/>
                <w:lang w:eastAsia="en-GB"/>
              </w:rPr>
              <w:t xml:space="preserve">Food </w:t>
            </w:r>
            <w:r w:rsidR="009405CE">
              <w:rPr>
                <w:rFonts w:eastAsia="Times New Roman" w:cs="Arial"/>
                <w:b/>
                <w:bCs/>
                <w:color w:val="000000"/>
                <w:szCs w:val="20"/>
                <w:lang w:eastAsia="en-GB"/>
              </w:rPr>
              <w:t>processing</w:t>
            </w:r>
          </w:p>
        </w:tc>
      </w:tr>
      <w:tr w:rsidR="00F5463F" w:rsidRPr="00282B77" w14:paraId="783DAF3B" w14:textId="77777777" w:rsidTr="00F54736">
        <w:trPr>
          <w:trHeight w:val="270"/>
        </w:trPr>
        <w:tc>
          <w:tcPr>
            <w:tcW w:w="4934" w:type="dxa"/>
            <w:tcBorders>
              <w:top w:val="nil"/>
              <w:left w:val="single" w:sz="8" w:space="0" w:color="000000"/>
              <w:bottom w:val="single" w:sz="8" w:space="0" w:color="000000"/>
              <w:right w:val="single" w:sz="8" w:space="0" w:color="000000"/>
            </w:tcBorders>
            <w:shd w:val="clear" w:color="auto" w:fill="auto"/>
            <w:noWrap/>
            <w:hideMark/>
          </w:tcPr>
          <w:p w14:paraId="5AC480EB" w14:textId="77777777" w:rsidR="00F5463F" w:rsidRPr="00282B77" w:rsidRDefault="00F5463F" w:rsidP="00C93734">
            <w:pPr>
              <w:spacing w:after="0"/>
              <w:jc w:val="both"/>
              <w:rPr>
                <w:rFonts w:eastAsia="Times New Roman" w:cs="Arial"/>
                <w:color w:val="000000"/>
                <w:szCs w:val="20"/>
                <w:lang w:eastAsia="en-GB"/>
              </w:rPr>
            </w:pPr>
            <w:r w:rsidRPr="00282B77">
              <w:rPr>
                <w:rFonts w:eastAsia="Times New Roman" w:cs="Arial"/>
                <w:color w:val="000000"/>
                <w:szCs w:val="20"/>
                <w:lang w:eastAsia="en-GB"/>
              </w:rPr>
              <w:t>Energy &amp; utilities</w:t>
            </w:r>
          </w:p>
        </w:tc>
        <w:tc>
          <w:tcPr>
            <w:tcW w:w="1409" w:type="dxa"/>
            <w:tcBorders>
              <w:top w:val="nil"/>
              <w:left w:val="nil"/>
              <w:bottom w:val="single" w:sz="8" w:space="0" w:color="000000"/>
              <w:right w:val="single" w:sz="8" w:space="0" w:color="000000"/>
            </w:tcBorders>
            <w:shd w:val="clear" w:color="auto" w:fill="auto"/>
            <w:noWrap/>
            <w:hideMark/>
          </w:tcPr>
          <w:p w14:paraId="3F92A7D7" w14:textId="77777777" w:rsidR="00F5463F" w:rsidRPr="00282B77" w:rsidRDefault="00F5463F" w:rsidP="00C93734">
            <w:pPr>
              <w:spacing w:after="0"/>
              <w:jc w:val="both"/>
              <w:rPr>
                <w:rFonts w:eastAsia="Times New Roman" w:cs="Arial"/>
                <w:color w:val="000000"/>
                <w:szCs w:val="20"/>
                <w:lang w:eastAsia="en-GB"/>
              </w:rPr>
            </w:pPr>
            <w:r w:rsidRPr="00282B77">
              <w:rPr>
                <w:rFonts w:eastAsia="Times New Roman" w:cs="Arial"/>
                <w:color w:val="000000"/>
                <w:szCs w:val="20"/>
                <w:lang w:eastAsia="en-GB"/>
              </w:rPr>
              <w:t>19%</w:t>
            </w:r>
          </w:p>
        </w:tc>
      </w:tr>
      <w:tr w:rsidR="00F5463F" w:rsidRPr="00282B77" w14:paraId="22EA872B" w14:textId="77777777" w:rsidTr="00F54736">
        <w:trPr>
          <w:trHeight w:val="270"/>
        </w:trPr>
        <w:tc>
          <w:tcPr>
            <w:tcW w:w="4934" w:type="dxa"/>
            <w:tcBorders>
              <w:top w:val="nil"/>
              <w:left w:val="single" w:sz="8" w:space="0" w:color="000000"/>
              <w:bottom w:val="single" w:sz="8" w:space="0" w:color="000000"/>
              <w:right w:val="single" w:sz="8" w:space="0" w:color="000000"/>
            </w:tcBorders>
            <w:shd w:val="clear" w:color="auto" w:fill="auto"/>
            <w:noWrap/>
            <w:hideMark/>
          </w:tcPr>
          <w:p w14:paraId="71785940" w14:textId="77777777" w:rsidR="00F5463F" w:rsidRPr="00282B77" w:rsidRDefault="00F5463F" w:rsidP="00C93734">
            <w:pPr>
              <w:spacing w:after="0"/>
              <w:jc w:val="both"/>
              <w:rPr>
                <w:rFonts w:eastAsia="Times New Roman" w:cs="Arial"/>
                <w:color w:val="000000"/>
                <w:szCs w:val="20"/>
                <w:lang w:eastAsia="en-GB"/>
              </w:rPr>
            </w:pPr>
            <w:r w:rsidRPr="00282B77">
              <w:rPr>
                <w:rFonts w:eastAsia="Times New Roman" w:cs="Arial"/>
                <w:color w:val="000000"/>
                <w:szCs w:val="20"/>
                <w:lang w:eastAsia="en-GB"/>
              </w:rPr>
              <w:t>Financial &amp; insurance services</w:t>
            </w:r>
          </w:p>
        </w:tc>
        <w:tc>
          <w:tcPr>
            <w:tcW w:w="1409" w:type="dxa"/>
            <w:tcBorders>
              <w:top w:val="nil"/>
              <w:left w:val="nil"/>
              <w:bottom w:val="single" w:sz="8" w:space="0" w:color="000000"/>
              <w:right w:val="single" w:sz="8" w:space="0" w:color="000000"/>
            </w:tcBorders>
            <w:shd w:val="clear" w:color="auto" w:fill="auto"/>
            <w:noWrap/>
            <w:hideMark/>
          </w:tcPr>
          <w:p w14:paraId="3104DEF7" w14:textId="77777777" w:rsidR="00F5463F" w:rsidRPr="00282B77" w:rsidRDefault="00F5463F" w:rsidP="00C93734">
            <w:pPr>
              <w:spacing w:after="0"/>
              <w:jc w:val="both"/>
              <w:rPr>
                <w:rFonts w:eastAsia="Times New Roman" w:cs="Arial"/>
                <w:color w:val="000000"/>
                <w:szCs w:val="20"/>
                <w:lang w:eastAsia="en-GB"/>
              </w:rPr>
            </w:pPr>
            <w:r w:rsidRPr="00282B77">
              <w:rPr>
                <w:rFonts w:eastAsia="Times New Roman" w:cs="Arial"/>
                <w:color w:val="000000"/>
                <w:szCs w:val="20"/>
                <w:lang w:eastAsia="en-GB"/>
              </w:rPr>
              <w:t>17.8%</w:t>
            </w:r>
          </w:p>
        </w:tc>
      </w:tr>
      <w:tr w:rsidR="00F5463F" w:rsidRPr="00282B77" w14:paraId="2330E730" w14:textId="77777777" w:rsidTr="00F54736">
        <w:trPr>
          <w:trHeight w:val="270"/>
        </w:trPr>
        <w:tc>
          <w:tcPr>
            <w:tcW w:w="4934" w:type="dxa"/>
            <w:tcBorders>
              <w:top w:val="nil"/>
              <w:left w:val="single" w:sz="8" w:space="0" w:color="000000"/>
              <w:bottom w:val="single" w:sz="8" w:space="0" w:color="000000"/>
              <w:right w:val="single" w:sz="8" w:space="0" w:color="000000"/>
            </w:tcBorders>
            <w:shd w:val="clear" w:color="auto" w:fill="auto"/>
            <w:noWrap/>
            <w:hideMark/>
          </w:tcPr>
          <w:p w14:paraId="1A504382" w14:textId="77777777" w:rsidR="00F5463F" w:rsidRPr="00282B77" w:rsidRDefault="00F5463F" w:rsidP="00C93734">
            <w:pPr>
              <w:spacing w:after="0"/>
              <w:jc w:val="both"/>
              <w:rPr>
                <w:rFonts w:eastAsia="Times New Roman" w:cs="Arial"/>
                <w:color w:val="000000"/>
                <w:szCs w:val="20"/>
                <w:lang w:eastAsia="en-GB"/>
              </w:rPr>
            </w:pPr>
            <w:r w:rsidRPr="00282B77">
              <w:rPr>
                <w:rFonts w:eastAsia="Times New Roman" w:cs="Arial"/>
                <w:color w:val="000000"/>
                <w:szCs w:val="20"/>
                <w:lang w:eastAsia="en-GB"/>
              </w:rPr>
              <w:t>Catering and food</w:t>
            </w:r>
          </w:p>
        </w:tc>
        <w:tc>
          <w:tcPr>
            <w:tcW w:w="1409" w:type="dxa"/>
            <w:tcBorders>
              <w:top w:val="nil"/>
              <w:left w:val="nil"/>
              <w:bottom w:val="single" w:sz="8" w:space="0" w:color="000000"/>
              <w:right w:val="single" w:sz="8" w:space="0" w:color="000000"/>
            </w:tcBorders>
            <w:shd w:val="clear" w:color="auto" w:fill="auto"/>
            <w:noWrap/>
            <w:hideMark/>
          </w:tcPr>
          <w:p w14:paraId="143A7F43" w14:textId="77777777" w:rsidR="00F5463F" w:rsidRPr="00282B77" w:rsidRDefault="00F5463F" w:rsidP="00C93734">
            <w:pPr>
              <w:spacing w:after="0"/>
              <w:jc w:val="both"/>
              <w:rPr>
                <w:rFonts w:eastAsia="Times New Roman" w:cs="Arial"/>
                <w:color w:val="000000"/>
                <w:szCs w:val="20"/>
                <w:lang w:eastAsia="en-GB"/>
              </w:rPr>
            </w:pPr>
            <w:r w:rsidRPr="00282B77">
              <w:rPr>
                <w:rFonts w:eastAsia="Times New Roman" w:cs="Arial"/>
                <w:color w:val="000000"/>
                <w:szCs w:val="20"/>
                <w:lang w:eastAsia="en-GB"/>
              </w:rPr>
              <w:t>15%</w:t>
            </w:r>
          </w:p>
        </w:tc>
      </w:tr>
      <w:tr w:rsidR="00F5463F" w:rsidRPr="00282B77" w14:paraId="665E88EA" w14:textId="77777777" w:rsidTr="00F54736">
        <w:trPr>
          <w:trHeight w:val="270"/>
        </w:trPr>
        <w:tc>
          <w:tcPr>
            <w:tcW w:w="4934" w:type="dxa"/>
            <w:tcBorders>
              <w:top w:val="nil"/>
              <w:left w:val="single" w:sz="8" w:space="0" w:color="000000"/>
              <w:bottom w:val="single" w:sz="8" w:space="0" w:color="000000"/>
              <w:right w:val="single" w:sz="8" w:space="0" w:color="000000"/>
            </w:tcBorders>
            <w:shd w:val="clear" w:color="auto" w:fill="auto"/>
            <w:noWrap/>
            <w:hideMark/>
          </w:tcPr>
          <w:p w14:paraId="2621D89B" w14:textId="77777777" w:rsidR="00F5463F" w:rsidRPr="00282B77" w:rsidRDefault="00F5463F" w:rsidP="00C93734">
            <w:pPr>
              <w:spacing w:after="0"/>
              <w:jc w:val="both"/>
              <w:rPr>
                <w:rFonts w:eastAsia="Times New Roman" w:cs="Arial"/>
                <w:color w:val="000000"/>
                <w:szCs w:val="20"/>
                <w:lang w:eastAsia="en-GB"/>
              </w:rPr>
            </w:pPr>
            <w:r w:rsidRPr="00282B77">
              <w:rPr>
                <w:rFonts w:eastAsia="Times New Roman" w:cs="Arial"/>
                <w:color w:val="000000"/>
                <w:szCs w:val="20"/>
                <w:lang w:eastAsia="en-GB"/>
              </w:rPr>
              <w:t>Wholesale retail goods</w:t>
            </w:r>
          </w:p>
        </w:tc>
        <w:tc>
          <w:tcPr>
            <w:tcW w:w="1409" w:type="dxa"/>
            <w:tcBorders>
              <w:top w:val="nil"/>
              <w:left w:val="nil"/>
              <w:bottom w:val="single" w:sz="8" w:space="0" w:color="000000"/>
              <w:right w:val="single" w:sz="8" w:space="0" w:color="000000"/>
            </w:tcBorders>
            <w:shd w:val="clear" w:color="auto" w:fill="auto"/>
            <w:noWrap/>
            <w:hideMark/>
          </w:tcPr>
          <w:p w14:paraId="7B7F86AD" w14:textId="77777777" w:rsidR="00F5463F" w:rsidRPr="00282B77" w:rsidRDefault="00F5463F" w:rsidP="00C93734">
            <w:pPr>
              <w:spacing w:after="0"/>
              <w:jc w:val="both"/>
              <w:rPr>
                <w:rFonts w:eastAsia="Times New Roman" w:cs="Arial"/>
                <w:color w:val="000000"/>
                <w:szCs w:val="20"/>
                <w:lang w:eastAsia="en-GB"/>
              </w:rPr>
            </w:pPr>
            <w:r w:rsidRPr="00282B77">
              <w:rPr>
                <w:rFonts w:eastAsia="Times New Roman" w:cs="Arial"/>
                <w:color w:val="000000"/>
                <w:szCs w:val="20"/>
                <w:lang w:eastAsia="en-GB"/>
              </w:rPr>
              <w:t>10.3%</w:t>
            </w:r>
          </w:p>
        </w:tc>
      </w:tr>
      <w:tr w:rsidR="00F5463F" w:rsidRPr="00282B77" w14:paraId="770203AC" w14:textId="77777777" w:rsidTr="00F54736">
        <w:trPr>
          <w:trHeight w:val="270"/>
        </w:trPr>
        <w:tc>
          <w:tcPr>
            <w:tcW w:w="4934" w:type="dxa"/>
            <w:tcBorders>
              <w:top w:val="nil"/>
              <w:left w:val="single" w:sz="8" w:space="0" w:color="000000"/>
              <w:bottom w:val="single" w:sz="8" w:space="0" w:color="000000"/>
              <w:right w:val="single" w:sz="8" w:space="0" w:color="000000"/>
            </w:tcBorders>
            <w:shd w:val="clear" w:color="auto" w:fill="auto"/>
            <w:noWrap/>
            <w:hideMark/>
          </w:tcPr>
          <w:p w14:paraId="53B772C4" w14:textId="77777777" w:rsidR="00F5463F" w:rsidRPr="00282B77" w:rsidRDefault="00F5463F" w:rsidP="00C93734">
            <w:pPr>
              <w:spacing w:after="0"/>
              <w:jc w:val="both"/>
              <w:rPr>
                <w:rFonts w:eastAsia="Times New Roman" w:cs="Arial"/>
                <w:color w:val="000000"/>
                <w:szCs w:val="20"/>
                <w:lang w:eastAsia="en-GB"/>
              </w:rPr>
            </w:pPr>
            <w:r w:rsidRPr="00282B77">
              <w:rPr>
                <w:rFonts w:eastAsia="Times New Roman" w:cs="Arial"/>
                <w:color w:val="000000"/>
                <w:szCs w:val="20"/>
                <w:lang w:eastAsia="en-GB"/>
              </w:rPr>
              <w:t>Business or professional services;</w:t>
            </w:r>
          </w:p>
        </w:tc>
        <w:tc>
          <w:tcPr>
            <w:tcW w:w="1409" w:type="dxa"/>
            <w:tcBorders>
              <w:top w:val="nil"/>
              <w:left w:val="nil"/>
              <w:bottom w:val="single" w:sz="8" w:space="0" w:color="000000"/>
              <w:right w:val="single" w:sz="8" w:space="0" w:color="000000"/>
            </w:tcBorders>
            <w:shd w:val="clear" w:color="auto" w:fill="auto"/>
            <w:noWrap/>
            <w:hideMark/>
          </w:tcPr>
          <w:p w14:paraId="3FBAA969" w14:textId="77777777" w:rsidR="00F5463F" w:rsidRPr="00282B77" w:rsidRDefault="00F5463F" w:rsidP="00C93734">
            <w:pPr>
              <w:spacing w:after="0"/>
              <w:jc w:val="both"/>
              <w:rPr>
                <w:rFonts w:eastAsia="Times New Roman" w:cs="Arial"/>
                <w:color w:val="000000"/>
                <w:szCs w:val="20"/>
                <w:lang w:eastAsia="en-GB"/>
              </w:rPr>
            </w:pPr>
            <w:r w:rsidRPr="00282B77">
              <w:rPr>
                <w:rFonts w:eastAsia="Times New Roman" w:cs="Arial"/>
                <w:color w:val="000000"/>
                <w:szCs w:val="20"/>
                <w:lang w:eastAsia="en-GB"/>
              </w:rPr>
              <w:t>9.1%</w:t>
            </w:r>
          </w:p>
        </w:tc>
      </w:tr>
      <w:tr w:rsidR="00F5463F" w:rsidRPr="00282B77" w14:paraId="619A19C8" w14:textId="77777777" w:rsidTr="00F54736">
        <w:trPr>
          <w:trHeight w:val="270"/>
        </w:trPr>
        <w:tc>
          <w:tcPr>
            <w:tcW w:w="4934" w:type="dxa"/>
            <w:tcBorders>
              <w:top w:val="nil"/>
              <w:left w:val="single" w:sz="8" w:space="0" w:color="000000"/>
              <w:bottom w:val="single" w:sz="8" w:space="0" w:color="000000"/>
              <w:right w:val="single" w:sz="8" w:space="0" w:color="000000"/>
            </w:tcBorders>
            <w:shd w:val="clear" w:color="auto" w:fill="auto"/>
            <w:noWrap/>
            <w:hideMark/>
          </w:tcPr>
          <w:p w14:paraId="2353D838" w14:textId="77777777" w:rsidR="00F5463F" w:rsidRPr="00282B77" w:rsidRDefault="00F5463F" w:rsidP="00C93734">
            <w:pPr>
              <w:spacing w:after="0"/>
              <w:jc w:val="both"/>
              <w:rPr>
                <w:rFonts w:eastAsia="Times New Roman" w:cs="Arial"/>
                <w:color w:val="000000"/>
                <w:szCs w:val="20"/>
                <w:lang w:eastAsia="en-GB"/>
              </w:rPr>
            </w:pPr>
            <w:r w:rsidRPr="00282B77">
              <w:rPr>
                <w:rFonts w:eastAsia="Times New Roman" w:cs="Arial"/>
                <w:color w:val="000000"/>
                <w:szCs w:val="20"/>
                <w:lang w:eastAsia="en-GB"/>
              </w:rPr>
              <w:t>Manufactured components &amp; products</w:t>
            </w:r>
          </w:p>
        </w:tc>
        <w:tc>
          <w:tcPr>
            <w:tcW w:w="1409" w:type="dxa"/>
            <w:tcBorders>
              <w:top w:val="nil"/>
              <w:left w:val="nil"/>
              <w:bottom w:val="single" w:sz="8" w:space="0" w:color="000000"/>
              <w:right w:val="single" w:sz="8" w:space="0" w:color="000000"/>
            </w:tcBorders>
            <w:shd w:val="clear" w:color="auto" w:fill="auto"/>
            <w:noWrap/>
            <w:hideMark/>
          </w:tcPr>
          <w:p w14:paraId="629AA433" w14:textId="77777777" w:rsidR="00F5463F" w:rsidRPr="00282B77" w:rsidRDefault="00F5463F" w:rsidP="00C93734">
            <w:pPr>
              <w:spacing w:after="0"/>
              <w:jc w:val="both"/>
              <w:rPr>
                <w:rFonts w:eastAsia="Times New Roman" w:cs="Arial"/>
                <w:color w:val="000000"/>
                <w:szCs w:val="20"/>
                <w:lang w:eastAsia="en-GB"/>
              </w:rPr>
            </w:pPr>
            <w:r w:rsidRPr="00282B77">
              <w:rPr>
                <w:rFonts w:eastAsia="Times New Roman" w:cs="Arial"/>
                <w:color w:val="000000"/>
                <w:szCs w:val="20"/>
                <w:lang w:eastAsia="en-GB"/>
              </w:rPr>
              <w:t>7.9%</w:t>
            </w:r>
          </w:p>
        </w:tc>
      </w:tr>
      <w:tr w:rsidR="00F5463F" w:rsidRPr="00282B77" w14:paraId="6E860B82" w14:textId="77777777" w:rsidTr="00F54736">
        <w:trPr>
          <w:trHeight w:val="270"/>
        </w:trPr>
        <w:tc>
          <w:tcPr>
            <w:tcW w:w="4934" w:type="dxa"/>
            <w:tcBorders>
              <w:top w:val="nil"/>
              <w:left w:val="single" w:sz="8" w:space="0" w:color="000000"/>
              <w:bottom w:val="single" w:sz="8" w:space="0" w:color="000000"/>
              <w:right w:val="single" w:sz="8" w:space="0" w:color="000000"/>
            </w:tcBorders>
            <w:shd w:val="clear" w:color="auto" w:fill="auto"/>
            <w:noWrap/>
            <w:hideMark/>
          </w:tcPr>
          <w:p w14:paraId="6FDC0504" w14:textId="77777777" w:rsidR="00F5463F" w:rsidRPr="00282B77" w:rsidRDefault="00F5463F" w:rsidP="00C93734">
            <w:pPr>
              <w:spacing w:after="0"/>
              <w:jc w:val="both"/>
              <w:rPr>
                <w:rFonts w:eastAsia="Times New Roman" w:cs="Arial"/>
                <w:color w:val="000000"/>
                <w:szCs w:val="20"/>
                <w:lang w:eastAsia="en-GB"/>
              </w:rPr>
            </w:pPr>
            <w:r w:rsidRPr="00282B77">
              <w:rPr>
                <w:rFonts w:eastAsia="Times New Roman" w:cs="Arial"/>
                <w:color w:val="000000"/>
                <w:szCs w:val="20"/>
                <w:lang w:eastAsia="en-GB"/>
              </w:rPr>
              <w:t>Logistics, freight service, storage &amp; distribution services</w:t>
            </w:r>
          </w:p>
        </w:tc>
        <w:tc>
          <w:tcPr>
            <w:tcW w:w="1409" w:type="dxa"/>
            <w:tcBorders>
              <w:top w:val="nil"/>
              <w:left w:val="nil"/>
              <w:bottom w:val="single" w:sz="8" w:space="0" w:color="000000"/>
              <w:right w:val="single" w:sz="8" w:space="0" w:color="000000"/>
            </w:tcBorders>
            <w:shd w:val="clear" w:color="auto" w:fill="auto"/>
            <w:noWrap/>
            <w:hideMark/>
          </w:tcPr>
          <w:p w14:paraId="66B951DA" w14:textId="77777777" w:rsidR="00F5463F" w:rsidRPr="00282B77" w:rsidRDefault="00F5463F" w:rsidP="00C93734">
            <w:pPr>
              <w:spacing w:after="0"/>
              <w:jc w:val="both"/>
              <w:rPr>
                <w:rFonts w:eastAsia="Times New Roman" w:cs="Arial"/>
                <w:color w:val="000000"/>
                <w:szCs w:val="20"/>
                <w:lang w:eastAsia="en-GB"/>
              </w:rPr>
            </w:pPr>
            <w:r w:rsidRPr="00282B77">
              <w:rPr>
                <w:rFonts w:eastAsia="Times New Roman" w:cs="Arial"/>
                <w:color w:val="000000"/>
                <w:szCs w:val="20"/>
                <w:lang w:eastAsia="en-GB"/>
              </w:rPr>
              <w:t>7.9%</w:t>
            </w:r>
          </w:p>
        </w:tc>
      </w:tr>
      <w:tr w:rsidR="00F5463F" w:rsidRPr="00282B77" w14:paraId="6EAD4275" w14:textId="77777777" w:rsidTr="00F54736">
        <w:trPr>
          <w:trHeight w:val="270"/>
        </w:trPr>
        <w:tc>
          <w:tcPr>
            <w:tcW w:w="4934" w:type="dxa"/>
            <w:tcBorders>
              <w:top w:val="nil"/>
              <w:left w:val="single" w:sz="8" w:space="0" w:color="000000"/>
              <w:bottom w:val="single" w:sz="8" w:space="0" w:color="000000"/>
              <w:right w:val="single" w:sz="8" w:space="0" w:color="000000"/>
            </w:tcBorders>
            <w:shd w:val="clear" w:color="auto" w:fill="auto"/>
            <w:noWrap/>
            <w:hideMark/>
          </w:tcPr>
          <w:p w14:paraId="277468F9" w14:textId="77777777" w:rsidR="00F5463F" w:rsidRPr="00282B77" w:rsidRDefault="00F5463F" w:rsidP="00C93734">
            <w:pPr>
              <w:spacing w:after="0"/>
              <w:jc w:val="both"/>
              <w:rPr>
                <w:rFonts w:eastAsia="Times New Roman" w:cs="Arial"/>
                <w:color w:val="000000"/>
                <w:szCs w:val="20"/>
                <w:lang w:eastAsia="en-GB"/>
              </w:rPr>
            </w:pPr>
            <w:r w:rsidRPr="00282B77">
              <w:rPr>
                <w:rFonts w:eastAsia="Times New Roman" w:cs="Arial"/>
                <w:color w:val="000000"/>
                <w:szCs w:val="20"/>
                <w:lang w:eastAsia="en-GB"/>
              </w:rPr>
              <w:t>Education &amp; research</w:t>
            </w:r>
          </w:p>
        </w:tc>
        <w:tc>
          <w:tcPr>
            <w:tcW w:w="1409" w:type="dxa"/>
            <w:tcBorders>
              <w:top w:val="nil"/>
              <w:left w:val="nil"/>
              <w:bottom w:val="single" w:sz="8" w:space="0" w:color="000000"/>
              <w:right w:val="single" w:sz="8" w:space="0" w:color="000000"/>
            </w:tcBorders>
            <w:shd w:val="clear" w:color="auto" w:fill="auto"/>
            <w:noWrap/>
            <w:hideMark/>
          </w:tcPr>
          <w:p w14:paraId="37EBDDEB" w14:textId="77777777" w:rsidR="00F5463F" w:rsidRPr="00282B77" w:rsidRDefault="00F5463F" w:rsidP="00C93734">
            <w:pPr>
              <w:spacing w:after="0"/>
              <w:jc w:val="both"/>
              <w:rPr>
                <w:rFonts w:eastAsia="Times New Roman" w:cs="Arial"/>
                <w:color w:val="000000"/>
                <w:szCs w:val="20"/>
                <w:lang w:eastAsia="en-GB"/>
              </w:rPr>
            </w:pPr>
            <w:r w:rsidRPr="00282B77">
              <w:rPr>
                <w:rFonts w:eastAsia="Times New Roman" w:cs="Arial"/>
                <w:color w:val="000000"/>
                <w:szCs w:val="20"/>
                <w:lang w:eastAsia="en-GB"/>
              </w:rPr>
              <w:t>3.2%</w:t>
            </w:r>
          </w:p>
        </w:tc>
      </w:tr>
      <w:tr w:rsidR="00F5463F" w:rsidRPr="00282B77" w14:paraId="3B0FBE40" w14:textId="77777777" w:rsidTr="00F54736">
        <w:trPr>
          <w:trHeight w:val="270"/>
        </w:trPr>
        <w:tc>
          <w:tcPr>
            <w:tcW w:w="4934" w:type="dxa"/>
            <w:tcBorders>
              <w:top w:val="nil"/>
              <w:left w:val="single" w:sz="8" w:space="0" w:color="000000"/>
              <w:bottom w:val="single" w:sz="8" w:space="0" w:color="000000"/>
              <w:right w:val="single" w:sz="8" w:space="0" w:color="000000"/>
            </w:tcBorders>
            <w:shd w:val="clear" w:color="auto" w:fill="auto"/>
            <w:noWrap/>
            <w:hideMark/>
          </w:tcPr>
          <w:p w14:paraId="07DB644A" w14:textId="77777777" w:rsidR="00F5463F" w:rsidRPr="00282B77" w:rsidRDefault="00F5463F" w:rsidP="00C93734">
            <w:pPr>
              <w:spacing w:after="0"/>
              <w:jc w:val="both"/>
              <w:rPr>
                <w:rFonts w:eastAsia="Times New Roman" w:cs="Arial"/>
                <w:color w:val="000000"/>
                <w:szCs w:val="20"/>
                <w:lang w:eastAsia="en-GB"/>
              </w:rPr>
            </w:pPr>
            <w:r w:rsidRPr="00282B77">
              <w:rPr>
                <w:rFonts w:eastAsia="Times New Roman" w:cs="Arial"/>
                <w:color w:val="000000"/>
                <w:szCs w:val="20"/>
                <w:lang w:eastAsia="en-GB"/>
              </w:rPr>
              <w:t>Other transport services</w:t>
            </w:r>
          </w:p>
        </w:tc>
        <w:tc>
          <w:tcPr>
            <w:tcW w:w="1409" w:type="dxa"/>
            <w:tcBorders>
              <w:top w:val="nil"/>
              <w:left w:val="nil"/>
              <w:bottom w:val="single" w:sz="8" w:space="0" w:color="000000"/>
              <w:right w:val="single" w:sz="8" w:space="0" w:color="000000"/>
            </w:tcBorders>
            <w:shd w:val="clear" w:color="auto" w:fill="auto"/>
            <w:noWrap/>
            <w:hideMark/>
          </w:tcPr>
          <w:p w14:paraId="06A32003" w14:textId="77777777" w:rsidR="00F5463F" w:rsidRPr="00282B77" w:rsidRDefault="00F5463F" w:rsidP="00C93734">
            <w:pPr>
              <w:spacing w:after="0"/>
              <w:jc w:val="both"/>
              <w:rPr>
                <w:rFonts w:eastAsia="Times New Roman" w:cs="Arial"/>
                <w:color w:val="000000"/>
                <w:szCs w:val="20"/>
                <w:lang w:eastAsia="en-GB"/>
              </w:rPr>
            </w:pPr>
            <w:r w:rsidRPr="00282B77">
              <w:rPr>
                <w:rFonts w:eastAsia="Times New Roman" w:cs="Arial"/>
                <w:color w:val="000000"/>
                <w:szCs w:val="20"/>
                <w:lang w:eastAsia="en-GB"/>
              </w:rPr>
              <w:t>2.8%</w:t>
            </w:r>
          </w:p>
        </w:tc>
      </w:tr>
      <w:tr w:rsidR="00F5463F" w:rsidRPr="00282B77" w14:paraId="58099DED" w14:textId="77777777" w:rsidTr="00F54736">
        <w:trPr>
          <w:trHeight w:val="270"/>
        </w:trPr>
        <w:tc>
          <w:tcPr>
            <w:tcW w:w="4934" w:type="dxa"/>
            <w:tcBorders>
              <w:top w:val="nil"/>
              <w:left w:val="single" w:sz="8" w:space="0" w:color="000000"/>
              <w:bottom w:val="single" w:sz="8" w:space="0" w:color="000000"/>
              <w:right w:val="single" w:sz="8" w:space="0" w:color="000000"/>
            </w:tcBorders>
            <w:shd w:val="clear" w:color="auto" w:fill="auto"/>
            <w:noWrap/>
            <w:hideMark/>
          </w:tcPr>
          <w:p w14:paraId="660268B3" w14:textId="77777777" w:rsidR="00F5463F" w:rsidRPr="00282B77" w:rsidRDefault="00F5463F" w:rsidP="00C93734">
            <w:pPr>
              <w:spacing w:after="0"/>
              <w:jc w:val="both"/>
              <w:rPr>
                <w:rFonts w:eastAsia="Times New Roman" w:cs="Arial"/>
                <w:color w:val="000000"/>
                <w:szCs w:val="20"/>
                <w:lang w:eastAsia="en-GB"/>
              </w:rPr>
            </w:pPr>
            <w:r w:rsidRPr="00282B77">
              <w:rPr>
                <w:rFonts w:eastAsia="Times New Roman" w:cs="Arial"/>
                <w:color w:val="000000"/>
                <w:szCs w:val="20"/>
                <w:lang w:eastAsia="en-GB"/>
              </w:rPr>
              <w:t>Construction services</w:t>
            </w:r>
          </w:p>
        </w:tc>
        <w:tc>
          <w:tcPr>
            <w:tcW w:w="1409" w:type="dxa"/>
            <w:tcBorders>
              <w:top w:val="nil"/>
              <w:left w:val="nil"/>
              <w:bottom w:val="single" w:sz="8" w:space="0" w:color="000000"/>
              <w:right w:val="single" w:sz="8" w:space="0" w:color="000000"/>
            </w:tcBorders>
            <w:shd w:val="clear" w:color="auto" w:fill="auto"/>
            <w:noWrap/>
            <w:hideMark/>
          </w:tcPr>
          <w:p w14:paraId="057797DD" w14:textId="77777777" w:rsidR="00F5463F" w:rsidRPr="00282B77" w:rsidRDefault="00F5463F" w:rsidP="00C93734">
            <w:pPr>
              <w:spacing w:after="0"/>
              <w:jc w:val="both"/>
              <w:rPr>
                <w:rFonts w:eastAsia="Times New Roman" w:cs="Arial"/>
                <w:color w:val="000000"/>
                <w:szCs w:val="20"/>
                <w:lang w:eastAsia="en-GB"/>
              </w:rPr>
            </w:pPr>
            <w:r w:rsidRPr="00282B77">
              <w:rPr>
                <w:rFonts w:eastAsia="Times New Roman" w:cs="Arial"/>
                <w:color w:val="000000"/>
                <w:szCs w:val="20"/>
                <w:lang w:eastAsia="en-GB"/>
              </w:rPr>
              <w:t>2%</w:t>
            </w:r>
          </w:p>
        </w:tc>
      </w:tr>
    </w:tbl>
    <w:p w14:paraId="03FC601F" w14:textId="77777777" w:rsidR="00F5463F" w:rsidRPr="00282B77" w:rsidRDefault="00F5463F" w:rsidP="00C93734">
      <w:pPr>
        <w:pStyle w:val="TableSource"/>
        <w:jc w:val="both"/>
      </w:pPr>
      <w:r w:rsidRPr="00282B77">
        <w:t>Source: Hill Taylor and Atkins 2013. Atkins Ref: Survey –A13</w:t>
      </w:r>
    </w:p>
    <w:p w14:paraId="040042A2" w14:textId="77777777" w:rsidR="00A51600" w:rsidRDefault="00F5463F" w:rsidP="00C93734">
      <w:pPr>
        <w:jc w:val="both"/>
        <w:rPr>
          <w:rFonts w:cs="Arial"/>
        </w:rPr>
      </w:pPr>
      <w:r w:rsidRPr="00282B77">
        <w:rPr>
          <w:rFonts w:cs="Arial"/>
        </w:rPr>
        <w:t xml:space="preserve">A high proportion </w:t>
      </w:r>
      <w:r w:rsidR="00E30FCA" w:rsidRPr="00282B77">
        <w:rPr>
          <w:rFonts w:cs="Arial"/>
        </w:rPr>
        <w:t xml:space="preserve">of suppliers are from the </w:t>
      </w:r>
      <w:r w:rsidR="00C10D29">
        <w:rPr>
          <w:rFonts w:cs="Arial"/>
        </w:rPr>
        <w:t>Humber area or wider region</w:t>
      </w:r>
      <w:r w:rsidR="00E30FCA" w:rsidRPr="00282B77">
        <w:rPr>
          <w:rFonts w:cs="Arial"/>
        </w:rPr>
        <w:t xml:space="preserve"> </w:t>
      </w:r>
      <w:r w:rsidRPr="00282B77">
        <w:rPr>
          <w:rFonts w:cs="Arial"/>
        </w:rPr>
        <w:t>(57.8%)</w:t>
      </w:r>
      <w:r w:rsidR="003A7678">
        <w:rPr>
          <w:rFonts w:cs="Arial"/>
        </w:rPr>
        <w:t>, reflecting</w:t>
      </w:r>
      <w:r w:rsidR="00C10D29">
        <w:rPr>
          <w:rFonts w:cs="Arial"/>
        </w:rPr>
        <w:t xml:space="preserve"> in particular</w:t>
      </w:r>
      <w:r w:rsidR="003A7678">
        <w:rPr>
          <w:rFonts w:cs="Arial"/>
        </w:rPr>
        <w:t xml:space="preserve"> the established nature of the </w:t>
      </w:r>
      <w:r w:rsidR="00E30FCA" w:rsidRPr="00282B77">
        <w:rPr>
          <w:rFonts w:cs="Arial"/>
        </w:rPr>
        <w:t xml:space="preserve">supply base </w:t>
      </w:r>
      <w:r w:rsidR="003A7678">
        <w:rPr>
          <w:rFonts w:cs="Arial"/>
        </w:rPr>
        <w:t>around</w:t>
      </w:r>
      <w:r w:rsidR="00E30FCA" w:rsidRPr="00282B77">
        <w:rPr>
          <w:rFonts w:cs="Arial"/>
        </w:rPr>
        <w:t xml:space="preserve"> Grimsby.  Given that Grimsby supplies fish and other food products to most of the UK’s supermarkets, it is not surprising that a</w:t>
      </w:r>
      <w:r w:rsidR="00E30FCA">
        <w:rPr>
          <w:rFonts w:cs="Arial"/>
        </w:rPr>
        <w:t xml:space="preserve"> lesser proportion of customers are based locally (4</w:t>
      </w:r>
      <w:r w:rsidR="00A51600">
        <w:rPr>
          <w:rFonts w:cs="Arial"/>
        </w:rPr>
        <w:t>4%).  Nevertheless, th</w:t>
      </w:r>
      <w:r w:rsidR="003A7678">
        <w:rPr>
          <w:rFonts w:cs="Arial"/>
        </w:rPr>
        <w:t>e</w:t>
      </w:r>
      <w:r w:rsidR="00A51600">
        <w:rPr>
          <w:rFonts w:cs="Arial"/>
        </w:rPr>
        <w:t xml:space="preserve"> degree of local customer concentration remains high</w:t>
      </w:r>
      <w:r w:rsidR="006C2F73">
        <w:rPr>
          <w:rFonts w:cs="Arial"/>
        </w:rPr>
        <w:t>,</w:t>
      </w:r>
      <w:r w:rsidR="003A7678">
        <w:rPr>
          <w:rFonts w:cs="Arial"/>
        </w:rPr>
        <w:t xml:space="preserve"> </w:t>
      </w:r>
      <w:r w:rsidR="00A51600">
        <w:rPr>
          <w:rFonts w:cs="Arial"/>
        </w:rPr>
        <w:t xml:space="preserve">again </w:t>
      </w:r>
      <w:r w:rsidR="006C2F73">
        <w:rPr>
          <w:rFonts w:cs="Arial"/>
        </w:rPr>
        <w:t xml:space="preserve">demonstrating </w:t>
      </w:r>
      <w:r w:rsidR="00A51600">
        <w:rPr>
          <w:rFonts w:cs="Arial"/>
        </w:rPr>
        <w:t xml:space="preserve">the importance of inter-dependence between local businesses in the sector.  </w:t>
      </w:r>
    </w:p>
    <w:p w14:paraId="1908EB44" w14:textId="77777777" w:rsidR="00F5463F" w:rsidRDefault="00A51600" w:rsidP="00C93734">
      <w:pPr>
        <w:jc w:val="both"/>
        <w:rPr>
          <w:rFonts w:cs="Arial"/>
        </w:rPr>
      </w:pPr>
      <w:r>
        <w:rPr>
          <w:rFonts w:cs="Arial"/>
        </w:rPr>
        <w:t xml:space="preserve">Interestingly, exports are low with only 4.6% of customer purchases being based in Europe and a further </w:t>
      </w:r>
      <w:r w:rsidR="00F5463F">
        <w:rPr>
          <w:rFonts w:cs="Arial"/>
        </w:rPr>
        <w:t>1.5%</w:t>
      </w:r>
      <w:r>
        <w:rPr>
          <w:rFonts w:cs="Arial"/>
        </w:rPr>
        <w:t xml:space="preserve"> in other worldwide locations</w:t>
      </w:r>
      <w:r w:rsidR="00F5463F">
        <w:rPr>
          <w:rFonts w:cs="Arial"/>
        </w:rPr>
        <w:t xml:space="preserve">.  A higher proportion of suppliers are </w:t>
      </w:r>
      <w:r>
        <w:rPr>
          <w:rFonts w:cs="Arial"/>
        </w:rPr>
        <w:t xml:space="preserve">from Europe compared to other key sectors which indicates the extent to which fish is imported to Grimsby for processing and onward distribution to the UK market. </w:t>
      </w:r>
    </w:p>
    <w:p w14:paraId="06363BD7" w14:textId="77777777" w:rsidR="00F5463F" w:rsidRDefault="00F5463F" w:rsidP="00C93734">
      <w:pPr>
        <w:pStyle w:val="Caption"/>
        <w:jc w:val="both"/>
      </w:pPr>
      <w:r>
        <w:t xml:space="preserve">Table </w:t>
      </w:r>
      <w:fldSimple w:instr=" STYLEREF 1 \s  \* MERGEFORMAT ">
        <w:r w:rsidR="00E95E1A">
          <w:rPr>
            <w:noProof/>
          </w:rPr>
          <w:t>5</w:t>
        </w:r>
      </w:fldSimple>
      <w:r>
        <w:t>-</w:t>
      </w:r>
      <w:fldSimple w:instr=" SEQ Table \* ARABIC \s 1  \* MERGEFORMAT ">
        <w:r w:rsidR="00E95E1A">
          <w:rPr>
            <w:noProof/>
          </w:rPr>
          <w:t>6</w:t>
        </w:r>
      </w:fldSimple>
      <w:r>
        <w:tab/>
        <w:t xml:space="preserve">Location of Suppliers &amp; Clients </w:t>
      </w:r>
    </w:p>
    <w:tbl>
      <w:tblPr>
        <w:tblStyle w:val="Atkins14pt"/>
        <w:tblW w:w="5188" w:type="dxa"/>
        <w:tblLook w:val="04A0" w:firstRow="1" w:lastRow="0" w:firstColumn="1" w:lastColumn="0" w:noHBand="0" w:noVBand="1"/>
      </w:tblPr>
      <w:tblGrid>
        <w:gridCol w:w="2768"/>
        <w:gridCol w:w="1274"/>
        <w:gridCol w:w="1146"/>
      </w:tblGrid>
      <w:tr w:rsidR="00F5463F" w:rsidRPr="00F5463F" w14:paraId="1D6BC7A1" w14:textId="77777777" w:rsidTr="00F5463F">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2768" w:type="dxa"/>
            <w:vMerge w:val="restart"/>
            <w:shd w:val="clear" w:color="auto" w:fill="E6E4DE" w:themeFill="accent6"/>
            <w:noWrap/>
            <w:hideMark/>
          </w:tcPr>
          <w:p w14:paraId="69A25A0E" w14:textId="77777777" w:rsidR="00F5463F" w:rsidRPr="00F5463F" w:rsidRDefault="00F5463F" w:rsidP="00C93734">
            <w:pPr>
              <w:spacing w:after="0"/>
              <w:jc w:val="both"/>
              <w:rPr>
                <w:rFonts w:eastAsia="Times New Roman"/>
                <w:color w:val="000000"/>
              </w:rPr>
            </w:pPr>
            <w:r w:rsidRPr="00F5463F">
              <w:rPr>
                <w:rFonts w:eastAsia="Times New Roman"/>
                <w:color w:val="000000"/>
              </w:rPr>
              <w:t> </w:t>
            </w:r>
          </w:p>
        </w:tc>
        <w:tc>
          <w:tcPr>
            <w:tcW w:w="2420" w:type="dxa"/>
            <w:gridSpan w:val="2"/>
            <w:shd w:val="clear" w:color="auto" w:fill="E6E4DE" w:themeFill="accent6"/>
            <w:noWrap/>
            <w:hideMark/>
          </w:tcPr>
          <w:p w14:paraId="1465B8B6" w14:textId="77777777" w:rsidR="00F5463F" w:rsidRPr="00F5463F" w:rsidRDefault="00F5463F"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bCs/>
                <w:color w:val="000000"/>
              </w:rPr>
            </w:pPr>
            <w:r w:rsidRPr="00F5463F">
              <w:rPr>
                <w:rFonts w:eastAsia="Times New Roman"/>
                <w:bCs/>
                <w:color w:val="000000"/>
              </w:rPr>
              <w:t xml:space="preserve">Food </w:t>
            </w:r>
            <w:r w:rsidR="00185EE9">
              <w:rPr>
                <w:rFonts w:eastAsia="Times New Roman"/>
                <w:bCs/>
                <w:color w:val="000000"/>
              </w:rPr>
              <w:t>Processing</w:t>
            </w:r>
          </w:p>
        </w:tc>
      </w:tr>
      <w:tr w:rsidR="00F5463F" w:rsidRPr="00F5463F" w14:paraId="541EAFB7" w14:textId="77777777" w:rsidTr="00F5463F">
        <w:trPr>
          <w:trHeight w:val="270"/>
        </w:trPr>
        <w:tc>
          <w:tcPr>
            <w:cnfStyle w:val="001000000000" w:firstRow="0" w:lastRow="0" w:firstColumn="1" w:lastColumn="0" w:oddVBand="0" w:evenVBand="0" w:oddHBand="0" w:evenHBand="0" w:firstRowFirstColumn="0" w:firstRowLastColumn="0" w:lastRowFirstColumn="0" w:lastRowLastColumn="0"/>
            <w:tcW w:w="2768" w:type="dxa"/>
            <w:vMerge/>
            <w:shd w:val="clear" w:color="auto" w:fill="E6E4DE" w:themeFill="accent6"/>
            <w:hideMark/>
          </w:tcPr>
          <w:p w14:paraId="4AD63717" w14:textId="77777777" w:rsidR="00F5463F" w:rsidRPr="00F5463F" w:rsidRDefault="00F5463F" w:rsidP="00C93734">
            <w:pPr>
              <w:spacing w:after="0"/>
              <w:jc w:val="both"/>
              <w:rPr>
                <w:rFonts w:eastAsia="Times New Roman"/>
                <w:color w:val="000000"/>
              </w:rPr>
            </w:pPr>
          </w:p>
        </w:tc>
        <w:tc>
          <w:tcPr>
            <w:tcW w:w="1274" w:type="dxa"/>
            <w:shd w:val="clear" w:color="auto" w:fill="E6E4DE" w:themeFill="accent6"/>
            <w:noWrap/>
            <w:hideMark/>
          </w:tcPr>
          <w:p w14:paraId="170C51C3" w14:textId="77777777" w:rsidR="00F5463F" w:rsidRPr="00F5463F" w:rsidRDefault="00F5463F"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F5463F">
              <w:rPr>
                <w:rFonts w:eastAsia="Times New Roman"/>
                <w:b/>
                <w:bCs/>
                <w:color w:val="000000"/>
              </w:rPr>
              <w:t>Customers</w:t>
            </w:r>
          </w:p>
        </w:tc>
        <w:tc>
          <w:tcPr>
            <w:tcW w:w="1146" w:type="dxa"/>
            <w:shd w:val="clear" w:color="auto" w:fill="E6E4DE" w:themeFill="accent6"/>
            <w:noWrap/>
            <w:hideMark/>
          </w:tcPr>
          <w:p w14:paraId="4EA9689A" w14:textId="77777777" w:rsidR="00F5463F" w:rsidRPr="00F5463F" w:rsidRDefault="00F5463F"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F5463F">
              <w:rPr>
                <w:rFonts w:eastAsia="Times New Roman"/>
                <w:b/>
                <w:bCs/>
                <w:color w:val="000000"/>
              </w:rPr>
              <w:t>Suppliers</w:t>
            </w:r>
          </w:p>
        </w:tc>
      </w:tr>
      <w:tr w:rsidR="00F5463F" w:rsidRPr="00F5463F" w14:paraId="054671E9" w14:textId="77777777" w:rsidTr="00F5463F">
        <w:trPr>
          <w:trHeight w:val="270"/>
        </w:trPr>
        <w:tc>
          <w:tcPr>
            <w:cnfStyle w:val="001000000000" w:firstRow="0" w:lastRow="0" w:firstColumn="1" w:lastColumn="0" w:oddVBand="0" w:evenVBand="0" w:oddHBand="0" w:evenHBand="0" w:firstRowFirstColumn="0" w:firstRowLastColumn="0" w:lastRowFirstColumn="0" w:lastRowLastColumn="0"/>
            <w:tcW w:w="2768" w:type="dxa"/>
            <w:noWrap/>
            <w:hideMark/>
          </w:tcPr>
          <w:p w14:paraId="3847DC2B" w14:textId="77777777" w:rsidR="00F5463F" w:rsidRPr="00F5463F" w:rsidRDefault="00F5463F" w:rsidP="00C93734">
            <w:pPr>
              <w:spacing w:after="0"/>
              <w:jc w:val="both"/>
              <w:rPr>
                <w:rFonts w:eastAsia="Times New Roman"/>
                <w:color w:val="000000"/>
              </w:rPr>
            </w:pPr>
            <w:r w:rsidRPr="00F5463F">
              <w:rPr>
                <w:rFonts w:eastAsia="Times New Roman"/>
                <w:color w:val="000000"/>
              </w:rPr>
              <w:t>Lincolnshire / Humber</w:t>
            </w:r>
          </w:p>
        </w:tc>
        <w:tc>
          <w:tcPr>
            <w:tcW w:w="1274" w:type="dxa"/>
            <w:noWrap/>
            <w:hideMark/>
          </w:tcPr>
          <w:p w14:paraId="37D62B8C" w14:textId="77777777" w:rsidR="00F5463F" w:rsidRPr="00F5463F" w:rsidRDefault="002C1B79"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31.3</w:t>
            </w:r>
            <w:r w:rsidR="00F5463F" w:rsidRPr="00F5463F">
              <w:rPr>
                <w:rFonts w:eastAsia="Times New Roman"/>
                <w:color w:val="000000"/>
              </w:rPr>
              <w:t>%</w:t>
            </w:r>
          </w:p>
        </w:tc>
        <w:tc>
          <w:tcPr>
            <w:tcW w:w="1146" w:type="dxa"/>
            <w:noWrap/>
            <w:hideMark/>
          </w:tcPr>
          <w:p w14:paraId="2E51701A" w14:textId="77777777" w:rsidR="00F5463F" w:rsidRPr="00F5463F" w:rsidRDefault="002C1B79"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41.1</w:t>
            </w:r>
            <w:r w:rsidR="00F5463F" w:rsidRPr="00F5463F">
              <w:rPr>
                <w:rFonts w:eastAsia="Times New Roman"/>
                <w:color w:val="000000"/>
              </w:rPr>
              <w:t>%</w:t>
            </w:r>
          </w:p>
        </w:tc>
      </w:tr>
      <w:tr w:rsidR="00F5463F" w:rsidRPr="00F5463F" w14:paraId="1338FA37" w14:textId="77777777" w:rsidTr="00F5463F">
        <w:trPr>
          <w:trHeight w:val="270"/>
        </w:trPr>
        <w:tc>
          <w:tcPr>
            <w:cnfStyle w:val="001000000000" w:firstRow="0" w:lastRow="0" w:firstColumn="1" w:lastColumn="0" w:oddVBand="0" w:evenVBand="0" w:oddHBand="0" w:evenHBand="0" w:firstRowFirstColumn="0" w:firstRowLastColumn="0" w:lastRowFirstColumn="0" w:lastRowLastColumn="0"/>
            <w:tcW w:w="2768" w:type="dxa"/>
            <w:noWrap/>
            <w:hideMark/>
          </w:tcPr>
          <w:p w14:paraId="7A8CB0A9" w14:textId="77777777" w:rsidR="00F5463F" w:rsidRPr="00F5463F" w:rsidRDefault="00F5463F" w:rsidP="00C93734">
            <w:pPr>
              <w:spacing w:after="0"/>
              <w:jc w:val="both"/>
              <w:rPr>
                <w:rFonts w:eastAsia="Times New Roman"/>
                <w:color w:val="000000"/>
              </w:rPr>
            </w:pPr>
            <w:r w:rsidRPr="00F5463F">
              <w:rPr>
                <w:rFonts w:eastAsia="Times New Roman"/>
                <w:color w:val="000000"/>
              </w:rPr>
              <w:t>Elsewhere in Yorkshire and Humber</w:t>
            </w:r>
          </w:p>
        </w:tc>
        <w:tc>
          <w:tcPr>
            <w:tcW w:w="1274" w:type="dxa"/>
            <w:noWrap/>
            <w:hideMark/>
          </w:tcPr>
          <w:p w14:paraId="02624C5E" w14:textId="77777777" w:rsidR="00F5463F" w:rsidRPr="00F5463F" w:rsidRDefault="002C1B79"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13.0</w:t>
            </w:r>
            <w:r w:rsidR="00F5463F" w:rsidRPr="00F5463F">
              <w:rPr>
                <w:rFonts w:eastAsia="Times New Roman"/>
                <w:color w:val="000000"/>
              </w:rPr>
              <w:t>%</w:t>
            </w:r>
          </w:p>
        </w:tc>
        <w:tc>
          <w:tcPr>
            <w:tcW w:w="1146" w:type="dxa"/>
            <w:noWrap/>
            <w:hideMark/>
          </w:tcPr>
          <w:p w14:paraId="10186720" w14:textId="77777777" w:rsidR="00F5463F" w:rsidRPr="00F5463F" w:rsidRDefault="002C1B79"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16.7</w:t>
            </w:r>
            <w:r w:rsidR="00F5463F" w:rsidRPr="00F5463F">
              <w:rPr>
                <w:rFonts w:eastAsia="Times New Roman"/>
                <w:color w:val="000000"/>
              </w:rPr>
              <w:t>%</w:t>
            </w:r>
          </w:p>
        </w:tc>
      </w:tr>
      <w:tr w:rsidR="00F5463F" w:rsidRPr="00F5463F" w14:paraId="7DD4F281" w14:textId="77777777" w:rsidTr="00F5463F">
        <w:trPr>
          <w:trHeight w:val="270"/>
        </w:trPr>
        <w:tc>
          <w:tcPr>
            <w:cnfStyle w:val="001000000000" w:firstRow="0" w:lastRow="0" w:firstColumn="1" w:lastColumn="0" w:oddVBand="0" w:evenVBand="0" w:oddHBand="0" w:evenHBand="0" w:firstRowFirstColumn="0" w:firstRowLastColumn="0" w:lastRowFirstColumn="0" w:lastRowLastColumn="0"/>
            <w:tcW w:w="2768" w:type="dxa"/>
            <w:shd w:val="clear" w:color="auto" w:fill="E6E4DE" w:themeFill="accent6"/>
            <w:noWrap/>
            <w:hideMark/>
          </w:tcPr>
          <w:p w14:paraId="0BE3D452" w14:textId="77777777" w:rsidR="00F5463F" w:rsidRPr="00F5463F" w:rsidRDefault="00F5463F" w:rsidP="00C93734">
            <w:pPr>
              <w:spacing w:after="0"/>
              <w:jc w:val="both"/>
              <w:rPr>
                <w:rFonts w:eastAsia="Times New Roman"/>
                <w:b/>
                <w:bCs/>
                <w:color w:val="000000"/>
              </w:rPr>
            </w:pPr>
            <w:r w:rsidRPr="00F5463F">
              <w:rPr>
                <w:rFonts w:eastAsia="Times New Roman"/>
                <w:b/>
                <w:bCs/>
                <w:color w:val="000000"/>
              </w:rPr>
              <w:t>Local Area</w:t>
            </w:r>
          </w:p>
        </w:tc>
        <w:tc>
          <w:tcPr>
            <w:tcW w:w="1274" w:type="dxa"/>
            <w:shd w:val="clear" w:color="auto" w:fill="E6E4DE" w:themeFill="accent6"/>
            <w:noWrap/>
            <w:hideMark/>
          </w:tcPr>
          <w:p w14:paraId="3E54F414" w14:textId="77777777" w:rsidR="00F5463F" w:rsidRPr="00F5463F" w:rsidRDefault="002C1B79"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44.3</w:t>
            </w:r>
            <w:r w:rsidR="00F5463F" w:rsidRPr="00F5463F">
              <w:rPr>
                <w:rFonts w:eastAsia="Times New Roman"/>
                <w:b/>
                <w:bCs/>
                <w:color w:val="000000"/>
              </w:rPr>
              <w:t>%</w:t>
            </w:r>
          </w:p>
        </w:tc>
        <w:tc>
          <w:tcPr>
            <w:tcW w:w="1146" w:type="dxa"/>
            <w:shd w:val="clear" w:color="auto" w:fill="E6E4DE" w:themeFill="accent6"/>
            <w:noWrap/>
            <w:hideMark/>
          </w:tcPr>
          <w:p w14:paraId="5C247623" w14:textId="77777777" w:rsidR="00F5463F" w:rsidRPr="00F5463F" w:rsidRDefault="002C1B79"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57.8</w:t>
            </w:r>
            <w:r w:rsidR="00F5463F" w:rsidRPr="00F5463F">
              <w:rPr>
                <w:rFonts w:eastAsia="Times New Roman"/>
                <w:b/>
                <w:bCs/>
                <w:color w:val="000000"/>
              </w:rPr>
              <w:t>%</w:t>
            </w:r>
          </w:p>
        </w:tc>
      </w:tr>
      <w:tr w:rsidR="00F5463F" w:rsidRPr="00F5463F" w14:paraId="0D3A2C93" w14:textId="77777777" w:rsidTr="00F5463F">
        <w:trPr>
          <w:trHeight w:val="270"/>
        </w:trPr>
        <w:tc>
          <w:tcPr>
            <w:cnfStyle w:val="001000000000" w:firstRow="0" w:lastRow="0" w:firstColumn="1" w:lastColumn="0" w:oddVBand="0" w:evenVBand="0" w:oddHBand="0" w:evenHBand="0" w:firstRowFirstColumn="0" w:firstRowLastColumn="0" w:lastRowFirstColumn="0" w:lastRowLastColumn="0"/>
            <w:tcW w:w="2768" w:type="dxa"/>
            <w:shd w:val="clear" w:color="auto" w:fill="E6E4DE" w:themeFill="accent6"/>
            <w:noWrap/>
            <w:hideMark/>
          </w:tcPr>
          <w:p w14:paraId="6D683E3D" w14:textId="77777777" w:rsidR="00F5463F" w:rsidRPr="00F5463F" w:rsidRDefault="00F5463F" w:rsidP="00C93734">
            <w:pPr>
              <w:spacing w:after="0"/>
              <w:jc w:val="both"/>
              <w:rPr>
                <w:rFonts w:eastAsia="Times New Roman"/>
                <w:b/>
                <w:bCs/>
                <w:color w:val="000000"/>
              </w:rPr>
            </w:pPr>
            <w:r w:rsidRPr="00F5463F">
              <w:rPr>
                <w:rFonts w:eastAsia="Times New Roman"/>
                <w:b/>
                <w:bCs/>
                <w:color w:val="000000"/>
              </w:rPr>
              <w:t>UK</w:t>
            </w:r>
          </w:p>
        </w:tc>
        <w:tc>
          <w:tcPr>
            <w:tcW w:w="1274" w:type="dxa"/>
            <w:shd w:val="clear" w:color="auto" w:fill="E6E4DE" w:themeFill="accent6"/>
            <w:noWrap/>
            <w:hideMark/>
          </w:tcPr>
          <w:p w14:paraId="5328A245" w14:textId="77777777" w:rsidR="00F5463F" w:rsidRPr="00F5463F" w:rsidRDefault="002C1B79"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84.0</w:t>
            </w:r>
            <w:r w:rsidR="00F5463F" w:rsidRPr="00F5463F">
              <w:rPr>
                <w:rFonts w:eastAsia="Times New Roman"/>
                <w:b/>
                <w:bCs/>
                <w:color w:val="000000"/>
              </w:rPr>
              <w:t>%</w:t>
            </w:r>
          </w:p>
        </w:tc>
        <w:tc>
          <w:tcPr>
            <w:tcW w:w="1146" w:type="dxa"/>
            <w:shd w:val="clear" w:color="auto" w:fill="E6E4DE" w:themeFill="accent6"/>
            <w:noWrap/>
            <w:hideMark/>
          </w:tcPr>
          <w:p w14:paraId="58E6117F" w14:textId="77777777" w:rsidR="00F5463F" w:rsidRPr="00F5463F" w:rsidRDefault="002C1B79"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77.8</w:t>
            </w:r>
            <w:r w:rsidR="00F5463F" w:rsidRPr="00F5463F">
              <w:rPr>
                <w:rFonts w:eastAsia="Times New Roman"/>
                <w:b/>
                <w:bCs/>
                <w:color w:val="000000"/>
              </w:rPr>
              <w:t>%</w:t>
            </w:r>
          </w:p>
        </w:tc>
      </w:tr>
      <w:tr w:rsidR="00F5463F" w:rsidRPr="00F5463F" w14:paraId="4F2D6D8D" w14:textId="77777777" w:rsidTr="00F5463F">
        <w:trPr>
          <w:trHeight w:val="270"/>
        </w:trPr>
        <w:tc>
          <w:tcPr>
            <w:cnfStyle w:val="001000000000" w:firstRow="0" w:lastRow="0" w:firstColumn="1" w:lastColumn="0" w:oddVBand="0" w:evenVBand="0" w:oddHBand="0" w:evenHBand="0" w:firstRowFirstColumn="0" w:firstRowLastColumn="0" w:lastRowFirstColumn="0" w:lastRowLastColumn="0"/>
            <w:tcW w:w="2768" w:type="dxa"/>
            <w:noWrap/>
            <w:hideMark/>
          </w:tcPr>
          <w:p w14:paraId="0BCCCB69" w14:textId="77777777" w:rsidR="00F5463F" w:rsidRPr="00F5463F" w:rsidRDefault="00F5463F" w:rsidP="00C93734">
            <w:pPr>
              <w:spacing w:after="0"/>
              <w:jc w:val="both"/>
              <w:rPr>
                <w:rFonts w:eastAsia="Times New Roman"/>
                <w:color w:val="000000"/>
              </w:rPr>
            </w:pPr>
            <w:r w:rsidRPr="00F5463F">
              <w:rPr>
                <w:rFonts w:eastAsia="Times New Roman"/>
                <w:color w:val="000000"/>
              </w:rPr>
              <w:t>Europe (other than UK);</w:t>
            </w:r>
          </w:p>
        </w:tc>
        <w:tc>
          <w:tcPr>
            <w:tcW w:w="1274" w:type="dxa"/>
            <w:noWrap/>
            <w:hideMark/>
          </w:tcPr>
          <w:p w14:paraId="4AA443F9" w14:textId="77777777" w:rsidR="00F5463F" w:rsidRPr="00F5463F" w:rsidRDefault="002C1B79"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4.6</w:t>
            </w:r>
            <w:r w:rsidR="00F5463F" w:rsidRPr="00F5463F">
              <w:rPr>
                <w:rFonts w:eastAsia="Times New Roman"/>
                <w:color w:val="000000"/>
              </w:rPr>
              <w:t>%</w:t>
            </w:r>
          </w:p>
        </w:tc>
        <w:tc>
          <w:tcPr>
            <w:tcW w:w="1146" w:type="dxa"/>
            <w:noWrap/>
            <w:hideMark/>
          </w:tcPr>
          <w:p w14:paraId="1AD09694" w14:textId="77777777" w:rsidR="00F5463F" w:rsidRPr="00F5463F" w:rsidRDefault="002C1B79"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13.3</w:t>
            </w:r>
            <w:r w:rsidR="00F5463F" w:rsidRPr="00F5463F">
              <w:rPr>
                <w:rFonts w:eastAsia="Times New Roman"/>
                <w:color w:val="000000"/>
              </w:rPr>
              <w:t>%</w:t>
            </w:r>
          </w:p>
        </w:tc>
      </w:tr>
      <w:tr w:rsidR="00F5463F" w:rsidRPr="00F5463F" w14:paraId="4E71B1CB" w14:textId="77777777" w:rsidTr="00F5463F">
        <w:trPr>
          <w:trHeight w:val="270"/>
        </w:trPr>
        <w:tc>
          <w:tcPr>
            <w:cnfStyle w:val="001000000000" w:firstRow="0" w:lastRow="0" w:firstColumn="1" w:lastColumn="0" w:oddVBand="0" w:evenVBand="0" w:oddHBand="0" w:evenHBand="0" w:firstRowFirstColumn="0" w:firstRowLastColumn="0" w:lastRowFirstColumn="0" w:lastRowLastColumn="0"/>
            <w:tcW w:w="2768" w:type="dxa"/>
            <w:noWrap/>
            <w:hideMark/>
          </w:tcPr>
          <w:p w14:paraId="1CD0A67F" w14:textId="77777777" w:rsidR="00F5463F" w:rsidRPr="00F5463F" w:rsidRDefault="00F5463F" w:rsidP="00C93734">
            <w:pPr>
              <w:spacing w:after="0"/>
              <w:jc w:val="both"/>
              <w:rPr>
                <w:rFonts w:eastAsia="Times New Roman"/>
                <w:color w:val="000000"/>
              </w:rPr>
            </w:pPr>
            <w:r w:rsidRPr="00F5463F">
              <w:rPr>
                <w:rFonts w:eastAsia="Times New Roman"/>
                <w:color w:val="000000"/>
              </w:rPr>
              <w:t>China</w:t>
            </w:r>
          </w:p>
        </w:tc>
        <w:tc>
          <w:tcPr>
            <w:tcW w:w="1274" w:type="dxa"/>
            <w:noWrap/>
            <w:hideMark/>
          </w:tcPr>
          <w:p w14:paraId="0B901BAC" w14:textId="77777777" w:rsidR="00F5463F" w:rsidRPr="00F5463F" w:rsidRDefault="002C1B79"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0.0</w:t>
            </w:r>
            <w:r w:rsidR="00F5463F" w:rsidRPr="00F5463F">
              <w:rPr>
                <w:rFonts w:eastAsia="Times New Roman"/>
                <w:color w:val="000000"/>
              </w:rPr>
              <w:t>%</w:t>
            </w:r>
          </w:p>
        </w:tc>
        <w:tc>
          <w:tcPr>
            <w:tcW w:w="1146" w:type="dxa"/>
            <w:noWrap/>
            <w:hideMark/>
          </w:tcPr>
          <w:p w14:paraId="32825E8A" w14:textId="77777777" w:rsidR="00F5463F" w:rsidRPr="00F5463F" w:rsidRDefault="002C1B79"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2.2</w:t>
            </w:r>
            <w:r w:rsidR="00F5463F" w:rsidRPr="00F5463F">
              <w:rPr>
                <w:rFonts w:eastAsia="Times New Roman"/>
                <w:color w:val="000000"/>
              </w:rPr>
              <w:t>%</w:t>
            </w:r>
          </w:p>
        </w:tc>
      </w:tr>
      <w:tr w:rsidR="00F5463F" w:rsidRPr="00F5463F" w14:paraId="4DCD6DE0" w14:textId="77777777" w:rsidTr="00F5463F">
        <w:trPr>
          <w:trHeight w:val="270"/>
        </w:trPr>
        <w:tc>
          <w:tcPr>
            <w:cnfStyle w:val="001000000000" w:firstRow="0" w:lastRow="0" w:firstColumn="1" w:lastColumn="0" w:oddVBand="0" w:evenVBand="0" w:oddHBand="0" w:evenHBand="0" w:firstRowFirstColumn="0" w:firstRowLastColumn="0" w:lastRowFirstColumn="0" w:lastRowLastColumn="0"/>
            <w:tcW w:w="2768" w:type="dxa"/>
            <w:noWrap/>
            <w:hideMark/>
          </w:tcPr>
          <w:p w14:paraId="7ABE9488" w14:textId="77777777" w:rsidR="00F5463F" w:rsidRPr="00F5463F" w:rsidRDefault="00F5463F" w:rsidP="00C93734">
            <w:pPr>
              <w:spacing w:after="0"/>
              <w:jc w:val="both"/>
              <w:rPr>
                <w:rFonts w:eastAsia="Times New Roman"/>
                <w:color w:val="000000"/>
              </w:rPr>
            </w:pPr>
            <w:r w:rsidRPr="00F5463F">
              <w:rPr>
                <w:rFonts w:eastAsia="Times New Roman"/>
                <w:color w:val="000000"/>
              </w:rPr>
              <w:t>Far East;</w:t>
            </w:r>
          </w:p>
        </w:tc>
        <w:tc>
          <w:tcPr>
            <w:tcW w:w="1274" w:type="dxa"/>
            <w:noWrap/>
            <w:hideMark/>
          </w:tcPr>
          <w:p w14:paraId="7C5512CC" w14:textId="77777777" w:rsidR="00F5463F" w:rsidRPr="00F5463F" w:rsidRDefault="002C1B79"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0.0</w:t>
            </w:r>
            <w:r w:rsidR="00F5463F" w:rsidRPr="00F5463F">
              <w:rPr>
                <w:rFonts w:eastAsia="Times New Roman"/>
                <w:color w:val="000000"/>
              </w:rPr>
              <w:t>%</w:t>
            </w:r>
          </w:p>
        </w:tc>
        <w:tc>
          <w:tcPr>
            <w:tcW w:w="1146" w:type="dxa"/>
            <w:noWrap/>
            <w:hideMark/>
          </w:tcPr>
          <w:p w14:paraId="66BF23CD" w14:textId="77777777" w:rsidR="00F5463F" w:rsidRPr="00F5463F" w:rsidRDefault="002C1B79"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1.1</w:t>
            </w:r>
            <w:r w:rsidR="00F5463F" w:rsidRPr="00F5463F">
              <w:rPr>
                <w:rFonts w:eastAsia="Times New Roman"/>
                <w:color w:val="000000"/>
              </w:rPr>
              <w:t>%</w:t>
            </w:r>
          </w:p>
        </w:tc>
      </w:tr>
      <w:tr w:rsidR="00F5463F" w:rsidRPr="00F5463F" w14:paraId="3206E515" w14:textId="77777777" w:rsidTr="00F5463F">
        <w:trPr>
          <w:trHeight w:val="270"/>
        </w:trPr>
        <w:tc>
          <w:tcPr>
            <w:cnfStyle w:val="001000000000" w:firstRow="0" w:lastRow="0" w:firstColumn="1" w:lastColumn="0" w:oddVBand="0" w:evenVBand="0" w:oddHBand="0" w:evenHBand="0" w:firstRowFirstColumn="0" w:firstRowLastColumn="0" w:lastRowFirstColumn="0" w:lastRowLastColumn="0"/>
            <w:tcW w:w="2768" w:type="dxa"/>
            <w:noWrap/>
            <w:hideMark/>
          </w:tcPr>
          <w:p w14:paraId="5CFD149F" w14:textId="77777777" w:rsidR="00F5463F" w:rsidRPr="00F5463F" w:rsidRDefault="00F5463F" w:rsidP="00C93734">
            <w:pPr>
              <w:spacing w:after="0"/>
              <w:jc w:val="both"/>
              <w:rPr>
                <w:rFonts w:eastAsia="Times New Roman"/>
                <w:color w:val="000000"/>
              </w:rPr>
            </w:pPr>
            <w:r w:rsidRPr="00F5463F">
              <w:rPr>
                <w:rFonts w:eastAsia="Times New Roman"/>
                <w:color w:val="000000"/>
              </w:rPr>
              <w:t>Other Worldwide locations</w:t>
            </w:r>
          </w:p>
        </w:tc>
        <w:tc>
          <w:tcPr>
            <w:tcW w:w="1274" w:type="dxa"/>
            <w:noWrap/>
            <w:hideMark/>
          </w:tcPr>
          <w:p w14:paraId="740D0754" w14:textId="77777777" w:rsidR="00F5463F" w:rsidRPr="00F5463F" w:rsidRDefault="002C1B79"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1.5</w:t>
            </w:r>
            <w:r w:rsidR="00F5463F" w:rsidRPr="00F5463F">
              <w:rPr>
                <w:rFonts w:eastAsia="Times New Roman"/>
                <w:color w:val="000000"/>
              </w:rPr>
              <w:t>%</w:t>
            </w:r>
          </w:p>
        </w:tc>
        <w:tc>
          <w:tcPr>
            <w:tcW w:w="1146" w:type="dxa"/>
            <w:noWrap/>
            <w:hideMark/>
          </w:tcPr>
          <w:p w14:paraId="32DF0D1D" w14:textId="77777777" w:rsidR="00F5463F" w:rsidRPr="00F5463F" w:rsidRDefault="002C1B79"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5.6</w:t>
            </w:r>
            <w:r w:rsidR="00F5463F" w:rsidRPr="00F5463F">
              <w:rPr>
                <w:rFonts w:eastAsia="Times New Roman"/>
                <w:color w:val="000000"/>
              </w:rPr>
              <w:t>%</w:t>
            </w:r>
          </w:p>
        </w:tc>
      </w:tr>
    </w:tbl>
    <w:p w14:paraId="4D8F1E69" w14:textId="77777777" w:rsidR="00F5463F" w:rsidRPr="002805F3" w:rsidRDefault="00F5463F" w:rsidP="00C93734">
      <w:pPr>
        <w:pStyle w:val="TableSource"/>
        <w:jc w:val="both"/>
      </w:pPr>
      <w:r w:rsidRPr="002805F3">
        <w:t>Source: Hill Taylor and Atkins 2013. Atkins Ref: Survey –A17/K3</w:t>
      </w:r>
    </w:p>
    <w:p w14:paraId="068E7C70" w14:textId="77777777" w:rsidR="00F5463F" w:rsidRPr="00F103FE" w:rsidRDefault="00F5463F" w:rsidP="00C93734">
      <w:pPr>
        <w:jc w:val="both"/>
        <w:rPr>
          <w:rFonts w:cs="Arial"/>
          <w:b/>
        </w:rPr>
      </w:pPr>
      <w:r w:rsidRPr="00F103FE">
        <w:rPr>
          <w:rFonts w:cs="Arial"/>
          <w:b/>
        </w:rPr>
        <w:t>Skills</w:t>
      </w:r>
    </w:p>
    <w:p w14:paraId="23488372" w14:textId="77777777" w:rsidR="00185EE9" w:rsidRDefault="00F5463F" w:rsidP="00C93734">
      <w:pPr>
        <w:jc w:val="both"/>
        <w:rPr>
          <w:rFonts w:cs="Arial"/>
        </w:rPr>
      </w:pPr>
      <w:r>
        <w:rPr>
          <w:rFonts w:cs="Arial"/>
        </w:rPr>
        <w:t xml:space="preserve">A </w:t>
      </w:r>
      <w:r w:rsidR="00185EE9">
        <w:rPr>
          <w:rFonts w:cs="Arial"/>
        </w:rPr>
        <w:t>relatively low</w:t>
      </w:r>
      <w:r>
        <w:rPr>
          <w:rFonts w:cs="Arial"/>
        </w:rPr>
        <w:t xml:space="preserve"> proportion of firms identified skills shortages in the sector (12.3%)</w:t>
      </w:r>
      <w:r w:rsidR="006C2F73">
        <w:rPr>
          <w:rFonts w:cs="Arial"/>
        </w:rPr>
        <w:t>,</w:t>
      </w:r>
      <w:r w:rsidR="00185EE9">
        <w:rPr>
          <w:rFonts w:cs="Arial"/>
        </w:rPr>
        <w:t xml:space="preserve"> which reflects the</w:t>
      </w:r>
      <w:r w:rsidR="003A7678">
        <w:rPr>
          <w:rFonts w:cs="Arial"/>
        </w:rPr>
        <w:t xml:space="preserve"> low</w:t>
      </w:r>
      <w:r w:rsidR="00185EE9">
        <w:rPr>
          <w:rFonts w:cs="Arial"/>
        </w:rPr>
        <w:t xml:space="preserve"> skills profile of the sector.  However, in addition to providing employment for large number of unskilled workers in the area, it is important to highlight the role played by key organisations and training bodies in the area</w:t>
      </w:r>
      <w:r w:rsidR="003A7678">
        <w:rPr>
          <w:rFonts w:cs="Arial"/>
        </w:rPr>
        <w:t>,</w:t>
      </w:r>
      <w:r w:rsidR="00185EE9">
        <w:rPr>
          <w:rFonts w:cs="Arial"/>
        </w:rPr>
        <w:t xml:space="preserve"> such as the Grimsby Institute</w:t>
      </w:r>
      <w:r w:rsidR="003A7678">
        <w:rPr>
          <w:rFonts w:cs="Arial"/>
        </w:rPr>
        <w:t>,</w:t>
      </w:r>
      <w:r w:rsidR="00185EE9">
        <w:rPr>
          <w:rFonts w:cs="Arial"/>
        </w:rPr>
        <w:t xml:space="preserve"> in ensuring </w:t>
      </w:r>
      <w:r w:rsidR="003264EC">
        <w:rPr>
          <w:rFonts w:cs="Arial"/>
        </w:rPr>
        <w:t>an adequate</w:t>
      </w:r>
      <w:r w:rsidR="00185EE9">
        <w:rPr>
          <w:rFonts w:cs="Arial"/>
        </w:rPr>
        <w:t xml:space="preserve"> supply of skilled workers.</w:t>
      </w:r>
    </w:p>
    <w:p w14:paraId="2FE76D14" w14:textId="77777777" w:rsidR="00F5463F" w:rsidRPr="00F103FE" w:rsidRDefault="00F5463F" w:rsidP="00C93734">
      <w:pPr>
        <w:jc w:val="both"/>
        <w:rPr>
          <w:rFonts w:cs="Arial"/>
          <w:b/>
        </w:rPr>
      </w:pPr>
      <w:r w:rsidRPr="00F103FE">
        <w:rPr>
          <w:rFonts w:cs="Arial"/>
          <w:b/>
        </w:rPr>
        <w:t>Future Prospects</w:t>
      </w:r>
    </w:p>
    <w:p w14:paraId="5C5068BD" w14:textId="77777777" w:rsidR="00F5463F" w:rsidRDefault="00F5463F" w:rsidP="00C93734">
      <w:pPr>
        <w:jc w:val="both"/>
        <w:rPr>
          <w:rFonts w:cs="Arial"/>
        </w:rPr>
      </w:pPr>
      <w:r>
        <w:rPr>
          <w:rFonts w:cs="Arial"/>
        </w:rPr>
        <w:t>Over the past 3 years the majority of businesses (64.9%) have remained stable</w:t>
      </w:r>
      <w:r w:rsidR="00F85056">
        <w:rPr>
          <w:rFonts w:cs="Arial"/>
        </w:rPr>
        <w:t xml:space="preserve"> in terms of workforce</w:t>
      </w:r>
      <w:r>
        <w:rPr>
          <w:rFonts w:cs="Arial"/>
        </w:rPr>
        <w:t xml:space="preserve">. This is positive given the </w:t>
      </w:r>
      <w:r w:rsidR="003264EC">
        <w:rPr>
          <w:rFonts w:cs="Arial"/>
        </w:rPr>
        <w:t xml:space="preserve">extent of </w:t>
      </w:r>
      <w:r>
        <w:rPr>
          <w:rFonts w:cs="Arial"/>
        </w:rPr>
        <w:t xml:space="preserve">consolidation </w:t>
      </w:r>
      <w:r w:rsidR="003264EC">
        <w:rPr>
          <w:rFonts w:cs="Arial"/>
        </w:rPr>
        <w:t>within</w:t>
      </w:r>
      <w:r>
        <w:rPr>
          <w:rFonts w:cs="Arial"/>
        </w:rPr>
        <w:t xml:space="preserve"> in the sector</w:t>
      </w:r>
      <w:r w:rsidR="003264EC">
        <w:rPr>
          <w:rFonts w:cs="Arial"/>
        </w:rPr>
        <w:t xml:space="preserve">, </w:t>
      </w:r>
      <w:r w:rsidR="006C2F73">
        <w:rPr>
          <w:rFonts w:cs="Arial"/>
        </w:rPr>
        <w:t>which has occasionally resulted</w:t>
      </w:r>
      <w:r w:rsidR="003264EC">
        <w:rPr>
          <w:rFonts w:cs="Arial"/>
        </w:rPr>
        <w:t xml:space="preserve"> in </w:t>
      </w:r>
      <w:r>
        <w:rPr>
          <w:rFonts w:cs="Arial"/>
        </w:rPr>
        <w:t>high profile</w:t>
      </w:r>
      <w:r w:rsidR="00DE086D">
        <w:rPr>
          <w:rFonts w:cs="Arial"/>
        </w:rPr>
        <w:t xml:space="preserve"> job</w:t>
      </w:r>
      <w:r>
        <w:rPr>
          <w:rFonts w:cs="Arial"/>
        </w:rPr>
        <w:t xml:space="preserve"> losses</w:t>
      </w:r>
      <w:r w:rsidR="003264EC">
        <w:rPr>
          <w:rFonts w:cs="Arial"/>
        </w:rPr>
        <w:t>,</w:t>
      </w:r>
      <w:r>
        <w:rPr>
          <w:rFonts w:cs="Arial"/>
        </w:rPr>
        <w:t xml:space="preserve"> </w:t>
      </w:r>
      <w:r w:rsidR="006C2F73">
        <w:rPr>
          <w:rFonts w:cs="Arial"/>
        </w:rPr>
        <w:t>and</w:t>
      </w:r>
      <w:r>
        <w:rPr>
          <w:rFonts w:cs="Arial"/>
        </w:rPr>
        <w:t xml:space="preserve"> </w:t>
      </w:r>
      <w:r w:rsidR="003264EC">
        <w:rPr>
          <w:rFonts w:cs="Arial"/>
        </w:rPr>
        <w:t xml:space="preserve">demonstrates </w:t>
      </w:r>
      <w:r>
        <w:rPr>
          <w:rFonts w:cs="Arial"/>
        </w:rPr>
        <w:t xml:space="preserve">the </w:t>
      </w:r>
      <w:r w:rsidR="003264EC">
        <w:rPr>
          <w:rFonts w:cs="Arial"/>
        </w:rPr>
        <w:t>resilience</w:t>
      </w:r>
      <w:r>
        <w:rPr>
          <w:rFonts w:cs="Arial"/>
        </w:rPr>
        <w:t xml:space="preserve"> of the cluster in adapting to </w:t>
      </w:r>
      <w:r w:rsidR="00DE086D">
        <w:rPr>
          <w:rFonts w:cs="Arial"/>
        </w:rPr>
        <w:t xml:space="preserve">rapidly changing </w:t>
      </w:r>
      <w:r>
        <w:rPr>
          <w:rFonts w:cs="Arial"/>
        </w:rPr>
        <w:t xml:space="preserve">economic </w:t>
      </w:r>
      <w:r w:rsidR="00DE086D">
        <w:rPr>
          <w:rFonts w:cs="Arial"/>
        </w:rPr>
        <w:t>circumstances</w:t>
      </w:r>
      <w:r>
        <w:rPr>
          <w:rFonts w:cs="Arial"/>
        </w:rPr>
        <w:t xml:space="preserve">. </w:t>
      </w:r>
    </w:p>
    <w:p w14:paraId="13CEF7A6" w14:textId="77777777" w:rsidR="00F5463F" w:rsidRDefault="00F5463F" w:rsidP="00C93734">
      <w:pPr>
        <w:pStyle w:val="Caption"/>
        <w:jc w:val="both"/>
      </w:pPr>
      <w:r>
        <w:t xml:space="preserve">Table </w:t>
      </w:r>
      <w:fldSimple w:instr=" STYLEREF 1 \s  \* MERGEFORMAT ">
        <w:r w:rsidR="00E95E1A">
          <w:rPr>
            <w:noProof/>
          </w:rPr>
          <w:t>5</w:t>
        </w:r>
      </w:fldSimple>
      <w:r>
        <w:t>-</w:t>
      </w:r>
      <w:fldSimple w:instr=" SEQ Table \* ARABIC \s 1  \* MERGEFORMAT ">
        <w:r w:rsidR="00E95E1A">
          <w:rPr>
            <w:noProof/>
          </w:rPr>
          <w:t>7</w:t>
        </w:r>
      </w:fldSimple>
      <w:r>
        <w:tab/>
        <w:t>Size of Workforce</w:t>
      </w:r>
      <w:r w:rsidR="00DE086D">
        <w:t xml:space="preserve"> </w:t>
      </w:r>
    </w:p>
    <w:tbl>
      <w:tblPr>
        <w:tblStyle w:val="Atkins14pt"/>
        <w:tblW w:w="3107" w:type="dxa"/>
        <w:tblLayout w:type="fixed"/>
        <w:tblLook w:val="04A0" w:firstRow="1" w:lastRow="0" w:firstColumn="1" w:lastColumn="0" w:noHBand="0" w:noVBand="1"/>
      </w:tblPr>
      <w:tblGrid>
        <w:gridCol w:w="1474"/>
        <w:gridCol w:w="1633"/>
      </w:tblGrid>
      <w:tr w:rsidR="00F5463F" w:rsidRPr="002805F3" w14:paraId="78412A9D" w14:textId="77777777" w:rsidTr="00F5473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74" w:type="dxa"/>
            <w:noWrap/>
            <w:hideMark/>
          </w:tcPr>
          <w:p w14:paraId="05FF5EBE" w14:textId="77777777" w:rsidR="00F5463F" w:rsidRPr="00DC3863" w:rsidRDefault="00F5463F" w:rsidP="00C93734">
            <w:pPr>
              <w:jc w:val="both"/>
              <w:rPr>
                <w:color w:val="000000"/>
              </w:rPr>
            </w:pPr>
            <w:r w:rsidRPr="00DC3863">
              <w:rPr>
                <w:color w:val="000000"/>
              </w:rPr>
              <w:t>Movement</w:t>
            </w:r>
          </w:p>
        </w:tc>
        <w:tc>
          <w:tcPr>
            <w:tcW w:w="1633" w:type="dxa"/>
            <w:noWrap/>
            <w:hideMark/>
          </w:tcPr>
          <w:p w14:paraId="30E264C8" w14:textId="77777777" w:rsidR="00F5463F" w:rsidRPr="00DC3863" w:rsidRDefault="00F5463F" w:rsidP="009405CE">
            <w:pPr>
              <w:jc w:val="both"/>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 xml:space="preserve">Food </w:t>
            </w:r>
            <w:r w:rsidR="009405CE">
              <w:rPr>
                <w:color w:val="000000"/>
              </w:rPr>
              <w:t>processing</w:t>
            </w:r>
          </w:p>
        </w:tc>
      </w:tr>
      <w:tr w:rsidR="00F5463F" w:rsidRPr="002805F3" w14:paraId="799B4F2D"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770CC0B1" w14:textId="77777777" w:rsidR="00F5463F" w:rsidRPr="00DC3863" w:rsidRDefault="00F5463F" w:rsidP="00C93734">
            <w:pPr>
              <w:spacing w:after="120"/>
              <w:jc w:val="both"/>
              <w:rPr>
                <w:color w:val="000000"/>
              </w:rPr>
            </w:pPr>
            <w:r w:rsidRPr="00DC3863">
              <w:rPr>
                <w:color w:val="000000"/>
              </w:rPr>
              <w:t>Increased</w:t>
            </w:r>
          </w:p>
        </w:tc>
        <w:tc>
          <w:tcPr>
            <w:tcW w:w="1633" w:type="dxa"/>
            <w:noWrap/>
            <w:hideMark/>
          </w:tcPr>
          <w:p w14:paraId="3F4949A7" w14:textId="77777777" w:rsidR="00F5463F" w:rsidRPr="00DC3863" w:rsidRDefault="00F5463F"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17.5%</w:t>
            </w:r>
          </w:p>
        </w:tc>
      </w:tr>
      <w:tr w:rsidR="00F5463F" w:rsidRPr="002805F3" w14:paraId="08D46AB8"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56396470" w14:textId="77777777" w:rsidR="00F5463F" w:rsidRPr="00DC3863" w:rsidRDefault="00F5463F" w:rsidP="00C93734">
            <w:pPr>
              <w:spacing w:after="120"/>
              <w:jc w:val="both"/>
              <w:rPr>
                <w:color w:val="000000"/>
              </w:rPr>
            </w:pPr>
            <w:r w:rsidRPr="00DC3863">
              <w:rPr>
                <w:color w:val="000000"/>
              </w:rPr>
              <w:t>Decreased</w:t>
            </w:r>
          </w:p>
        </w:tc>
        <w:tc>
          <w:tcPr>
            <w:tcW w:w="1633" w:type="dxa"/>
            <w:noWrap/>
            <w:hideMark/>
          </w:tcPr>
          <w:p w14:paraId="72CEF686" w14:textId="77777777" w:rsidR="00F5463F" w:rsidRPr="00DC3863" w:rsidRDefault="00F5463F"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17.5%</w:t>
            </w:r>
          </w:p>
        </w:tc>
      </w:tr>
      <w:tr w:rsidR="00F5463F" w:rsidRPr="002805F3" w14:paraId="3968B7B2"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580EC805" w14:textId="77777777" w:rsidR="00F5463F" w:rsidRPr="00DC3863" w:rsidRDefault="00F5463F" w:rsidP="00C93734">
            <w:pPr>
              <w:spacing w:after="120"/>
              <w:jc w:val="both"/>
              <w:rPr>
                <w:color w:val="000000"/>
              </w:rPr>
            </w:pPr>
            <w:r w:rsidRPr="00DC3863">
              <w:rPr>
                <w:color w:val="000000"/>
              </w:rPr>
              <w:t>Remained stable</w:t>
            </w:r>
          </w:p>
        </w:tc>
        <w:tc>
          <w:tcPr>
            <w:tcW w:w="1633" w:type="dxa"/>
            <w:noWrap/>
            <w:hideMark/>
          </w:tcPr>
          <w:p w14:paraId="4A1C43FA" w14:textId="77777777" w:rsidR="00F5463F" w:rsidRPr="00DC3863" w:rsidRDefault="00F5463F"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64.9%</w:t>
            </w:r>
          </w:p>
        </w:tc>
      </w:tr>
    </w:tbl>
    <w:p w14:paraId="015BF465" w14:textId="77777777" w:rsidR="00F5463F" w:rsidRDefault="00F5463F" w:rsidP="00C93734">
      <w:pPr>
        <w:pStyle w:val="TableSource"/>
        <w:jc w:val="both"/>
      </w:pPr>
      <w:r w:rsidRPr="002805F3">
        <w:t>Source: Hill Taylor and Atkins 2013. Atkins Ref: Survey –A20</w:t>
      </w:r>
    </w:p>
    <w:p w14:paraId="3FBB7A2B" w14:textId="77777777" w:rsidR="008D7250" w:rsidRDefault="00DE086D">
      <w:pPr>
        <w:jc w:val="both"/>
        <w:rPr>
          <w:rFonts w:eastAsia="Times New Roman" w:cs="Times New Roman"/>
          <w:b/>
          <w:bCs/>
          <w:color w:val="156570" w:themeColor="background2"/>
          <w:sz w:val="26"/>
        </w:rPr>
      </w:pPr>
      <w:r>
        <w:rPr>
          <w:rFonts w:cs="Arial"/>
        </w:rPr>
        <w:t>Looking forward, around 37</w:t>
      </w:r>
      <w:r w:rsidR="00F5463F">
        <w:rPr>
          <w:rFonts w:cs="Arial"/>
        </w:rPr>
        <w:t>%</w:t>
      </w:r>
      <w:r>
        <w:rPr>
          <w:rFonts w:cs="Arial"/>
        </w:rPr>
        <w:t xml:space="preserve"> of businesses in the sector</w:t>
      </w:r>
      <w:r w:rsidR="00F5463F">
        <w:rPr>
          <w:rFonts w:cs="Arial"/>
        </w:rPr>
        <w:t xml:space="preserve"> are planning to invest</w:t>
      </w:r>
      <w:r>
        <w:rPr>
          <w:rFonts w:cs="Arial"/>
        </w:rPr>
        <w:t xml:space="preserve"> to enable growth</w:t>
      </w:r>
      <w:r w:rsidR="00F5463F">
        <w:rPr>
          <w:rFonts w:cs="Arial"/>
        </w:rPr>
        <w:t>.</w:t>
      </w:r>
      <w:r>
        <w:rPr>
          <w:rFonts w:cs="Arial"/>
        </w:rPr>
        <w:t xml:space="preserve">  </w:t>
      </w:r>
      <w:r w:rsidR="00F5463F">
        <w:t xml:space="preserve">Very few businesses (around 4%) were seeking to </w:t>
      </w:r>
      <w:r>
        <w:t>relocate</w:t>
      </w:r>
      <w:r w:rsidR="00F5463F">
        <w:t>, highlighting the strength of the area in this industry</w:t>
      </w:r>
      <w:r>
        <w:t xml:space="preserve"> and the commitment to keeping operations in Grimsby</w:t>
      </w:r>
      <w:r w:rsidR="00F5463F">
        <w:rPr>
          <w:rFonts w:cs="Arial"/>
        </w:rPr>
        <w:t>. A high proportion of businesses</w:t>
      </w:r>
      <w:r>
        <w:rPr>
          <w:rFonts w:cs="Arial"/>
        </w:rPr>
        <w:t xml:space="preserve"> surveyed</w:t>
      </w:r>
      <w:r w:rsidR="00F5463F">
        <w:rPr>
          <w:rFonts w:cs="Arial"/>
        </w:rPr>
        <w:t xml:space="preserve"> (84.2%) felt that the local area was a strong</w:t>
      </w:r>
      <w:r>
        <w:rPr>
          <w:rFonts w:cs="Arial"/>
        </w:rPr>
        <w:t xml:space="preserve"> and</w:t>
      </w:r>
      <w:r w:rsidR="00F5463F">
        <w:rPr>
          <w:rFonts w:cs="Arial"/>
        </w:rPr>
        <w:t xml:space="preserve"> competitive location with </w:t>
      </w:r>
      <w:r>
        <w:rPr>
          <w:rFonts w:cs="Arial"/>
        </w:rPr>
        <w:t>other key locational advantages including p</w:t>
      </w:r>
      <w:r w:rsidR="00F5463F" w:rsidRPr="008C73B6">
        <w:rPr>
          <w:rFonts w:cs="Arial"/>
        </w:rPr>
        <w:t xml:space="preserve">roximity to key clients </w:t>
      </w:r>
      <w:r w:rsidR="003264EC">
        <w:rPr>
          <w:rFonts w:cs="Arial"/>
        </w:rPr>
        <w:t xml:space="preserve">and </w:t>
      </w:r>
      <w:r w:rsidR="00F5463F" w:rsidRPr="008C73B6">
        <w:rPr>
          <w:rFonts w:cs="Arial"/>
        </w:rPr>
        <w:t>markets</w:t>
      </w:r>
      <w:r w:rsidR="00F5463F">
        <w:rPr>
          <w:rFonts w:cs="Arial"/>
        </w:rPr>
        <w:t xml:space="preserve"> (18.4%) and </w:t>
      </w:r>
      <w:r>
        <w:rPr>
          <w:rFonts w:cs="Arial"/>
        </w:rPr>
        <w:t>a</w:t>
      </w:r>
      <w:r w:rsidR="00F5463F" w:rsidRPr="008C73B6">
        <w:rPr>
          <w:rFonts w:cs="Arial"/>
        </w:rPr>
        <w:t>ccess to</w:t>
      </w:r>
      <w:r w:rsidR="003264EC">
        <w:rPr>
          <w:rFonts w:cs="Arial"/>
        </w:rPr>
        <w:t xml:space="preserve"> the</w:t>
      </w:r>
      <w:r w:rsidR="00F5463F" w:rsidRPr="008C73B6">
        <w:rPr>
          <w:rFonts w:cs="Arial"/>
        </w:rPr>
        <w:t xml:space="preserve"> road network</w:t>
      </w:r>
      <w:r w:rsidR="00F5463F">
        <w:rPr>
          <w:rFonts w:cs="Arial"/>
        </w:rPr>
        <w:t xml:space="preserve"> (22%). </w:t>
      </w:r>
      <w:r w:rsidR="001C7B69">
        <w:br w:type="page"/>
      </w:r>
    </w:p>
    <w:p w14:paraId="164A954C" w14:textId="77777777" w:rsidR="002F7137" w:rsidRDefault="002F7137" w:rsidP="00C93734">
      <w:pPr>
        <w:pStyle w:val="Heading3"/>
        <w:numPr>
          <w:ilvl w:val="2"/>
          <w:numId w:val="5"/>
        </w:numPr>
        <w:jc w:val="both"/>
      </w:pPr>
      <w:r>
        <w:t>Economic Linkages &amp; Supply Chain</w:t>
      </w:r>
    </w:p>
    <w:p w14:paraId="464E4319" w14:textId="77777777" w:rsidR="00374100" w:rsidRDefault="00374100" w:rsidP="00C93734">
      <w:pPr>
        <w:jc w:val="both"/>
        <w:rPr>
          <w:b/>
        </w:rPr>
      </w:pPr>
    </w:p>
    <w:p w14:paraId="437102A7" w14:textId="77777777" w:rsidR="001C7B69" w:rsidRPr="001C7B69" w:rsidRDefault="001C7B69" w:rsidP="00C93734">
      <w:pPr>
        <w:jc w:val="both"/>
        <w:rPr>
          <w:b/>
        </w:rPr>
      </w:pPr>
      <w:r w:rsidRPr="001C7B69">
        <w:rPr>
          <w:b/>
        </w:rPr>
        <w:t>Processing</w:t>
      </w:r>
    </w:p>
    <w:p w14:paraId="617FA213" w14:textId="77777777" w:rsidR="002F7137" w:rsidRDefault="007C6211" w:rsidP="00C93734">
      <w:pPr>
        <w:jc w:val="both"/>
      </w:pPr>
      <w:r>
        <w:t>A range</w:t>
      </w:r>
      <w:r w:rsidR="001C7B69">
        <w:t xml:space="preserve"> of firms across the </w:t>
      </w:r>
      <w:r w:rsidR="005D2D0C">
        <w:t xml:space="preserve">area are involved in processing foods </w:t>
      </w:r>
      <w:r w:rsidR="00D71A02">
        <w:t>which can be divided into primary and secondary activities:</w:t>
      </w:r>
    </w:p>
    <w:p w14:paraId="787991D5" w14:textId="77777777" w:rsidR="002F7137" w:rsidRDefault="002F7137" w:rsidP="00C93734">
      <w:pPr>
        <w:pStyle w:val="ListParagraph"/>
        <w:numPr>
          <w:ilvl w:val="0"/>
          <w:numId w:val="24"/>
        </w:numPr>
        <w:jc w:val="both"/>
      </w:pPr>
      <w:r>
        <w:t>Primary processes include cutting, filleting, picking, peeling, washing, chilling, packing, heading and gutting.</w:t>
      </w:r>
    </w:p>
    <w:p w14:paraId="6ADC9DE6" w14:textId="77777777" w:rsidR="002F7137" w:rsidRDefault="002F7137" w:rsidP="00C93734">
      <w:pPr>
        <w:pStyle w:val="ListParagraph"/>
        <w:numPr>
          <w:ilvl w:val="0"/>
          <w:numId w:val="24"/>
        </w:numPr>
        <w:jc w:val="both"/>
      </w:pPr>
      <w:r>
        <w:t>Secondary processes include brining, smoking</w:t>
      </w:r>
      <w:r w:rsidR="003264EC">
        <w:t xml:space="preserve"> and</w:t>
      </w:r>
      <w:r>
        <w:t xml:space="preserve"> cooking</w:t>
      </w:r>
      <w:r w:rsidR="005D2D0C">
        <w:t>.</w:t>
      </w:r>
      <w:r w:rsidR="00956018">
        <w:t xml:space="preserve"> </w:t>
      </w:r>
      <w:r w:rsidR="003264EC">
        <w:t>Some smoking</w:t>
      </w:r>
      <w:r w:rsidR="00956018">
        <w:t xml:space="preserve"> businesses</w:t>
      </w:r>
      <w:r w:rsidR="003264EC">
        <w:t xml:space="preserve">, such as </w:t>
      </w:r>
      <w:r w:rsidR="003264EC" w:rsidRPr="00956018">
        <w:t>Alfred En</w:t>
      </w:r>
      <w:r w:rsidR="003264EC">
        <w:t>d</w:t>
      </w:r>
      <w:r w:rsidR="003264EC" w:rsidRPr="00956018">
        <w:t>erby Ltd and Jaines &amp; Son</w:t>
      </w:r>
      <w:r w:rsidR="003264EC">
        <w:t>,</w:t>
      </w:r>
      <w:r w:rsidR="00956018">
        <w:t xml:space="preserve"> have</w:t>
      </w:r>
      <w:r w:rsidR="00956018" w:rsidRPr="00956018">
        <w:t> </w:t>
      </w:r>
      <w:r w:rsidR="003264EC">
        <w:t>been</w:t>
      </w:r>
      <w:r w:rsidR="00956018" w:rsidRPr="00956018">
        <w:t xml:space="preserve"> awarded Protected Geographical Indication (PGI).</w:t>
      </w:r>
    </w:p>
    <w:p w14:paraId="2CA274C5" w14:textId="77777777" w:rsidR="001C7B69" w:rsidRDefault="005D2D0C" w:rsidP="00C93734">
      <w:pPr>
        <w:jc w:val="both"/>
      </w:pPr>
      <w:r w:rsidRPr="001C7B69">
        <w:rPr>
          <w:b/>
        </w:rPr>
        <w:t>Packaging</w:t>
      </w:r>
    </w:p>
    <w:p w14:paraId="6F6678EA" w14:textId="77777777" w:rsidR="005D2D0C" w:rsidRDefault="001C7B69" w:rsidP="00C93734">
      <w:pPr>
        <w:jc w:val="both"/>
      </w:pPr>
      <w:r>
        <w:t>Many</w:t>
      </w:r>
      <w:r w:rsidR="00ED3620">
        <w:t xml:space="preserve"> f</w:t>
      </w:r>
      <w:r w:rsidR="005D2D0C">
        <w:t xml:space="preserve">irms </w:t>
      </w:r>
      <w:r>
        <w:t>are engaged</w:t>
      </w:r>
      <w:r w:rsidR="005D2D0C">
        <w:t xml:space="preserve"> in </w:t>
      </w:r>
      <w:r w:rsidR="003264EC">
        <w:t xml:space="preserve">both </w:t>
      </w:r>
      <w:r w:rsidR="005D2D0C">
        <w:t>packaging food</w:t>
      </w:r>
      <w:r w:rsidR="00ED3620">
        <w:t xml:space="preserve"> and </w:t>
      </w:r>
      <w:r w:rsidR="003264EC">
        <w:t xml:space="preserve">the provision of packaging materials. </w:t>
      </w:r>
      <w:r w:rsidR="00ED3620">
        <w:t>Th</w:t>
      </w:r>
      <w:r w:rsidR="003264EC">
        <w:t>ese activities</w:t>
      </w:r>
      <w:r w:rsidR="00ED3620">
        <w:t xml:space="preserve"> include packaging for transit as well as </w:t>
      </w:r>
      <w:r w:rsidR="003264EC">
        <w:t>for sale to consumers.</w:t>
      </w:r>
      <w:r w:rsidR="00ED3620">
        <w:t xml:space="preserve"> Developments in ‘green’ packaging are reducing costs and wastage as well as leading to less</w:t>
      </w:r>
      <w:r w:rsidR="00ED3620" w:rsidRPr="00ED3620">
        <w:t xml:space="preserve"> </w:t>
      </w:r>
      <w:r w:rsidR="00ED3620">
        <w:t xml:space="preserve">debris around employment sites. </w:t>
      </w:r>
    </w:p>
    <w:p w14:paraId="4939908F" w14:textId="77777777" w:rsidR="001C7B69" w:rsidRDefault="002F7137" w:rsidP="00C93734">
      <w:pPr>
        <w:jc w:val="both"/>
      </w:pPr>
      <w:r w:rsidRPr="001C7B69">
        <w:rPr>
          <w:b/>
        </w:rPr>
        <w:t>Logistics</w:t>
      </w:r>
    </w:p>
    <w:p w14:paraId="406B98FD" w14:textId="77777777" w:rsidR="002F7137" w:rsidRDefault="007C6211" w:rsidP="00C93734">
      <w:pPr>
        <w:jc w:val="both"/>
      </w:pPr>
      <w:r>
        <w:t xml:space="preserve">Specialist providers of logistics for the food industry </w:t>
      </w:r>
      <w:r w:rsidR="00F86AC3">
        <w:t>offer</w:t>
      </w:r>
      <w:r>
        <w:t xml:space="preserve"> chilled or frozen transport options for products. Companies in this sector </w:t>
      </w:r>
      <w:r w:rsidR="003264EC">
        <w:t>offer a diverse range of services and capacities, yet</w:t>
      </w:r>
      <w:r>
        <w:t xml:space="preserve"> increases in </w:t>
      </w:r>
      <w:r w:rsidRPr="007C6211">
        <w:t xml:space="preserve">home </w:t>
      </w:r>
      <w:r w:rsidR="00BB02D8" w:rsidRPr="007C6211">
        <w:t>delivery</w:t>
      </w:r>
      <w:r w:rsidR="003264EC">
        <w:t xml:space="preserve"> and</w:t>
      </w:r>
      <w:r>
        <w:t xml:space="preserve"> multimodal and reverse logistics</w:t>
      </w:r>
      <w:r w:rsidRPr="007C6211">
        <w:t xml:space="preserve"> </w:t>
      </w:r>
      <w:r>
        <w:t xml:space="preserve">are </w:t>
      </w:r>
      <w:r w:rsidRPr="007C6211">
        <w:t>placin</w:t>
      </w:r>
      <w:r>
        <w:t xml:space="preserve">g considerable pressure on </w:t>
      </w:r>
      <w:r w:rsidR="003264EC">
        <w:t>the market</w:t>
      </w:r>
      <w:r>
        <w:t>. The market leader of temperature</w:t>
      </w:r>
      <w:r w:rsidR="003264EC">
        <w:t>-</w:t>
      </w:r>
      <w:r>
        <w:t>controlled transport in the UK is Quayside, who</w:t>
      </w:r>
      <w:r w:rsidR="003264EC">
        <w:t>se operations include international</w:t>
      </w:r>
      <w:r>
        <w:t xml:space="preserve"> </w:t>
      </w:r>
      <w:r w:rsidR="00F86AC3">
        <w:t>distribut</w:t>
      </w:r>
      <w:r w:rsidR="003264EC">
        <w:t>ion</w:t>
      </w:r>
      <w:r>
        <w:t xml:space="preserve"> and</w:t>
      </w:r>
      <w:r w:rsidR="00F86AC3">
        <w:t xml:space="preserve"> </w:t>
      </w:r>
      <w:r w:rsidR="003264EC">
        <w:t>are headquartered</w:t>
      </w:r>
      <w:r>
        <w:t xml:space="preserve"> in Grimsby.</w:t>
      </w:r>
      <w:r w:rsidR="006F6248">
        <w:t xml:space="preserve"> The</w:t>
      </w:r>
      <w:r w:rsidR="003264EC">
        <w:t xml:space="preserve"> Humberside</w:t>
      </w:r>
      <w:r w:rsidR="006F6248">
        <w:t xml:space="preserve"> airport is also expect</w:t>
      </w:r>
      <w:r w:rsidR="00F86AC3">
        <w:t>ed</w:t>
      </w:r>
      <w:r w:rsidR="006F6248">
        <w:t xml:space="preserve"> to play an important role </w:t>
      </w:r>
      <w:r w:rsidR="0038652B">
        <w:t xml:space="preserve">in the future as it </w:t>
      </w:r>
      <w:r w:rsidR="006F6248">
        <w:t>reduce</w:t>
      </w:r>
      <w:r w:rsidR="0038652B">
        <w:t>s</w:t>
      </w:r>
      <w:r w:rsidR="006F6248">
        <w:t xml:space="preserve"> </w:t>
      </w:r>
      <w:r w:rsidR="00F86AC3">
        <w:t>travel time and strengthen</w:t>
      </w:r>
      <w:r w:rsidR="0038652B">
        <w:t>s</w:t>
      </w:r>
      <w:r w:rsidR="00F86AC3">
        <w:t xml:space="preserve"> the</w:t>
      </w:r>
      <w:r w:rsidR="0038652B">
        <w:t xml:space="preserve"> transport connections to key markets. </w:t>
      </w:r>
    </w:p>
    <w:p w14:paraId="7AD8EFFB" w14:textId="77777777" w:rsidR="00F86AC3" w:rsidRPr="00F86AC3" w:rsidRDefault="002F7137" w:rsidP="00C93734">
      <w:pPr>
        <w:jc w:val="both"/>
        <w:rPr>
          <w:b/>
        </w:rPr>
      </w:pPr>
      <w:r w:rsidRPr="00F86AC3">
        <w:rPr>
          <w:b/>
        </w:rPr>
        <w:t>Fishing</w:t>
      </w:r>
      <w:r w:rsidR="00F86AC3" w:rsidRPr="00F86AC3">
        <w:rPr>
          <w:b/>
        </w:rPr>
        <w:t xml:space="preserve"> Companies and Traders</w:t>
      </w:r>
    </w:p>
    <w:p w14:paraId="6F7B7AB9" w14:textId="77777777" w:rsidR="0038652B" w:rsidRDefault="00AC4886" w:rsidP="0038652B">
      <w:pPr>
        <w:jc w:val="both"/>
      </w:pPr>
      <w:r>
        <w:t>Despite the industry’s historical legacy, v</w:t>
      </w:r>
      <w:r w:rsidR="0038652B">
        <w:t>ery few trawlers exist in Grimsby today</w:t>
      </w:r>
      <w:r>
        <w:t xml:space="preserve">. As a result, </w:t>
      </w:r>
      <w:r w:rsidR="0038652B">
        <w:t>the UK exports most of its catch and imports much of the fish it consumes. Key imports include:</w:t>
      </w:r>
    </w:p>
    <w:p w14:paraId="6F2005DD" w14:textId="77777777" w:rsidR="0038652B" w:rsidRDefault="0038652B" w:rsidP="0038652B">
      <w:pPr>
        <w:pStyle w:val="ListParagraph"/>
        <w:numPr>
          <w:ilvl w:val="1"/>
          <w:numId w:val="15"/>
        </w:numPr>
        <w:jc w:val="both"/>
      </w:pPr>
      <w:r>
        <w:t xml:space="preserve">Cod, </w:t>
      </w:r>
      <w:r w:rsidR="00AC4886">
        <w:t>h</w:t>
      </w:r>
      <w:r>
        <w:t xml:space="preserve">addock, </w:t>
      </w:r>
      <w:r w:rsidR="00AC4886">
        <w:t>p</w:t>
      </w:r>
      <w:r>
        <w:t>oll</w:t>
      </w:r>
      <w:r w:rsidR="00AC4886">
        <w:t>o</w:t>
      </w:r>
      <w:r>
        <w:t>ck and other demersal/whitefish from Iceland, Norway,</w:t>
      </w:r>
      <w:r w:rsidR="00AC4886">
        <w:t xml:space="preserve"> the n</w:t>
      </w:r>
      <w:r>
        <w:t>orthern USA and Canada</w:t>
      </w:r>
      <w:r w:rsidR="00AC4886">
        <w:t>, as well as</w:t>
      </w:r>
      <w:r>
        <w:t xml:space="preserve"> </w:t>
      </w:r>
      <w:r w:rsidR="00AC4886">
        <w:t>part-</w:t>
      </w:r>
      <w:r>
        <w:t xml:space="preserve">processed whitefish from these locations via China. </w:t>
      </w:r>
    </w:p>
    <w:p w14:paraId="3A8DD676" w14:textId="77777777" w:rsidR="0038652B" w:rsidRDefault="0038652B" w:rsidP="0038652B">
      <w:pPr>
        <w:pStyle w:val="ListParagraph"/>
        <w:numPr>
          <w:ilvl w:val="1"/>
          <w:numId w:val="15"/>
        </w:numPr>
        <w:jc w:val="both"/>
      </w:pPr>
      <w:r>
        <w:t>Salmon from Norway, Scotland and the Faroe Islands.</w:t>
      </w:r>
    </w:p>
    <w:p w14:paraId="6E694B59" w14:textId="77777777" w:rsidR="0038652B" w:rsidRDefault="0038652B" w:rsidP="0038652B">
      <w:pPr>
        <w:pStyle w:val="ListParagraph"/>
        <w:numPr>
          <w:ilvl w:val="1"/>
          <w:numId w:val="15"/>
        </w:numPr>
        <w:jc w:val="both"/>
      </w:pPr>
      <w:r>
        <w:t xml:space="preserve">Warm-water prawns from Thailand, Indonesia, India and </w:t>
      </w:r>
      <w:r w:rsidR="00AC4886">
        <w:t>East Asia</w:t>
      </w:r>
      <w:r>
        <w:t>.</w:t>
      </w:r>
    </w:p>
    <w:p w14:paraId="587C9768" w14:textId="77777777" w:rsidR="0038652B" w:rsidRDefault="0038652B" w:rsidP="0038652B">
      <w:pPr>
        <w:pStyle w:val="ListParagraph"/>
        <w:numPr>
          <w:ilvl w:val="1"/>
          <w:numId w:val="15"/>
        </w:numPr>
        <w:jc w:val="both"/>
      </w:pPr>
      <w:r>
        <w:t>Exotic species such as</w:t>
      </w:r>
      <w:r w:rsidR="00AC4886">
        <w:t>: s</w:t>
      </w:r>
      <w:r>
        <w:t xml:space="preserve">ea </w:t>
      </w:r>
      <w:r w:rsidR="00AC4886">
        <w:t>b</w:t>
      </w:r>
      <w:r>
        <w:t>ass from Greece and Turkey</w:t>
      </w:r>
      <w:r w:rsidR="00AC4886">
        <w:t>;</w:t>
      </w:r>
      <w:r>
        <w:t xml:space="preserve"> </w:t>
      </w:r>
      <w:r w:rsidR="00AC4886">
        <w:t xml:space="preserve">pangasius </w:t>
      </w:r>
      <w:r>
        <w:t>from Vietnam</w:t>
      </w:r>
      <w:r w:rsidR="00AC4886">
        <w:t>; t</w:t>
      </w:r>
      <w:r>
        <w:t xml:space="preserve">ilapia and Nile </w:t>
      </w:r>
      <w:r w:rsidR="00AC4886">
        <w:t xml:space="preserve">perch </w:t>
      </w:r>
      <w:r>
        <w:t xml:space="preserve">from the </w:t>
      </w:r>
      <w:r w:rsidR="00AC4886">
        <w:t>East Asia;</w:t>
      </w:r>
      <w:r>
        <w:t xml:space="preserve"> and </w:t>
      </w:r>
      <w:r w:rsidR="00AC4886">
        <w:t xml:space="preserve">tuna </w:t>
      </w:r>
      <w:r>
        <w:t>from Mauritius, Ghana and the Seychelles</w:t>
      </w:r>
      <w:r w:rsidR="00AC4886">
        <w:t>.</w:t>
      </w:r>
    </w:p>
    <w:p w14:paraId="3EC95735" w14:textId="77777777" w:rsidR="003976CE" w:rsidRPr="0038652B" w:rsidRDefault="0038652B" w:rsidP="0038652B">
      <w:pPr>
        <w:pStyle w:val="ListParagraph"/>
        <w:numPr>
          <w:ilvl w:val="1"/>
          <w:numId w:val="15"/>
        </w:numPr>
        <w:jc w:val="both"/>
      </w:pPr>
      <w:r>
        <w:t>Cold-water prawns from Greenland and Canada.</w:t>
      </w:r>
    </w:p>
    <w:p w14:paraId="4D2371B5" w14:textId="77777777" w:rsidR="003976CE" w:rsidRPr="003976CE" w:rsidRDefault="002F7137" w:rsidP="00C93734">
      <w:pPr>
        <w:jc w:val="both"/>
        <w:rPr>
          <w:b/>
        </w:rPr>
      </w:pPr>
      <w:r w:rsidRPr="003976CE">
        <w:rPr>
          <w:b/>
        </w:rPr>
        <w:t>Support activities</w:t>
      </w:r>
    </w:p>
    <w:p w14:paraId="63CE0458" w14:textId="77777777" w:rsidR="00995028" w:rsidRDefault="003976CE" w:rsidP="00C93734">
      <w:pPr>
        <w:jc w:val="both"/>
      </w:pPr>
      <w:r>
        <w:t>Key activities include:</w:t>
      </w:r>
    </w:p>
    <w:p w14:paraId="71898AC5" w14:textId="77777777" w:rsidR="00995028" w:rsidRDefault="00995028" w:rsidP="00C93734">
      <w:pPr>
        <w:pStyle w:val="ListBullet"/>
        <w:jc w:val="both"/>
      </w:pPr>
      <w:r>
        <w:t xml:space="preserve">Accountancy </w:t>
      </w:r>
      <w:r w:rsidR="006C2F73">
        <w:t xml:space="preserve">and </w:t>
      </w:r>
      <w:r>
        <w:t xml:space="preserve">finance – </w:t>
      </w:r>
      <w:r w:rsidR="003976CE">
        <w:t>Delivery of</w:t>
      </w:r>
      <w:r>
        <w:t xml:space="preserve"> accountancy and finance support to firms in the local area including payment of wages (e.g. weekly), </w:t>
      </w:r>
      <w:r w:rsidRPr="00995028">
        <w:t>bookkeepin</w:t>
      </w:r>
      <w:r>
        <w:t xml:space="preserve">g and VAT/tax control. Often these will have specific knowledge of the market, seasonality of work and cashflow management techniques associated with the work. </w:t>
      </w:r>
    </w:p>
    <w:p w14:paraId="449D897F" w14:textId="77777777" w:rsidR="00995028" w:rsidRDefault="00995028" w:rsidP="00C93734">
      <w:pPr>
        <w:pStyle w:val="ListBullet"/>
        <w:jc w:val="both"/>
      </w:pPr>
      <w:r>
        <w:t xml:space="preserve">Legal – As a highly regulated industry, food has specific guidelines connected to safety and hygiene. There are also </w:t>
      </w:r>
      <w:r w:rsidR="000A4388" w:rsidRPr="000A4388">
        <w:t xml:space="preserve">services connected to </w:t>
      </w:r>
      <w:r w:rsidRPr="000A4388">
        <w:t xml:space="preserve">legal advice on aspects of domestic and European </w:t>
      </w:r>
      <w:r w:rsidR="00772E08">
        <w:t>f</w:t>
      </w:r>
      <w:r w:rsidR="00772E08" w:rsidRPr="000A4388">
        <w:t xml:space="preserve">isheries </w:t>
      </w:r>
      <w:r w:rsidR="00772E08">
        <w:t>l</w:t>
      </w:r>
      <w:r w:rsidR="00772E08" w:rsidRPr="000A4388">
        <w:t>egislation</w:t>
      </w:r>
      <w:r w:rsidR="000A4388" w:rsidRPr="000A4388">
        <w:t>.</w:t>
      </w:r>
    </w:p>
    <w:p w14:paraId="6AB0B68F" w14:textId="77777777" w:rsidR="00995028" w:rsidRDefault="00995028" w:rsidP="00C93734">
      <w:pPr>
        <w:pStyle w:val="ListBullet"/>
        <w:jc w:val="both"/>
      </w:pPr>
      <w:r>
        <w:t xml:space="preserve">Engineering </w:t>
      </w:r>
      <w:r w:rsidR="006C2F73">
        <w:t xml:space="preserve">and </w:t>
      </w:r>
      <w:r>
        <w:t>maintenance</w:t>
      </w:r>
      <w:r w:rsidR="000A4388">
        <w:t xml:space="preserve"> – A range of providers of specialist engineering and maintenance play an important role in keeping machinery working and fixing issues with technology throughout food processing plants. </w:t>
      </w:r>
      <w:r w:rsidR="0052787C">
        <w:t xml:space="preserve">This has resulted in a particular local specialism in refrigeration technologies. </w:t>
      </w:r>
      <w:r w:rsidR="000A4388">
        <w:t>As the industry moves forward this is seen as an increasingly important service as the industry increases its use of technology driven by the need to reduce costs and respond to markets.</w:t>
      </w:r>
    </w:p>
    <w:p w14:paraId="18587B98" w14:textId="77777777" w:rsidR="00956018" w:rsidRDefault="000A4388" w:rsidP="00C93734">
      <w:pPr>
        <w:pStyle w:val="ListBullet"/>
        <w:jc w:val="both"/>
      </w:pPr>
      <w:r>
        <w:t xml:space="preserve">Research </w:t>
      </w:r>
      <w:r w:rsidR="006C2F73">
        <w:t xml:space="preserve">and development </w:t>
      </w:r>
      <w:r>
        <w:t>– Research and development is undertaken within firms and public sector inst</w:t>
      </w:r>
      <w:r w:rsidR="00956018">
        <w:t xml:space="preserve">itutions </w:t>
      </w:r>
      <w:r>
        <w:t xml:space="preserve">such as the Humber Seafood </w:t>
      </w:r>
      <w:r w:rsidR="00956018">
        <w:t>Institute</w:t>
      </w:r>
      <w:r>
        <w:t xml:space="preserve"> and </w:t>
      </w:r>
      <w:r w:rsidRPr="00956018">
        <w:t>Grimsby Institute's Food Refrigeration &amp; Process Engineering Research Centre (FRPERC). Many of these have been key in developing new products (e.g. fish fingers</w:t>
      </w:r>
      <w:r w:rsidR="00956018" w:rsidRPr="00956018">
        <w:t xml:space="preserve"> or Saucy Fish©</w:t>
      </w:r>
      <w:r w:rsidRPr="00956018">
        <w:t xml:space="preserve">), </w:t>
      </w:r>
      <w:r w:rsidR="00956018" w:rsidRPr="00956018">
        <w:t>refrigeration methods (e.g. energy saving methods</w:t>
      </w:r>
      <w:r w:rsidR="00772E08" w:rsidRPr="00956018">
        <w:t>)</w:t>
      </w:r>
      <w:r w:rsidR="00772E08">
        <w:t xml:space="preserve"> and the</w:t>
      </w:r>
      <w:r w:rsidR="00772E08" w:rsidRPr="00956018">
        <w:t xml:space="preserve"> </w:t>
      </w:r>
      <w:r w:rsidR="00956018" w:rsidRPr="00956018">
        <w:t>use of co-products (JHS Fish Ltd’s use of Cod heads, trimmings and backbones)</w:t>
      </w:r>
      <w:r w:rsidR="00772E08">
        <w:t>.</w:t>
      </w:r>
    </w:p>
    <w:p w14:paraId="158A426C" w14:textId="77777777" w:rsidR="003976CE" w:rsidRDefault="003976CE" w:rsidP="00C93734">
      <w:pPr>
        <w:jc w:val="both"/>
      </w:pPr>
    </w:p>
    <w:p w14:paraId="7422F8A8" w14:textId="77777777" w:rsidR="003976CE" w:rsidRDefault="003976CE" w:rsidP="00C93734">
      <w:pPr>
        <w:jc w:val="both"/>
        <w:rPr>
          <w:b/>
        </w:rPr>
      </w:pPr>
      <w:r w:rsidRPr="003976CE">
        <w:rPr>
          <w:b/>
        </w:rPr>
        <w:t>Tourism and the visitor economy</w:t>
      </w:r>
    </w:p>
    <w:p w14:paraId="7CAA338C" w14:textId="77777777" w:rsidR="00D71A02" w:rsidRDefault="00D71A02" w:rsidP="00C93734">
      <w:pPr>
        <w:jc w:val="both"/>
      </w:pPr>
      <w:r>
        <w:t>Given the history of the area, the food processing sector supports a number of important heritage and visitor attractions connected with the fishing industry</w:t>
      </w:r>
      <w:r w:rsidR="00772E08">
        <w:t xml:space="preserve"> (e.g. Grimsby Fishing Heritage Centre)</w:t>
      </w:r>
      <w:r>
        <w:t>, built landscape</w:t>
      </w:r>
      <w:r w:rsidR="00D46C6A">
        <w:t xml:space="preserve"> features</w:t>
      </w:r>
      <w:r>
        <w:t xml:space="preserve"> (e.g. Grimsby Dock Tower), cultural activities </w:t>
      </w:r>
      <w:r w:rsidR="006C2F73">
        <w:t xml:space="preserve">including </w:t>
      </w:r>
      <w:r>
        <w:t xml:space="preserve">plays and festivals and events </w:t>
      </w:r>
      <w:r w:rsidR="006C2F73">
        <w:t xml:space="preserve">such as the </w:t>
      </w:r>
      <w:r>
        <w:t>Fish Craft Championships. The sector also supports a high level of business tourism as business people attend meetings in the local area, staying in local accommodation and spending money on food and drink.</w:t>
      </w:r>
    </w:p>
    <w:p w14:paraId="28887F11" w14:textId="77777777" w:rsidR="00037960" w:rsidRPr="00037960" w:rsidRDefault="00037960" w:rsidP="00C93734">
      <w:pPr>
        <w:jc w:val="both"/>
        <w:rPr>
          <w:b/>
        </w:rPr>
      </w:pPr>
      <w:r w:rsidRPr="00037960">
        <w:rPr>
          <w:b/>
        </w:rPr>
        <w:t>Knowledge Transfer and Collaboration</w:t>
      </w:r>
      <w:r w:rsidR="00D94FEA" w:rsidRPr="00037960">
        <w:rPr>
          <w:b/>
        </w:rPr>
        <w:t xml:space="preserve"> </w:t>
      </w:r>
    </w:p>
    <w:p w14:paraId="177F76BC" w14:textId="77777777" w:rsidR="008C5751" w:rsidRDefault="008C5751" w:rsidP="00C93734">
      <w:pPr>
        <w:jc w:val="both"/>
        <w:rPr>
          <w:rFonts w:cs="Arial"/>
        </w:rPr>
      </w:pPr>
      <w:r>
        <w:rPr>
          <w:rFonts w:cs="Arial"/>
        </w:rPr>
        <w:t>The fish processing industry</w:t>
      </w:r>
      <w:r w:rsidR="00037960">
        <w:rPr>
          <w:rFonts w:cs="Arial"/>
        </w:rPr>
        <w:t xml:space="preserve"> in NEL</w:t>
      </w:r>
      <w:r>
        <w:rPr>
          <w:rFonts w:cs="Arial"/>
        </w:rPr>
        <w:t xml:space="preserve"> benefits from </w:t>
      </w:r>
      <w:r w:rsidR="00037960">
        <w:rPr>
          <w:rFonts w:cs="Arial"/>
        </w:rPr>
        <w:t>well established and robust</w:t>
      </w:r>
      <w:r>
        <w:rPr>
          <w:rFonts w:cs="Arial"/>
        </w:rPr>
        <w:t xml:space="preserve"> networks </w:t>
      </w:r>
      <w:r w:rsidR="00037960">
        <w:rPr>
          <w:rFonts w:cs="Arial"/>
        </w:rPr>
        <w:t xml:space="preserve">which support the sector’s positioning in the UK market.  </w:t>
      </w:r>
      <w:r w:rsidR="00B84309">
        <w:rPr>
          <w:rFonts w:cs="Arial"/>
        </w:rPr>
        <w:t>Key factors highlighted during the study included</w:t>
      </w:r>
      <w:r w:rsidR="00D46C6A">
        <w:rPr>
          <w:rFonts w:cs="Arial"/>
        </w:rPr>
        <w:t>:</w:t>
      </w:r>
    </w:p>
    <w:p w14:paraId="0FFACFAF" w14:textId="77777777" w:rsidR="008C5751" w:rsidRPr="00B84309" w:rsidRDefault="008C5751" w:rsidP="00C93734">
      <w:pPr>
        <w:pStyle w:val="ListParagraph"/>
        <w:numPr>
          <w:ilvl w:val="0"/>
          <w:numId w:val="26"/>
        </w:numPr>
        <w:spacing w:after="0"/>
        <w:jc w:val="both"/>
        <w:outlineLvl w:val="9"/>
        <w:rPr>
          <w:rFonts w:cs="Arial"/>
        </w:rPr>
      </w:pPr>
      <w:r w:rsidRPr="004E4B88">
        <w:rPr>
          <w:rFonts w:cs="Arial"/>
        </w:rPr>
        <w:t>Entrepreneur</w:t>
      </w:r>
      <w:r w:rsidR="00B84309">
        <w:rPr>
          <w:rFonts w:cs="Arial"/>
        </w:rPr>
        <w:t>ship and enterprise – local business leaders have a strong allegiance with and commitment to the area.  Consequently, the skills and knowledge of key individuals and firms have largely remained in the area and many new spin-off companies have been established as a result.</w:t>
      </w:r>
    </w:p>
    <w:p w14:paraId="23FE27B2" w14:textId="77777777" w:rsidR="008C5751" w:rsidRPr="004E4B88" w:rsidRDefault="008C5751" w:rsidP="00C93734">
      <w:pPr>
        <w:pStyle w:val="ListParagraph"/>
        <w:numPr>
          <w:ilvl w:val="0"/>
          <w:numId w:val="26"/>
        </w:numPr>
        <w:spacing w:after="0"/>
        <w:jc w:val="both"/>
        <w:outlineLvl w:val="9"/>
        <w:rPr>
          <w:rFonts w:cs="Arial"/>
        </w:rPr>
      </w:pPr>
      <w:r w:rsidRPr="004E4B88">
        <w:rPr>
          <w:rFonts w:cs="Arial"/>
        </w:rPr>
        <w:t xml:space="preserve">Technological expertise – Workers across the sector </w:t>
      </w:r>
      <w:r w:rsidR="00B84309">
        <w:rPr>
          <w:rFonts w:cs="Arial"/>
        </w:rPr>
        <w:t>are reported to be</w:t>
      </w:r>
      <w:r w:rsidRPr="004E4B88">
        <w:rPr>
          <w:rFonts w:cs="Arial"/>
        </w:rPr>
        <w:t xml:space="preserve"> aware of new technological developments and equipment being used and </w:t>
      </w:r>
      <w:r w:rsidR="00B84309">
        <w:rPr>
          <w:rFonts w:cs="Arial"/>
        </w:rPr>
        <w:t>typically share</w:t>
      </w:r>
      <w:r w:rsidRPr="004E4B88">
        <w:rPr>
          <w:rFonts w:cs="Arial"/>
        </w:rPr>
        <w:t xml:space="preserve"> knowledge over the operations and suitability of machinery.</w:t>
      </w:r>
    </w:p>
    <w:p w14:paraId="68459733" w14:textId="77777777" w:rsidR="008C5751" w:rsidRPr="00677446" w:rsidRDefault="008C5751" w:rsidP="00C93734">
      <w:pPr>
        <w:pStyle w:val="ListParagraph"/>
        <w:numPr>
          <w:ilvl w:val="0"/>
          <w:numId w:val="26"/>
        </w:numPr>
        <w:spacing w:after="0"/>
        <w:jc w:val="both"/>
        <w:outlineLvl w:val="9"/>
        <w:rPr>
          <w:rFonts w:cs="Arial"/>
        </w:rPr>
      </w:pPr>
      <w:r w:rsidRPr="004E4B88">
        <w:rPr>
          <w:rFonts w:cs="Arial"/>
        </w:rPr>
        <w:t>Market information – Linkages between companies helped to share information about changes to market conditions, growth markets and trends. For example, decline in ready meals and growth in certain packaged foods.</w:t>
      </w:r>
    </w:p>
    <w:p w14:paraId="50C680EE" w14:textId="77777777" w:rsidR="008C5751" w:rsidRPr="009D27E3" w:rsidRDefault="008C5751" w:rsidP="00C93734">
      <w:pPr>
        <w:pStyle w:val="ListParagraph"/>
        <w:numPr>
          <w:ilvl w:val="0"/>
          <w:numId w:val="26"/>
        </w:numPr>
        <w:spacing w:after="0"/>
        <w:jc w:val="both"/>
        <w:outlineLvl w:val="9"/>
        <w:rPr>
          <w:rFonts w:cs="Arial"/>
        </w:rPr>
      </w:pPr>
      <w:r>
        <w:rPr>
          <w:rFonts w:cs="Arial"/>
        </w:rPr>
        <w:t xml:space="preserve">Formal </w:t>
      </w:r>
      <w:r w:rsidRPr="009D27E3">
        <w:rPr>
          <w:rFonts w:cs="Arial"/>
        </w:rPr>
        <w:t xml:space="preserve">networking </w:t>
      </w:r>
      <w:r>
        <w:rPr>
          <w:rFonts w:cs="Arial"/>
        </w:rPr>
        <w:t>– A range of local, sub-regional and national formal networking groups exist. The platforms and aims of these groups varies but their information sharing and linkage building capacities are clear (</w:t>
      </w:r>
      <w:r w:rsidR="00D46C6A">
        <w:rPr>
          <w:rFonts w:cs="Arial"/>
        </w:rPr>
        <w:t>for example,</w:t>
      </w:r>
      <w:r>
        <w:rPr>
          <w:rFonts w:cs="Arial"/>
        </w:rPr>
        <w:t xml:space="preserve"> </w:t>
      </w:r>
      <w:r w:rsidR="00D46C6A">
        <w:rPr>
          <w:rFonts w:cs="Arial"/>
        </w:rPr>
        <w:t xml:space="preserve">the </w:t>
      </w:r>
      <w:r>
        <w:rPr>
          <w:rFonts w:cs="Arial"/>
        </w:rPr>
        <w:t>F</w:t>
      </w:r>
      <w:r w:rsidR="00D46C6A">
        <w:rPr>
          <w:rFonts w:cs="Arial"/>
        </w:rPr>
        <w:t xml:space="preserve">ish </w:t>
      </w:r>
      <w:r>
        <w:rPr>
          <w:rFonts w:cs="Arial"/>
        </w:rPr>
        <w:t>M</w:t>
      </w:r>
      <w:r w:rsidR="00D46C6A">
        <w:rPr>
          <w:rFonts w:cs="Arial"/>
        </w:rPr>
        <w:t xml:space="preserve">erchants </w:t>
      </w:r>
      <w:r>
        <w:rPr>
          <w:rFonts w:cs="Arial"/>
        </w:rPr>
        <w:t>A</w:t>
      </w:r>
      <w:r w:rsidR="00D46C6A">
        <w:rPr>
          <w:rFonts w:cs="Arial"/>
        </w:rPr>
        <w:t>ssociation</w:t>
      </w:r>
      <w:r>
        <w:rPr>
          <w:rFonts w:cs="Arial"/>
        </w:rPr>
        <w:t xml:space="preserve"> </w:t>
      </w:r>
      <w:r w:rsidR="00D46C6A">
        <w:rPr>
          <w:rFonts w:cs="Arial"/>
        </w:rPr>
        <w:t>provides g</w:t>
      </w:r>
      <w:r>
        <w:rPr>
          <w:rFonts w:cs="Arial"/>
        </w:rPr>
        <w:t>overnmental lobbying and networking opportunities)</w:t>
      </w:r>
      <w:r w:rsidR="00D46C6A">
        <w:rPr>
          <w:rFonts w:cs="Arial"/>
        </w:rPr>
        <w:t>.</w:t>
      </w:r>
    </w:p>
    <w:p w14:paraId="6A4CF889" w14:textId="77777777" w:rsidR="008C5751" w:rsidRPr="009D27E3" w:rsidRDefault="008C5751" w:rsidP="00C93734">
      <w:pPr>
        <w:pStyle w:val="ListParagraph"/>
        <w:numPr>
          <w:ilvl w:val="0"/>
          <w:numId w:val="26"/>
        </w:numPr>
        <w:spacing w:after="0"/>
        <w:jc w:val="both"/>
        <w:outlineLvl w:val="9"/>
        <w:rPr>
          <w:rFonts w:cs="Arial"/>
        </w:rPr>
      </w:pPr>
      <w:r w:rsidRPr="009D27E3">
        <w:rPr>
          <w:rFonts w:cs="Arial"/>
        </w:rPr>
        <w:t>Research &amp; development</w:t>
      </w:r>
      <w:r>
        <w:rPr>
          <w:rFonts w:cs="Arial"/>
        </w:rPr>
        <w:t xml:space="preserve"> – The industry benefits from close linkages with</w:t>
      </w:r>
      <w:r w:rsidR="00677446">
        <w:rPr>
          <w:rFonts w:cs="Arial"/>
        </w:rPr>
        <w:t xml:space="preserve"> the</w:t>
      </w:r>
      <w:r>
        <w:rPr>
          <w:rFonts w:cs="Arial"/>
        </w:rPr>
        <w:t xml:space="preserve"> Grimsby Institute of Further Education and some its </w:t>
      </w:r>
      <w:r w:rsidR="00677446">
        <w:rPr>
          <w:rFonts w:cs="Arial"/>
        </w:rPr>
        <w:t>faculties</w:t>
      </w:r>
      <w:r>
        <w:rPr>
          <w:rFonts w:cs="Arial"/>
        </w:rPr>
        <w:t xml:space="preserve"> </w:t>
      </w:r>
      <w:r w:rsidR="00677446">
        <w:rPr>
          <w:rFonts w:cs="Arial"/>
        </w:rPr>
        <w:t>such as the</w:t>
      </w:r>
      <w:r>
        <w:rPr>
          <w:rFonts w:cs="Arial"/>
        </w:rPr>
        <w:t xml:space="preserve"> </w:t>
      </w:r>
      <w:r w:rsidR="00142DA6">
        <w:rPr>
          <w:rFonts w:cs="Arial"/>
        </w:rPr>
        <w:t>Food Refrigeration and Process Engineering Research Centre</w:t>
      </w:r>
      <w:r w:rsidR="00D46C6A">
        <w:rPr>
          <w:rFonts w:cs="Arial"/>
        </w:rPr>
        <w:t>.</w:t>
      </w:r>
    </w:p>
    <w:p w14:paraId="25E783F3" w14:textId="77777777" w:rsidR="008C5751" w:rsidRPr="009D27E3" w:rsidRDefault="008C5751" w:rsidP="00C93734">
      <w:pPr>
        <w:pStyle w:val="ListParagraph"/>
        <w:numPr>
          <w:ilvl w:val="0"/>
          <w:numId w:val="26"/>
        </w:numPr>
        <w:spacing w:after="0"/>
        <w:jc w:val="both"/>
        <w:outlineLvl w:val="9"/>
        <w:rPr>
          <w:rFonts w:cs="Arial"/>
        </w:rPr>
      </w:pPr>
      <w:r>
        <w:rPr>
          <w:rFonts w:cs="Arial"/>
        </w:rPr>
        <w:t>S</w:t>
      </w:r>
      <w:r w:rsidRPr="009D27E3">
        <w:rPr>
          <w:rFonts w:cs="Arial"/>
        </w:rPr>
        <w:t>taff recruitment</w:t>
      </w:r>
      <w:r>
        <w:rPr>
          <w:rFonts w:cs="Arial"/>
        </w:rPr>
        <w:t xml:space="preserve"> – Workers are aware of employment opportunities and able to identify suitable prospects. In the case of past redundancies, many other workers found employment within other food manufacturing operations. </w:t>
      </w:r>
    </w:p>
    <w:p w14:paraId="3DBDD57F" w14:textId="77777777" w:rsidR="008C5751" w:rsidRPr="009D27E3" w:rsidRDefault="008C5751" w:rsidP="00C93734">
      <w:pPr>
        <w:pStyle w:val="ListParagraph"/>
        <w:numPr>
          <w:ilvl w:val="0"/>
          <w:numId w:val="26"/>
        </w:numPr>
        <w:spacing w:after="0"/>
        <w:jc w:val="both"/>
        <w:outlineLvl w:val="9"/>
        <w:rPr>
          <w:rFonts w:cs="Arial"/>
        </w:rPr>
      </w:pPr>
      <w:r>
        <w:rPr>
          <w:rFonts w:cs="Arial"/>
        </w:rPr>
        <w:t xml:space="preserve">Policy and </w:t>
      </w:r>
      <w:r w:rsidR="00142DA6">
        <w:rPr>
          <w:rFonts w:cs="Arial"/>
        </w:rPr>
        <w:t>r</w:t>
      </w:r>
      <w:r w:rsidR="00142DA6" w:rsidRPr="009D27E3">
        <w:rPr>
          <w:rFonts w:cs="Arial"/>
        </w:rPr>
        <w:t>egu</w:t>
      </w:r>
      <w:r w:rsidR="00142DA6">
        <w:rPr>
          <w:rFonts w:cs="Arial"/>
        </w:rPr>
        <w:t xml:space="preserve">lation </w:t>
      </w:r>
      <w:r>
        <w:rPr>
          <w:rFonts w:cs="Arial"/>
        </w:rPr>
        <w:t>– Linkages with bodies such as the Marine Management Organisation and Seafish support</w:t>
      </w:r>
      <w:r w:rsidR="00677446">
        <w:rPr>
          <w:rFonts w:cs="Arial"/>
        </w:rPr>
        <w:t>s a</w:t>
      </w:r>
      <w:r>
        <w:rPr>
          <w:rFonts w:cs="Arial"/>
        </w:rPr>
        <w:t xml:space="preserve"> stronger understanding of strategic and regulatory developments.</w:t>
      </w:r>
    </w:p>
    <w:p w14:paraId="36B44945" w14:textId="77777777" w:rsidR="002F7137" w:rsidRDefault="002F7137" w:rsidP="00C93734">
      <w:pPr>
        <w:pStyle w:val="Heading3"/>
        <w:jc w:val="both"/>
      </w:pPr>
      <w:r>
        <w:t>Local Strengths</w:t>
      </w:r>
    </w:p>
    <w:p w14:paraId="3D6BB7A1" w14:textId="77777777" w:rsidR="00690725" w:rsidRDefault="004E6AAE" w:rsidP="00C93734">
      <w:pPr>
        <w:jc w:val="both"/>
      </w:pPr>
      <w:r>
        <w:t xml:space="preserve">The </w:t>
      </w:r>
      <w:r w:rsidR="004D6F42">
        <w:t xml:space="preserve">Grimsby </w:t>
      </w:r>
      <w:r>
        <w:t xml:space="preserve">food processing industry </w:t>
      </w:r>
      <w:r w:rsidR="00AC7AF2">
        <w:t>represents</w:t>
      </w:r>
      <w:r>
        <w:t xml:space="preserve"> the largest fish</w:t>
      </w:r>
      <w:r w:rsidR="004D6F42">
        <w:t>-</w:t>
      </w:r>
      <w:r>
        <w:t xml:space="preserve">processing cluster in Europe and </w:t>
      </w:r>
      <w:r w:rsidR="004D6F42">
        <w:t xml:space="preserve">possibly </w:t>
      </w:r>
      <w:r>
        <w:t>the world.</w:t>
      </w:r>
      <w:r w:rsidR="006F6248">
        <w:t xml:space="preserve"> </w:t>
      </w:r>
      <w:r w:rsidR="00690725">
        <w:t>The</w:t>
      </w:r>
      <w:r w:rsidR="006F6248" w:rsidRPr="006F6248">
        <w:t xml:space="preserve"> Cluster Mark </w:t>
      </w:r>
      <w:r w:rsidR="004D6F42">
        <w:t>Awards</w:t>
      </w:r>
      <w:r w:rsidR="004D6F42" w:rsidRPr="006F6248">
        <w:t xml:space="preserve"> </w:t>
      </w:r>
      <w:r w:rsidR="006F6248" w:rsidRPr="006F6248">
        <w:t>identified the</w:t>
      </w:r>
      <w:r w:rsidR="00690725">
        <w:t xml:space="preserve"> </w:t>
      </w:r>
      <w:r w:rsidR="004D6F42">
        <w:t xml:space="preserve">cluster’s strengths </w:t>
      </w:r>
      <w:r w:rsidR="00B46CE3">
        <w:t>of</w:t>
      </w:r>
      <w:r w:rsidR="004D6F42">
        <w:t xml:space="preserve"> </w:t>
      </w:r>
      <w:r w:rsidR="006F6248" w:rsidRPr="006F6248">
        <w:t>entrepreneurial dynamism, innovation, skills base and level of internationalisation</w:t>
      </w:r>
      <w:r w:rsidR="00690725">
        <w:t>.</w:t>
      </w:r>
    </w:p>
    <w:p w14:paraId="687073FA" w14:textId="77777777" w:rsidR="006F6248" w:rsidRDefault="00690725" w:rsidP="00C93734">
      <w:pPr>
        <w:jc w:val="both"/>
      </w:pPr>
      <w:r>
        <w:t>Using location quotient ratio measured ag</w:t>
      </w:r>
      <w:r w:rsidR="00374100">
        <w:t>ainst national averages, Table 5</w:t>
      </w:r>
      <w:r>
        <w:t xml:space="preserve">.8 highlights the </w:t>
      </w:r>
      <w:r w:rsidR="004D6F42">
        <w:t xml:space="preserve">particular importance </w:t>
      </w:r>
      <w:r>
        <w:t>of</w:t>
      </w:r>
      <w:r w:rsidR="004D6F42">
        <w:t xml:space="preserve"> the</w:t>
      </w:r>
      <w:r>
        <w:t xml:space="preserve"> </w:t>
      </w:r>
      <w:r w:rsidR="004D6F42">
        <w:t>fish-</w:t>
      </w:r>
      <w:r>
        <w:t xml:space="preserve">processing sector in </w:t>
      </w:r>
      <w:r w:rsidR="00142DA6">
        <w:t>NEL</w:t>
      </w:r>
      <w:r>
        <w:t xml:space="preserve">. </w:t>
      </w:r>
    </w:p>
    <w:p w14:paraId="3D1E2B84" w14:textId="77777777" w:rsidR="00690725" w:rsidRDefault="00690725" w:rsidP="00C93734">
      <w:pPr>
        <w:spacing w:after="200" w:line="276" w:lineRule="auto"/>
        <w:jc w:val="both"/>
        <w:rPr>
          <w:b/>
          <w:bCs/>
          <w:szCs w:val="18"/>
        </w:rPr>
      </w:pPr>
      <w:bookmarkStart w:id="576" w:name="_Toc383159694"/>
      <w:r>
        <w:br w:type="page"/>
      </w:r>
    </w:p>
    <w:p w14:paraId="49783DCB" w14:textId="77777777" w:rsidR="00D94FEA" w:rsidRDefault="00D94FEA" w:rsidP="00C93734">
      <w:pPr>
        <w:pStyle w:val="Caption"/>
        <w:jc w:val="both"/>
      </w:pPr>
      <w:r>
        <w:t xml:space="preserve">Table </w:t>
      </w:r>
      <w:fldSimple w:instr=" STYLEREF 1 \s  \* MERGEFORMAT ">
        <w:r w:rsidR="00E95E1A">
          <w:rPr>
            <w:noProof/>
          </w:rPr>
          <w:t>5</w:t>
        </w:r>
      </w:fldSimple>
      <w:r>
        <w:t>-</w:t>
      </w:r>
      <w:fldSimple w:instr=" SEQ Table \* ARABIC \s 1  \* MERGEFORMAT ">
        <w:r w:rsidR="00E95E1A">
          <w:rPr>
            <w:noProof/>
          </w:rPr>
          <w:t>8</w:t>
        </w:r>
      </w:fldSimple>
      <w:r>
        <w:tab/>
      </w:r>
      <w:bookmarkEnd w:id="576"/>
      <w:r w:rsidR="001B70DF">
        <w:t xml:space="preserve">Employment LQ Analysis </w:t>
      </w:r>
      <w:r w:rsidR="00690725">
        <w:t>– Food Processing</w:t>
      </w:r>
    </w:p>
    <w:tbl>
      <w:tblPr>
        <w:tblStyle w:val="Atkins14pt"/>
        <w:tblW w:w="9538" w:type="dxa"/>
        <w:tblLook w:val="04A0" w:firstRow="1" w:lastRow="0" w:firstColumn="1" w:lastColumn="0" w:noHBand="0" w:noVBand="1"/>
      </w:tblPr>
      <w:tblGrid>
        <w:gridCol w:w="8291"/>
        <w:gridCol w:w="1247"/>
      </w:tblGrid>
      <w:tr w:rsidR="00D94FEA" w:rsidRPr="00D94FEA" w14:paraId="1F898F75" w14:textId="77777777" w:rsidTr="00D94FEA">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8291" w:type="dxa"/>
            <w:noWrap/>
            <w:hideMark/>
          </w:tcPr>
          <w:p w14:paraId="24E78298" w14:textId="77777777" w:rsidR="00D94FEA" w:rsidRPr="00D94FEA" w:rsidRDefault="00D94FEA" w:rsidP="00C93734">
            <w:pPr>
              <w:spacing w:after="0"/>
              <w:jc w:val="both"/>
              <w:rPr>
                <w:rFonts w:eastAsia="Times New Roman"/>
                <w:color w:val="000000"/>
              </w:rPr>
            </w:pPr>
            <w:r w:rsidRPr="00D94FEA">
              <w:rPr>
                <w:rFonts w:eastAsia="Times New Roman"/>
                <w:color w:val="000000"/>
              </w:rPr>
              <w:t>Industry</w:t>
            </w:r>
          </w:p>
        </w:tc>
        <w:tc>
          <w:tcPr>
            <w:tcW w:w="1247" w:type="dxa"/>
            <w:noWrap/>
            <w:hideMark/>
          </w:tcPr>
          <w:p w14:paraId="6089BFA2" w14:textId="77777777" w:rsidR="00D94FEA" w:rsidRPr="00D94FEA" w:rsidRDefault="00D94FEA"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D94FEA">
              <w:rPr>
                <w:rFonts w:eastAsia="Times New Roman"/>
                <w:color w:val="000000"/>
              </w:rPr>
              <w:t>North East Lincolnshire</w:t>
            </w:r>
          </w:p>
        </w:tc>
      </w:tr>
      <w:tr w:rsidR="00D94FEA" w:rsidRPr="00D94FEA" w14:paraId="3F6F460B" w14:textId="77777777" w:rsidTr="00D94FEA">
        <w:trPr>
          <w:trHeight w:val="255"/>
        </w:trPr>
        <w:tc>
          <w:tcPr>
            <w:cnfStyle w:val="001000000000" w:firstRow="0" w:lastRow="0" w:firstColumn="1" w:lastColumn="0" w:oddVBand="0" w:evenVBand="0" w:oddHBand="0" w:evenHBand="0" w:firstRowFirstColumn="0" w:firstRowLastColumn="0" w:lastRowFirstColumn="0" w:lastRowLastColumn="0"/>
            <w:tcW w:w="8291" w:type="dxa"/>
            <w:noWrap/>
            <w:hideMark/>
          </w:tcPr>
          <w:p w14:paraId="7B513AAA" w14:textId="77777777" w:rsidR="00D94FEA" w:rsidRPr="00D94FEA" w:rsidRDefault="00D94FEA" w:rsidP="00C93734">
            <w:pPr>
              <w:spacing w:after="0"/>
              <w:jc w:val="both"/>
              <w:rPr>
                <w:rFonts w:eastAsia="Times New Roman"/>
                <w:color w:val="000000"/>
              </w:rPr>
            </w:pPr>
            <w:r w:rsidRPr="00D94FEA">
              <w:rPr>
                <w:rFonts w:eastAsia="Times New Roman"/>
                <w:color w:val="000000"/>
              </w:rPr>
              <w:t>10200 : Processing and preserving of fish, crustaceans and molluscs</w:t>
            </w:r>
          </w:p>
        </w:tc>
        <w:tc>
          <w:tcPr>
            <w:tcW w:w="1247" w:type="dxa"/>
            <w:noWrap/>
            <w:hideMark/>
          </w:tcPr>
          <w:p w14:paraId="764490AD" w14:textId="77777777" w:rsidR="00D94FEA" w:rsidRPr="00D94FEA" w:rsidRDefault="00D94FEA"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94FEA">
              <w:rPr>
                <w:rFonts w:eastAsia="Times New Roman"/>
                <w:color w:val="000000"/>
              </w:rPr>
              <w:t>174.46</w:t>
            </w:r>
          </w:p>
        </w:tc>
      </w:tr>
      <w:tr w:rsidR="00D94FEA" w:rsidRPr="00D94FEA" w14:paraId="62CE9713" w14:textId="77777777" w:rsidTr="00D94FEA">
        <w:trPr>
          <w:trHeight w:val="255"/>
        </w:trPr>
        <w:tc>
          <w:tcPr>
            <w:cnfStyle w:val="001000000000" w:firstRow="0" w:lastRow="0" w:firstColumn="1" w:lastColumn="0" w:oddVBand="0" w:evenVBand="0" w:oddHBand="0" w:evenHBand="0" w:firstRowFirstColumn="0" w:firstRowLastColumn="0" w:lastRowFirstColumn="0" w:lastRowLastColumn="0"/>
            <w:tcW w:w="8291" w:type="dxa"/>
            <w:noWrap/>
            <w:hideMark/>
          </w:tcPr>
          <w:p w14:paraId="2ADEDDF4" w14:textId="77777777" w:rsidR="00D94FEA" w:rsidRPr="00D94FEA" w:rsidRDefault="00D94FEA" w:rsidP="00C93734">
            <w:pPr>
              <w:spacing w:after="0"/>
              <w:jc w:val="both"/>
              <w:rPr>
                <w:rFonts w:eastAsia="Times New Roman"/>
                <w:color w:val="000000"/>
              </w:rPr>
            </w:pPr>
            <w:r w:rsidRPr="00D94FEA">
              <w:rPr>
                <w:rFonts w:eastAsia="Times New Roman"/>
                <w:color w:val="000000"/>
              </w:rPr>
              <w:t>10720 : Manufacture of rusks and biscuits; manufacture of preserved pastry goods and cakes</w:t>
            </w:r>
          </w:p>
        </w:tc>
        <w:tc>
          <w:tcPr>
            <w:tcW w:w="1247" w:type="dxa"/>
            <w:noWrap/>
            <w:hideMark/>
          </w:tcPr>
          <w:p w14:paraId="42F597D5" w14:textId="77777777" w:rsidR="00D94FEA" w:rsidRPr="00D94FEA" w:rsidRDefault="00D94FEA"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94FEA">
              <w:rPr>
                <w:rFonts w:eastAsia="Times New Roman"/>
                <w:color w:val="000000"/>
              </w:rPr>
              <w:t>8.56</w:t>
            </w:r>
          </w:p>
        </w:tc>
      </w:tr>
      <w:tr w:rsidR="00D94FEA" w:rsidRPr="00D94FEA" w14:paraId="4D2BE3F5" w14:textId="77777777" w:rsidTr="00D94FEA">
        <w:trPr>
          <w:trHeight w:val="255"/>
        </w:trPr>
        <w:tc>
          <w:tcPr>
            <w:cnfStyle w:val="001000000000" w:firstRow="0" w:lastRow="0" w:firstColumn="1" w:lastColumn="0" w:oddVBand="0" w:evenVBand="0" w:oddHBand="0" w:evenHBand="0" w:firstRowFirstColumn="0" w:firstRowLastColumn="0" w:lastRowFirstColumn="0" w:lastRowLastColumn="0"/>
            <w:tcW w:w="8291" w:type="dxa"/>
            <w:noWrap/>
            <w:hideMark/>
          </w:tcPr>
          <w:p w14:paraId="2A86A5CC" w14:textId="77777777" w:rsidR="00D94FEA" w:rsidRPr="00D94FEA" w:rsidRDefault="00D94FEA" w:rsidP="00C93734">
            <w:pPr>
              <w:spacing w:after="0"/>
              <w:jc w:val="both"/>
              <w:rPr>
                <w:rFonts w:eastAsia="Times New Roman"/>
                <w:color w:val="000000"/>
              </w:rPr>
            </w:pPr>
            <w:r w:rsidRPr="00D94FEA">
              <w:rPr>
                <w:rFonts w:eastAsia="Times New Roman"/>
                <w:color w:val="000000"/>
              </w:rPr>
              <w:t>28930 : Manufacture of machinery for food, beverage and tobacco processing</w:t>
            </w:r>
          </w:p>
        </w:tc>
        <w:tc>
          <w:tcPr>
            <w:tcW w:w="1247" w:type="dxa"/>
            <w:noWrap/>
            <w:hideMark/>
          </w:tcPr>
          <w:p w14:paraId="0A933A2F" w14:textId="77777777" w:rsidR="00D94FEA" w:rsidRPr="00D94FEA" w:rsidRDefault="00D94FEA"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94FEA">
              <w:rPr>
                <w:rFonts w:eastAsia="Times New Roman"/>
                <w:color w:val="000000"/>
              </w:rPr>
              <w:t>8.28</w:t>
            </w:r>
          </w:p>
        </w:tc>
      </w:tr>
      <w:tr w:rsidR="00D94FEA" w:rsidRPr="00D94FEA" w14:paraId="69629ADE" w14:textId="77777777" w:rsidTr="00D94FEA">
        <w:trPr>
          <w:trHeight w:val="255"/>
        </w:trPr>
        <w:tc>
          <w:tcPr>
            <w:cnfStyle w:val="001000000000" w:firstRow="0" w:lastRow="0" w:firstColumn="1" w:lastColumn="0" w:oddVBand="0" w:evenVBand="0" w:oddHBand="0" w:evenHBand="0" w:firstRowFirstColumn="0" w:firstRowLastColumn="0" w:lastRowFirstColumn="0" w:lastRowLastColumn="0"/>
            <w:tcW w:w="8291" w:type="dxa"/>
            <w:noWrap/>
            <w:hideMark/>
          </w:tcPr>
          <w:p w14:paraId="27D50167" w14:textId="77777777" w:rsidR="00D94FEA" w:rsidRPr="00D94FEA" w:rsidRDefault="00D94FEA" w:rsidP="00C93734">
            <w:pPr>
              <w:spacing w:after="0"/>
              <w:jc w:val="both"/>
              <w:rPr>
                <w:rFonts w:eastAsia="Times New Roman"/>
                <w:color w:val="000000"/>
              </w:rPr>
            </w:pPr>
            <w:r w:rsidRPr="00D94FEA">
              <w:rPr>
                <w:rFonts w:eastAsia="Times New Roman"/>
                <w:color w:val="000000"/>
              </w:rPr>
              <w:t>22220 : Manufacture of plastic packing goods</w:t>
            </w:r>
          </w:p>
        </w:tc>
        <w:tc>
          <w:tcPr>
            <w:tcW w:w="1247" w:type="dxa"/>
            <w:noWrap/>
            <w:hideMark/>
          </w:tcPr>
          <w:p w14:paraId="31A38644" w14:textId="77777777" w:rsidR="00D94FEA" w:rsidRPr="00D94FEA" w:rsidRDefault="00D94FEA"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94FEA">
              <w:rPr>
                <w:rFonts w:eastAsia="Times New Roman"/>
                <w:color w:val="000000"/>
              </w:rPr>
              <w:t>5.50</w:t>
            </w:r>
          </w:p>
        </w:tc>
      </w:tr>
    </w:tbl>
    <w:p w14:paraId="06DC3163" w14:textId="77777777" w:rsidR="005D590A" w:rsidRDefault="005D590A" w:rsidP="001B70DF">
      <w:pPr>
        <w:pStyle w:val="TableSource"/>
      </w:pPr>
      <w:r>
        <w:t>Source: BRES 2013</w:t>
      </w:r>
    </w:p>
    <w:p w14:paraId="485F444F" w14:textId="77777777" w:rsidR="002F7137" w:rsidRDefault="002F7137" w:rsidP="00C93734">
      <w:pPr>
        <w:pStyle w:val="Heading3"/>
        <w:numPr>
          <w:ilvl w:val="2"/>
          <w:numId w:val="5"/>
        </w:numPr>
        <w:jc w:val="both"/>
      </w:pPr>
      <w:r>
        <w:t xml:space="preserve">Economic Trends </w:t>
      </w:r>
    </w:p>
    <w:p w14:paraId="09CC5E06" w14:textId="77777777" w:rsidR="00A126B6" w:rsidRDefault="00142DA6" w:rsidP="00C93734">
      <w:pPr>
        <w:jc w:val="both"/>
        <w:rPr>
          <w:rFonts w:cs="Arial"/>
        </w:rPr>
      </w:pPr>
      <w:r>
        <w:rPr>
          <w:rFonts w:cs="Arial"/>
        </w:rPr>
        <w:t>NEL</w:t>
      </w:r>
      <w:r w:rsidR="00A64910">
        <w:rPr>
          <w:rFonts w:cs="Arial"/>
        </w:rPr>
        <w:t xml:space="preserve"> </w:t>
      </w:r>
      <w:r w:rsidR="00A126B6">
        <w:rPr>
          <w:rFonts w:cs="Arial"/>
        </w:rPr>
        <w:t>is home to</w:t>
      </w:r>
      <w:r w:rsidR="00A64910">
        <w:rPr>
          <w:rFonts w:cs="Arial"/>
        </w:rPr>
        <w:t xml:space="preserve"> approximately 70% of all fish processing companies</w:t>
      </w:r>
      <w:r w:rsidR="00A126B6">
        <w:rPr>
          <w:rFonts w:cs="Arial"/>
        </w:rPr>
        <w:t xml:space="preserve"> in England</w:t>
      </w:r>
      <w:r w:rsidR="00A64910">
        <w:rPr>
          <w:rFonts w:cs="Arial"/>
        </w:rPr>
        <w:t xml:space="preserve">. </w:t>
      </w:r>
      <w:r w:rsidR="00A126B6">
        <w:rPr>
          <w:rFonts w:cs="Arial"/>
        </w:rPr>
        <w:t>Reflecting a downturn in consumption demand, t</w:t>
      </w:r>
      <w:r w:rsidR="00A64910">
        <w:rPr>
          <w:rFonts w:cs="Arial"/>
        </w:rPr>
        <w:t xml:space="preserve">he </w:t>
      </w:r>
      <w:r w:rsidR="00A126B6">
        <w:rPr>
          <w:rFonts w:cs="Arial"/>
        </w:rPr>
        <w:t xml:space="preserve">sector </w:t>
      </w:r>
      <w:r w:rsidR="004D6F42">
        <w:rPr>
          <w:rFonts w:cs="Arial"/>
        </w:rPr>
        <w:t xml:space="preserve">experienced </w:t>
      </w:r>
      <w:r w:rsidR="00A126B6">
        <w:rPr>
          <w:rFonts w:cs="Arial"/>
        </w:rPr>
        <w:t>some consolidation amongst businesses during the recession</w:t>
      </w:r>
      <w:r w:rsidR="00A64910">
        <w:rPr>
          <w:rFonts w:cs="Arial"/>
        </w:rPr>
        <w:t xml:space="preserve">. </w:t>
      </w:r>
    </w:p>
    <w:p w14:paraId="003FBF0F" w14:textId="77777777" w:rsidR="00DF2286" w:rsidRDefault="00A126B6" w:rsidP="00C93734">
      <w:pPr>
        <w:jc w:val="both"/>
      </w:pPr>
      <w:r>
        <w:rPr>
          <w:rFonts w:cs="Arial"/>
        </w:rPr>
        <w:t xml:space="preserve">Despite challenging macro-economic conditions, </w:t>
      </w:r>
      <w:r w:rsidR="00DF2286">
        <w:t>the number of food processing fi</w:t>
      </w:r>
      <w:r>
        <w:t>rms has remained fairly stable</w:t>
      </w:r>
      <w:r w:rsidR="004D6F42">
        <w:t xml:space="preserve"> </w:t>
      </w:r>
      <w:r w:rsidR="004D6F42">
        <w:rPr>
          <w:rFonts w:cs="Arial"/>
        </w:rPr>
        <w:t xml:space="preserve">between </w:t>
      </w:r>
      <w:r w:rsidR="004D6F42">
        <w:t>2009 and 2013</w:t>
      </w:r>
      <w:r>
        <w:t>.</w:t>
      </w:r>
      <w:r w:rsidR="004D6F42">
        <w:t xml:space="preserve"> </w:t>
      </w:r>
    </w:p>
    <w:p w14:paraId="289162BD" w14:textId="77777777" w:rsidR="00D8354B" w:rsidRDefault="005D590A" w:rsidP="00C93734">
      <w:pPr>
        <w:pStyle w:val="Caption"/>
        <w:jc w:val="both"/>
      </w:pPr>
      <w:bookmarkStart w:id="577" w:name="_Toc383159670"/>
      <w:r>
        <w:rPr>
          <w:noProof/>
          <w:lang w:eastAsia="en-GB"/>
        </w:rPr>
        <w:t xml:space="preserve">Figure </w:t>
      </w:r>
      <w:fldSimple w:instr=" STYLEREF 1 \s  \* MERGEFORMAT ">
        <w:r w:rsidR="00E95E1A">
          <w:rPr>
            <w:noProof/>
            <w:lang w:eastAsia="en-GB"/>
          </w:rPr>
          <w:t>5</w:t>
        </w:r>
      </w:fldSimple>
      <w:r>
        <w:rPr>
          <w:noProof/>
          <w:lang w:eastAsia="en-GB"/>
        </w:rPr>
        <w:t>-</w:t>
      </w:r>
      <w:fldSimple w:instr=" SEQ Figure \* ARABIC \s 1  \* MERGEFORMAT ">
        <w:r w:rsidR="00E95E1A">
          <w:rPr>
            <w:noProof/>
            <w:lang w:eastAsia="en-GB"/>
          </w:rPr>
          <w:t>1</w:t>
        </w:r>
      </w:fldSimple>
      <w:r>
        <w:rPr>
          <w:noProof/>
          <w:lang w:eastAsia="en-GB"/>
        </w:rPr>
        <w:tab/>
        <w:t>Food Processing Firm Trends (2009 - 2013)</w:t>
      </w:r>
      <w:r w:rsidR="00BB02D8" w:rsidRPr="00BB02D8">
        <w:rPr>
          <w:noProof/>
          <w:lang w:eastAsia="en-GB"/>
        </w:rPr>
        <w:t xml:space="preserve"> </w:t>
      </w:r>
      <w:r w:rsidR="00BA1CE7">
        <w:rPr>
          <w:noProof/>
          <w:lang w:eastAsia="en-GB"/>
        </w:rPr>
        <w:drawing>
          <wp:inline distT="0" distB="0" distL="0" distR="0" wp14:anchorId="32E6E54D" wp14:editId="5EF786CC">
            <wp:extent cx="6039293" cy="3104707"/>
            <wp:effectExtent l="0" t="0" r="0" b="0"/>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bookmarkEnd w:id="577"/>
      <w:r w:rsidR="00DF2286">
        <w:t xml:space="preserve"> </w:t>
      </w:r>
    </w:p>
    <w:p w14:paraId="6C85C0A7" w14:textId="77777777" w:rsidR="001B70DF" w:rsidRPr="001B70DF" w:rsidRDefault="001B70DF" w:rsidP="001B70DF">
      <w:pPr>
        <w:pStyle w:val="TableSource"/>
      </w:pPr>
      <w:r>
        <w:t>Source: IDBR 2013</w:t>
      </w:r>
    </w:p>
    <w:p w14:paraId="623CC6A5" w14:textId="77777777" w:rsidR="002F7137" w:rsidRDefault="004D6F42" w:rsidP="00C93734">
      <w:pPr>
        <w:jc w:val="both"/>
      </w:pPr>
      <w:r>
        <w:t>Following</w:t>
      </w:r>
      <w:r w:rsidR="00DF2286">
        <w:t xml:space="preserve"> </w:t>
      </w:r>
      <w:r>
        <w:t xml:space="preserve">a </w:t>
      </w:r>
      <w:r w:rsidR="00DF2286">
        <w:t xml:space="preserve">drop in food processing employment between 2009 and 2011, </w:t>
      </w:r>
      <w:r>
        <w:t xml:space="preserve">employment has remained comparatively stable, yet not returned to 2009 levels. </w:t>
      </w:r>
    </w:p>
    <w:p w14:paraId="509D8B12" w14:textId="77777777" w:rsidR="00DC0BE2" w:rsidRDefault="00DC0BE2">
      <w:pPr>
        <w:spacing w:after="200" w:line="276" w:lineRule="auto"/>
        <w:rPr>
          <w:b/>
          <w:bCs/>
          <w:noProof/>
          <w:szCs w:val="18"/>
          <w:lang w:eastAsia="en-GB"/>
        </w:rPr>
      </w:pPr>
      <w:bookmarkStart w:id="578" w:name="_Toc383159671"/>
      <w:r>
        <w:rPr>
          <w:noProof/>
          <w:lang w:eastAsia="en-GB"/>
        </w:rPr>
        <w:br w:type="page"/>
      </w:r>
    </w:p>
    <w:p w14:paraId="46ED174B" w14:textId="77777777" w:rsidR="00DC0BE2" w:rsidRDefault="005D590A" w:rsidP="00C93734">
      <w:pPr>
        <w:pStyle w:val="Caption"/>
        <w:jc w:val="both"/>
        <w:rPr>
          <w:noProof/>
          <w:lang w:eastAsia="en-GB"/>
        </w:rPr>
      </w:pPr>
      <w:r>
        <w:rPr>
          <w:noProof/>
          <w:lang w:eastAsia="en-GB"/>
        </w:rPr>
        <w:t xml:space="preserve">Figure </w:t>
      </w:r>
      <w:fldSimple w:instr=" STYLEREF 1 \s  \* MERGEFORMAT ">
        <w:r w:rsidR="00E95E1A">
          <w:rPr>
            <w:noProof/>
            <w:lang w:eastAsia="en-GB"/>
          </w:rPr>
          <w:t>5</w:t>
        </w:r>
      </w:fldSimple>
      <w:r>
        <w:rPr>
          <w:noProof/>
          <w:lang w:eastAsia="en-GB"/>
        </w:rPr>
        <w:t>-</w:t>
      </w:r>
      <w:fldSimple w:instr=" SEQ Figure \* ARABIC \s 1  \* MERGEFORMAT ">
        <w:r w:rsidR="00E95E1A">
          <w:rPr>
            <w:noProof/>
            <w:lang w:eastAsia="en-GB"/>
          </w:rPr>
          <w:t>2</w:t>
        </w:r>
      </w:fldSimple>
      <w:r>
        <w:rPr>
          <w:noProof/>
          <w:lang w:eastAsia="en-GB"/>
        </w:rPr>
        <w:tab/>
        <w:t>Food Processing Employment Trends (2009 - 2013)</w:t>
      </w:r>
    </w:p>
    <w:p w14:paraId="10A3655A" w14:textId="77777777" w:rsidR="00B849AB" w:rsidRDefault="00BA1CE7" w:rsidP="00C93734">
      <w:pPr>
        <w:pStyle w:val="Caption"/>
        <w:jc w:val="both"/>
      </w:pPr>
      <w:r>
        <w:rPr>
          <w:noProof/>
          <w:lang w:eastAsia="en-GB"/>
        </w:rPr>
        <w:drawing>
          <wp:inline distT="0" distB="0" distL="0" distR="0" wp14:anchorId="58FB396B" wp14:editId="38D69AA2">
            <wp:extent cx="6041508" cy="3455581"/>
            <wp:effectExtent l="0" t="0" r="0" b="0"/>
            <wp:docPr id="3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bookmarkEnd w:id="578"/>
    </w:p>
    <w:p w14:paraId="6773DDA6" w14:textId="77777777" w:rsidR="001B70DF" w:rsidRPr="001B70DF" w:rsidRDefault="001B70DF" w:rsidP="001B70DF">
      <w:pPr>
        <w:pStyle w:val="TableSource"/>
      </w:pPr>
      <w:r>
        <w:t>Source: IDBR 2013</w:t>
      </w:r>
    </w:p>
    <w:p w14:paraId="630B0CBC" w14:textId="77777777" w:rsidR="002F7137" w:rsidRDefault="002F7137" w:rsidP="00C93734">
      <w:pPr>
        <w:pStyle w:val="Heading3"/>
        <w:numPr>
          <w:ilvl w:val="2"/>
          <w:numId w:val="5"/>
        </w:numPr>
        <w:jc w:val="both"/>
      </w:pPr>
      <w:r w:rsidRPr="004A7709">
        <w:t xml:space="preserve">Competition </w:t>
      </w:r>
    </w:p>
    <w:p w14:paraId="39F4638F" w14:textId="77777777" w:rsidR="008C5751" w:rsidRDefault="00E95C5D" w:rsidP="00C93734">
      <w:pPr>
        <w:jc w:val="both"/>
        <w:rPr>
          <w:rFonts w:cs="Arial"/>
        </w:rPr>
      </w:pPr>
      <w:r>
        <w:rPr>
          <w:rFonts w:cs="Arial"/>
        </w:rPr>
        <w:t>Key competitor locations in the UK</w:t>
      </w:r>
      <w:r w:rsidR="008C5751">
        <w:rPr>
          <w:rFonts w:cs="Arial"/>
        </w:rPr>
        <w:t xml:space="preserve"> for food processing </w:t>
      </w:r>
      <w:r>
        <w:rPr>
          <w:rFonts w:cs="Arial"/>
        </w:rPr>
        <w:t>include parts of</w:t>
      </w:r>
      <w:r w:rsidR="008C5751">
        <w:rPr>
          <w:rFonts w:cs="Arial"/>
        </w:rPr>
        <w:t xml:space="preserve"> Wales, the Midlands and</w:t>
      </w:r>
      <w:r>
        <w:rPr>
          <w:rFonts w:cs="Arial"/>
        </w:rPr>
        <w:t xml:space="preserve"> </w:t>
      </w:r>
      <w:r w:rsidR="004D6F42">
        <w:rPr>
          <w:rFonts w:cs="Arial"/>
        </w:rPr>
        <w:t xml:space="preserve">particularly </w:t>
      </w:r>
      <w:r>
        <w:rPr>
          <w:rFonts w:cs="Arial"/>
        </w:rPr>
        <w:t xml:space="preserve">the </w:t>
      </w:r>
      <w:r w:rsidR="0052787C">
        <w:rPr>
          <w:rFonts w:cs="Arial"/>
        </w:rPr>
        <w:t>north east</w:t>
      </w:r>
      <w:r w:rsidR="004D6F42">
        <w:rPr>
          <w:rFonts w:cs="Arial"/>
        </w:rPr>
        <w:t xml:space="preserve"> </w:t>
      </w:r>
      <w:r>
        <w:rPr>
          <w:rFonts w:cs="Arial"/>
        </w:rPr>
        <w:t>of Scotland</w:t>
      </w:r>
      <w:r w:rsidR="004D6F42">
        <w:rPr>
          <w:rFonts w:cs="Arial"/>
        </w:rPr>
        <w:t>,</w:t>
      </w:r>
      <w:r>
        <w:rPr>
          <w:rFonts w:cs="Arial"/>
        </w:rPr>
        <w:t xml:space="preserve"> </w:t>
      </w:r>
      <w:r w:rsidR="004D6F42">
        <w:rPr>
          <w:rFonts w:cs="Arial"/>
        </w:rPr>
        <w:t xml:space="preserve">which has benefited from </w:t>
      </w:r>
      <w:r>
        <w:rPr>
          <w:rFonts w:cs="Arial"/>
        </w:rPr>
        <w:t xml:space="preserve">the </w:t>
      </w:r>
      <w:r w:rsidR="008C5751">
        <w:rPr>
          <w:rFonts w:cs="Arial"/>
        </w:rPr>
        <w:t>expansion of aquaculture, proximity to market for some species</w:t>
      </w:r>
      <w:r>
        <w:rPr>
          <w:rFonts w:cs="Arial"/>
        </w:rPr>
        <w:t xml:space="preserve"> and strong political support.</w:t>
      </w:r>
      <w:r w:rsidR="008C5751">
        <w:rPr>
          <w:rFonts w:cs="Arial"/>
        </w:rPr>
        <w:t xml:space="preserve"> </w:t>
      </w:r>
      <w:r w:rsidR="004D6F42">
        <w:rPr>
          <w:rFonts w:cs="Arial"/>
        </w:rPr>
        <w:t xml:space="preserve">There is also competition from locations outside the UK, such as Boulogne in France. </w:t>
      </w:r>
    </w:p>
    <w:p w14:paraId="6F9C47ED" w14:textId="77777777" w:rsidR="008C5751" w:rsidRDefault="000D0E9D" w:rsidP="00C93734">
      <w:pPr>
        <w:jc w:val="both"/>
        <w:rPr>
          <w:rFonts w:cs="Arial"/>
        </w:rPr>
      </w:pPr>
      <w:r w:rsidRPr="000D0E9D">
        <w:rPr>
          <w:rFonts w:cs="Arial"/>
        </w:rPr>
        <w:t xml:space="preserve">Fish is considered to be an expensive protein (in comparison with other </w:t>
      </w:r>
      <w:r w:rsidR="008C5751">
        <w:rPr>
          <w:rFonts w:cs="Arial"/>
        </w:rPr>
        <w:t>animal proteins</w:t>
      </w:r>
      <w:r w:rsidRPr="000D0E9D">
        <w:rPr>
          <w:rFonts w:cs="Arial"/>
        </w:rPr>
        <w:t>)</w:t>
      </w:r>
      <w:r w:rsidR="004D6F42">
        <w:rPr>
          <w:rFonts w:cs="Arial"/>
        </w:rPr>
        <w:t xml:space="preserve"> and therefore demand, both in terms of quantity and for particular species, varies with macroeconomic conditions.</w:t>
      </w:r>
      <w:r w:rsidRPr="000D0E9D">
        <w:rPr>
          <w:rFonts w:cs="Arial"/>
        </w:rPr>
        <w:t xml:space="preserve"> </w:t>
      </w:r>
      <w:r w:rsidR="00E95C5D">
        <w:rPr>
          <w:rFonts w:cs="Arial"/>
        </w:rPr>
        <w:t>Consequently, short-term peaks of increased competition are a feature of the food manufacturing industry</w:t>
      </w:r>
    </w:p>
    <w:p w14:paraId="59804D47" w14:textId="77777777" w:rsidR="000D0E9D" w:rsidRPr="008C5751" w:rsidRDefault="008C5751" w:rsidP="00C93734">
      <w:pPr>
        <w:jc w:val="both"/>
        <w:rPr>
          <w:rFonts w:cs="Arial"/>
        </w:rPr>
      </w:pPr>
      <w:r>
        <w:rPr>
          <w:rFonts w:cs="Arial"/>
        </w:rPr>
        <w:t>As a consequence of low profit margins, competition and a need to reduce costs</w:t>
      </w:r>
      <w:r w:rsidR="00E95C5D">
        <w:rPr>
          <w:rFonts w:cs="Arial"/>
        </w:rPr>
        <w:t>,</w:t>
      </w:r>
      <w:r>
        <w:rPr>
          <w:rFonts w:cs="Arial"/>
        </w:rPr>
        <w:t xml:space="preserve"> </w:t>
      </w:r>
      <w:r w:rsidR="00E95C5D">
        <w:rPr>
          <w:rFonts w:cs="Arial"/>
        </w:rPr>
        <w:t>some</w:t>
      </w:r>
      <w:r>
        <w:rPr>
          <w:rFonts w:cs="Arial"/>
        </w:rPr>
        <w:t xml:space="preserve"> businesses </w:t>
      </w:r>
      <w:r w:rsidR="00654EA6">
        <w:rPr>
          <w:rFonts w:cs="Arial"/>
        </w:rPr>
        <w:t xml:space="preserve">have relocated to other countries. </w:t>
      </w:r>
      <w:r w:rsidR="00161E40">
        <w:rPr>
          <w:rFonts w:cs="Arial"/>
        </w:rPr>
        <w:t>However, many remain optimistic</w:t>
      </w:r>
      <w:r w:rsidR="00654EA6">
        <w:rPr>
          <w:rFonts w:cs="Arial"/>
        </w:rPr>
        <w:t xml:space="preserve"> about Grimsby’s future</w:t>
      </w:r>
      <w:r w:rsidR="00161E40">
        <w:rPr>
          <w:rFonts w:cs="Arial"/>
        </w:rPr>
        <w:t xml:space="preserve"> because of the high standards </w:t>
      </w:r>
      <w:r w:rsidR="00654EA6">
        <w:rPr>
          <w:rFonts w:cs="Arial"/>
        </w:rPr>
        <w:t xml:space="preserve">that must be </w:t>
      </w:r>
      <w:r w:rsidR="00495332">
        <w:rPr>
          <w:rFonts w:cs="Arial"/>
        </w:rPr>
        <w:t xml:space="preserve">met </w:t>
      </w:r>
      <w:r w:rsidR="00654EA6">
        <w:rPr>
          <w:rFonts w:cs="Arial"/>
        </w:rPr>
        <w:t>in serving the</w:t>
      </w:r>
      <w:r w:rsidR="00161E40">
        <w:rPr>
          <w:rFonts w:cs="Arial"/>
        </w:rPr>
        <w:t xml:space="preserve"> UK</w:t>
      </w:r>
      <w:r w:rsidR="00654EA6">
        <w:rPr>
          <w:rFonts w:cs="Arial"/>
        </w:rPr>
        <w:t xml:space="preserve"> </w:t>
      </w:r>
      <w:r w:rsidR="00495332">
        <w:rPr>
          <w:rFonts w:cs="Arial"/>
        </w:rPr>
        <w:t xml:space="preserve">food </w:t>
      </w:r>
      <w:r w:rsidR="00654EA6">
        <w:rPr>
          <w:rFonts w:cs="Arial"/>
        </w:rPr>
        <w:t>market</w:t>
      </w:r>
      <w:r w:rsidR="00161E40">
        <w:rPr>
          <w:rFonts w:cs="Arial"/>
        </w:rPr>
        <w:t xml:space="preserve">. </w:t>
      </w:r>
    </w:p>
    <w:p w14:paraId="2A217223" w14:textId="77777777" w:rsidR="002F7137" w:rsidRDefault="002F7137" w:rsidP="00C93734">
      <w:pPr>
        <w:pStyle w:val="Heading3"/>
        <w:numPr>
          <w:ilvl w:val="2"/>
          <w:numId w:val="5"/>
        </w:numPr>
        <w:jc w:val="both"/>
      </w:pPr>
      <w:r>
        <w:t>Prospects for sector</w:t>
      </w:r>
    </w:p>
    <w:p w14:paraId="60247E48" w14:textId="77777777" w:rsidR="008C5751" w:rsidRDefault="000D0E9D" w:rsidP="00C93734">
      <w:pPr>
        <w:jc w:val="both"/>
        <w:rPr>
          <w:rFonts w:cs="Arial"/>
        </w:rPr>
      </w:pPr>
      <w:r>
        <w:rPr>
          <w:rFonts w:cs="Arial"/>
        </w:rPr>
        <w:t xml:space="preserve">Grimsby </w:t>
      </w:r>
      <w:r w:rsidR="00063E9F">
        <w:rPr>
          <w:rFonts w:cs="Arial"/>
        </w:rPr>
        <w:t>remains</w:t>
      </w:r>
      <w:r>
        <w:rPr>
          <w:rFonts w:cs="Arial"/>
        </w:rPr>
        <w:t xml:space="preserve"> </w:t>
      </w:r>
      <w:r w:rsidR="00495332">
        <w:rPr>
          <w:rFonts w:cs="Arial"/>
        </w:rPr>
        <w:t>a principal location</w:t>
      </w:r>
      <w:r>
        <w:rPr>
          <w:rFonts w:cs="Arial"/>
        </w:rPr>
        <w:t xml:space="preserve"> for fish processing in </w:t>
      </w:r>
      <w:r w:rsidR="00161E40">
        <w:rPr>
          <w:rFonts w:cs="Arial"/>
        </w:rPr>
        <w:t>Europe</w:t>
      </w:r>
      <w:r w:rsidR="00495332">
        <w:rPr>
          <w:rFonts w:cs="Arial"/>
        </w:rPr>
        <w:t>,</w:t>
      </w:r>
      <w:r w:rsidR="00161E40">
        <w:rPr>
          <w:rFonts w:cs="Arial"/>
        </w:rPr>
        <w:t xml:space="preserve"> and </w:t>
      </w:r>
      <w:r w:rsidR="00495332">
        <w:rPr>
          <w:rFonts w:cs="Arial"/>
        </w:rPr>
        <w:t>local firms</w:t>
      </w:r>
      <w:r w:rsidR="00161E40">
        <w:rPr>
          <w:rFonts w:cs="Arial"/>
        </w:rPr>
        <w:t xml:space="preserve"> continue to innovate and </w:t>
      </w:r>
      <w:r w:rsidR="008C5751" w:rsidRPr="00EC0389">
        <w:rPr>
          <w:rFonts w:cs="Arial"/>
        </w:rPr>
        <w:t>keep ahead of the market</w:t>
      </w:r>
      <w:r w:rsidR="00161E40">
        <w:rPr>
          <w:rFonts w:cs="Arial"/>
        </w:rPr>
        <w:t xml:space="preserve">. </w:t>
      </w:r>
    </w:p>
    <w:p w14:paraId="730D7AA0" w14:textId="77777777" w:rsidR="000D0E9D" w:rsidRDefault="00306CF8" w:rsidP="00C93734">
      <w:pPr>
        <w:jc w:val="both"/>
      </w:pPr>
      <w:r>
        <w:rPr>
          <w:rFonts w:cs="Arial"/>
        </w:rPr>
        <w:t xml:space="preserve">The food processing cluster in </w:t>
      </w:r>
      <w:r w:rsidR="000D0E9D">
        <w:rPr>
          <w:rFonts w:cs="Arial"/>
        </w:rPr>
        <w:t xml:space="preserve">Grimsby </w:t>
      </w:r>
      <w:r w:rsidR="00063E9F">
        <w:rPr>
          <w:rFonts w:cs="Arial"/>
        </w:rPr>
        <w:t>supports the sharing of</w:t>
      </w:r>
      <w:r w:rsidR="000D0E9D">
        <w:rPr>
          <w:rFonts w:cs="Arial"/>
        </w:rPr>
        <w:t xml:space="preserve"> </w:t>
      </w:r>
      <w:r w:rsidR="00063E9F">
        <w:rPr>
          <w:rFonts w:cs="Arial"/>
        </w:rPr>
        <w:t xml:space="preserve">knowledge and technologies.  This </w:t>
      </w:r>
      <w:r w:rsidR="00495332">
        <w:rPr>
          <w:rFonts w:cs="Arial"/>
        </w:rPr>
        <w:t>makes an important contribution to improving competitiveness,</w:t>
      </w:r>
      <w:r w:rsidR="00063E9F">
        <w:rPr>
          <w:rFonts w:cs="Arial"/>
        </w:rPr>
        <w:t xml:space="preserve"> nurturing</w:t>
      </w:r>
      <w:r w:rsidR="000D0E9D">
        <w:rPr>
          <w:rFonts w:cs="Arial"/>
        </w:rPr>
        <w:t xml:space="preserve"> new firm formation (through facilities like Seafood Village), </w:t>
      </w:r>
      <w:r w:rsidR="00495332">
        <w:rPr>
          <w:rFonts w:cs="Arial"/>
        </w:rPr>
        <w:t>the ability to influence policy</w:t>
      </w:r>
      <w:r w:rsidR="000D0E9D">
        <w:rPr>
          <w:rFonts w:cs="Arial"/>
        </w:rPr>
        <w:t xml:space="preserve"> (e.g. </w:t>
      </w:r>
      <w:r w:rsidR="000D0E9D" w:rsidRPr="00ED1ED8">
        <w:t>Grimsby Fish Merchants Association) and</w:t>
      </w:r>
      <w:r w:rsidR="00063E9F">
        <w:t xml:space="preserve"> stimulating</w:t>
      </w:r>
      <w:r w:rsidR="000D0E9D" w:rsidRPr="00ED1ED8">
        <w:t xml:space="preserve"> innovation (</w:t>
      </w:r>
      <w:r w:rsidR="000D0E9D">
        <w:t xml:space="preserve">e.g. </w:t>
      </w:r>
      <w:r w:rsidR="000D0E9D" w:rsidRPr="00ED1ED8">
        <w:t>firms supplying new markets</w:t>
      </w:r>
      <w:r w:rsidR="000D0E9D">
        <w:t xml:space="preserve"> or innovative business models</w:t>
      </w:r>
      <w:r w:rsidR="000D0E9D" w:rsidRPr="00ED1ED8">
        <w:t>).</w:t>
      </w:r>
    </w:p>
    <w:p w14:paraId="67265099" w14:textId="77777777" w:rsidR="007B55F6" w:rsidRDefault="007B55F6" w:rsidP="00C93734">
      <w:pPr>
        <w:jc w:val="both"/>
        <w:rPr>
          <w:rFonts w:cs="Arial"/>
        </w:rPr>
      </w:pPr>
      <w:r>
        <w:rPr>
          <w:rFonts w:cs="Arial"/>
        </w:rPr>
        <w:t xml:space="preserve">Developments in the global food market mean that </w:t>
      </w:r>
      <w:r w:rsidR="00495332">
        <w:rPr>
          <w:rFonts w:cs="Arial"/>
        </w:rPr>
        <w:t>international consumption patterns are changing</w:t>
      </w:r>
      <w:r>
        <w:rPr>
          <w:rFonts w:cs="Arial"/>
        </w:rPr>
        <w:t xml:space="preserve">. Companies stated that </w:t>
      </w:r>
      <w:r w:rsidR="00142DA6">
        <w:rPr>
          <w:rFonts w:cs="Arial"/>
        </w:rPr>
        <w:t xml:space="preserve">emerging </w:t>
      </w:r>
      <w:r>
        <w:rPr>
          <w:rFonts w:cs="Arial"/>
        </w:rPr>
        <w:t xml:space="preserve">BRIC economies will drive future fish demand. This could </w:t>
      </w:r>
      <w:r w:rsidR="00495332">
        <w:rPr>
          <w:rFonts w:cs="Arial"/>
        </w:rPr>
        <w:t xml:space="preserve">result in </w:t>
      </w:r>
      <w:r>
        <w:rPr>
          <w:rFonts w:cs="Arial"/>
        </w:rPr>
        <w:t xml:space="preserve">a number of </w:t>
      </w:r>
      <w:r w:rsidR="00495332">
        <w:rPr>
          <w:rFonts w:cs="Arial"/>
        </w:rPr>
        <w:t xml:space="preserve">possible </w:t>
      </w:r>
      <w:r>
        <w:rPr>
          <w:rFonts w:cs="Arial"/>
        </w:rPr>
        <w:t>impacts</w:t>
      </w:r>
      <w:r w:rsidR="00495332">
        <w:rPr>
          <w:rFonts w:cs="Arial"/>
        </w:rPr>
        <w:t>,</w:t>
      </w:r>
      <w:r>
        <w:rPr>
          <w:rFonts w:cs="Arial"/>
        </w:rPr>
        <w:t xml:space="preserve"> including operations </w:t>
      </w:r>
      <w:r w:rsidR="00495332">
        <w:rPr>
          <w:rFonts w:cs="Arial"/>
        </w:rPr>
        <w:t xml:space="preserve">relocating </w:t>
      </w:r>
      <w:r>
        <w:rPr>
          <w:rFonts w:cs="Arial"/>
        </w:rPr>
        <w:t xml:space="preserve">to these countries and </w:t>
      </w:r>
      <w:r w:rsidR="00495332">
        <w:rPr>
          <w:rFonts w:cs="Arial"/>
        </w:rPr>
        <w:t xml:space="preserve">the restriction of domestic </w:t>
      </w:r>
      <w:r w:rsidR="00063E9F">
        <w:rPr>
          <w:rFonts w:cs="Arial"/>
        </w:rPr>
        <w:t>sup</w:t>
      </w:r>
      <w:r w:rsidR="00495332">
        <w:rPr>
          <w:rFonts w:cs="Arial"/>
        </w:rPr>
        <w:t>ply</w:t>
      </w:r>
      <w:r w:rsidR="00063E9F">
        <w:rPr>
          <w:rFonts w:cs="Arial"/>
        </w:rPr>
        <w:t xml:space="preserve">. </w:t>
      </w:r>
    </w:p>
    <w:p w14:paraId="43EEDCD1" w14:textId="77777777" w:rsidR="00306CF8" w:rsidRDefault="00306CF8" w:rsidP="00C93734">
      <w:pPr>
        <w:jc w:val="both"/>
        <w:rPr>
          <w:rFonts w:cs="Arial"/>
        </w:rPr>
      </w:pPr>
      <w:r>
        <w:rPr>
          <w:rFonts w:cs="Arial"/>
        </w:rPr>
        <w:t xml:space="preserve">Despite </w:t>
      </w:r>
      <w:r w:rsidR="00495332">
        <w:rPr>
          <w:rFonts w:cs="Arial"/>
        </w:rPr>
        <w:t xml:space="preserve">the </w:t>
      </w:r>
      <w:r w:rsidR="00070D3D">
        <w:rPr>
          <w:rFonts w:cs="Arial"/>
        </w:rPr>
        <w:t xml:space="preserve">perception that there is </w:t>
      </w:r>
      <w:r>
        <w:rPr>
          <w:rFonts w:cs="Arial"/>
        </w:rPr>
        <w:t xml:space="preserve">little UK </w:t>
      </w:r>
      <w:r w:rsidR="00495332">
        <w:rPr>
          <w:rFonts w:cs="Arial"/>
        </w:rPr>
        <w:t xml:space="preserve">government </w:t>
      </w:r>
      <w:r>
        <w:rPr>
          <w:rFonts w:cs="Arial"/>
        </w:rPr>
        <w:t xml:space="preserve">support for the industry, it is </w:t>
      </w:r>
      <w:r w:rsidR="00142DA6">
        <w:rPr>
          <w:rFonts w:cs="Arial"/>
        </w:rPr>
        <w:t xml:space="preserve">believed </w:t>
      </w:r>
      <w:r>
        <w:rPr>
          <w:rFonts w:cs="Arial"/>
        </w:rPr>
        <w:t xml:space="preserve">that strong linkages with </w:t>
      </w:r>
      <w:r w:rsidR="00495332">
        <w:rPr>
          <w:rFonts w:cs="Arial"/>
        </w:rPr>
        <w:t>the a</w:t>
      </w:r>
      <w:r w:rsidR="00495332" w:rsidRPr="00182B87">
        <w:rPr>
          <w:rFonts w:cs="Arial"/>
        </w:rPr>
        <w:t xml:space="preserve">gricultural </w:t>
      </w:r>
      <w:r w:rsidR="00495332">
        <w:rPr>
          <w:rFonts w:cs="Arial"/>
        </w:rPr>
        <w:t>t</w:t>
      </w:r>
      <w:r w:rsidR="00495332" w:rsidRPr="00182B87">
        <w:rPr>
          <w:rFonts w:cs="Arial"/>
        </w:rPr>
        <w:t>echnologies</w:t>
      </w:r>
      <w:r w:rsidR="00495332">
        <w:rPr>
          <w:rFonts w:cs="Arial"/>
        </w:rPr>
        <w:t xml:space="preserve"> </w:t>
      </w:r>
      <w:r>
        <w:rPr>
          <w:rFonts w:cs="Arial"/>
        </w:rPr>
        <w:t xml:space="preserve">sector </w:t>
      </w:r>
      <w:r w:rsidR="00142DA6">
        <w:rPr>
          <w:rFonts w:cs="Arial"/>
        </w:rPr>
        <w:t>in Lincolnshire</w:t>
      </w:r>
      <w:r w:rsidR="00070D3D">
        <w:rPr>
          <w:rFonts w:cs="Arial"/>
        </w:rPr>
        <w:t xml:space="preserve"> </w:t>
      </w:r>
      <w:r>
        <w:rPr>
          <w:rFonts w:cs="Arial"/>
        </w:rPr>
        <w:t xml:space="preserve">will be able to support </w:t>
      </w:r>
      <w:r w:rsidR="00070D3D">
        <w:rPr>
          <w:rFonts w:cs="Arial"/>
        </w:rPr>
        <w:t xml:space="preserve">the sector’s ambitions for </w:t>
      </w:r>
      <w:r>
        <w:rPr>
          <w:rFonts w:cs="Arial"/>
        </w:rPr>
        <w:t xml:space="preserve">growth. The </w:t>
      </w:r>
      <w:r w:rsidR="00142DA6">
        <w:rPr>
          <w:rFonts w:cs="Arial"/>
        </w:rPr>
        <w:t xml:space="preserve">government’s </w:t>
      </w:r>
      <w:r>
        <w:rPr>
          <w:rFonts w:cs="Arial"/>
        </w:rPr>
        <w:t>aim is for</w:t>
      </w:r>
      <w:r>
        <w:rPr>
          <w:rStyle w:val="FootnoteReference"/>
          <w:rFonts w:cs="Arial"/>
        </w:rPr>
        <w:footnoteReference w:id="16"/>
      </w:r>
      <w:r>
        <w:rPr>
          <w:rFonts w:cs="Arial"/>
        </w:rPr>
        <w:t>:</w:t>
      </w:r>
    </w:p>
    <w:p w14:paraId="3D9A1298" w14:textId="77777777" w:rsidR="00306CF8" w:rsidRDefault="00306CF8" w:rsidP="00C93734">
      <w:pPr>
        <w:jc w:val="both"/>
        <w:rPr>
          <w:rFonts w:cs="Arial"/>
          <w:i/>
        </w:rPr>
      </w:pPr>
      <w:r w:rsidRPr="00182B87">
        <w:rPr>
          <w:rFonts w:cs="Arial"/>
          <w:i/>
        </w:rPr>
        <w:t xml:space="preserve">“the UK </w:t>
      </w:r>
      <w:r>
        <w:rPr>
          <w:rFonts w:cs="Arial"/>
          <w:i/>
        </w:rPr>
        <w:t>to become</w:t>
      </w:r>
      <w:r w:rsidRPr="00182B87">
        <w:rPr>
          <w:rFonts w:cs="Arial"/>
          <w:i/>
        </w:rPr>
        <w:t xml:space="preserve"> a world leader in agricultural technology, innovation and sustainability; exploits opportunities to develop and adopt new and existing technologies, products and services to increase productivity; and thereby contributes to global food security and international development.”</w:t>
      </w:r>
    </w:p>
    <w:p w14:paraId="5AC834CC" w14:textId="77777777" w:rsidR="001D7B94" w:rsidRDefault="00306CF8" w:rsidP="00C93734">
      <w:pPr>
        <w:jc w:val="both"/>
        <w:rPr>
          <w:rFonts w:cs="Arial"/>
        </w:rPr>
      </w:pPr>
      <w:r>
        <w:rPr>
          <w:rFonts w:cs="Arial"/>
        </w:rPr>
        <w:t xml:space="preserve">This may provide a key role for firms in the </w:t>
      </w:r>
      <w:r w:rsidR="00070D3D">
        <w:rPr>
          <w:rFonts w:cs="Arial"/>
        </w:rPr>
        <w:t>f</w:t>
      </w:r>
      <w:r>
        <w:rPr>
          <w:rFonts w:cs="Arial"/>
        </w:rPr>
        <w:t xml:space="preserve">ood processing sector across </w:t>
      </w:r>
      <w:r w:rsidR="00577236">
        <w:rPr>
          <w:rFonts w:cs="Arial"/>
        </w:rPr>
        <w:t>NEL</w:t>
      </w:r>
      <w:r>
        <w:rPr>
          <w:rFonts w:cs="Arial"/>
        </w:rPr>
        <w:t xml:space="preserve"> to contribute to </w:t>
      </w:r>
      <w:r w:rsidRPr="00182B87">
        <w:rPr>
          <w:rFonts w:cs="Arial"/>
        </w:rPr>
        <w:t>“sustainable intensification”</w:t>
      </w:r>
      <w:r>
        <w:rPr>
          <w:rFonts w:cs="Arial"/>
        </w:rPr>
        <w:t>;</w:t>
      </w:r>
      <w:r w:rsidRPr="00182B87">
        <w:rPr>
          <w:rFonts w:cs="Arial"/>
        </w:rPr>
        <w:t xml:space="preserve"> producing more </w:t>
      </w:r>
      <w:r w:rsidR="00495332">
        <w:rPr>
          <w:rFonts w:cs="Arial"/>
        </w:rPr>
        <w:t xml:space="preserve">output </w:t>
      </w:r>
      <w:r w:rsidRPr="00182B87">
        <w:rPr>
          <w:rFonts w:cs="Arial"/>
        </w:rPr>
        <w:t xml:space="preserve">with </w:t>
      </w:r>
      <w:r w:rsidR="00495332">
        <w:rPr>
          <w:rFonts w:cs="Arial"/>
        </w:rPr>
        <w:t>reduced</w:t>
      </w:r>
      <w:r w:rsidR="00495332" w:rsidRPr="00182B87">
        <w:rPr>
          <w:rFonts w:cs="Arial"/>
        </w:rPr>
        <w:t xml:space="preserve"> </w:t>
      </w:r>
      <w:r w:rsidRPr="00182B87">
        <w:rPr>
          <w:rFonts w:cs="Arial"/>
        </w:rPr>
        <w:t>input</w:t>
      </w:r>
      <w:r w:rsidR="00495332">
        <w:rPr>
          <w:rFonts w:cs="Arial"/>
        </w:rPr>
        <w:t>s</w:t>
      </w:r>
      <w:r w:rsidRPr="00182B87">
        <w:rPr>
          <w:rFonts w:cs="Arial"/>
        </w:rPr>
        <w:t xml:space="preserve"> and</w:t>
      </w:r>
      <w:r w:rsidR="00495332">
        <w:rPr>
          <w:rFonts w:cs="Arial"/>
        </w:rPr>
        <w:t xml:space="preserve"> environmental</w:t>
      </w:r>
      <w:r w:rsidRPr="00182B87">
        <w:rPr>
          <w:rFonts w:cs="Arial"/>
        </w:rPr>
        <w:t xml:space="preserve"> impact</w:t>
      </w:r>
      <w:r>
        <w:rPr>
          <w:rFonts w:cs="Arial"/>
        </w:rPr>
        <w:t xml:space="preserve">. </w:t>
      </w:r>
    </w:p>
    <w:p w14:paraId="4D9E5F4F" w14:textId="77777777" w:rsidR="001D7B94" w:rsidRDefault="001D7B94" w:rsidP="00C93734">
      <w:pPr>
        <w:jc w:val="both"/>
        <w:rPr>
          <w:rFonts w:cs="Arial"/>
        </w:rPr>
      </w:pPr>
      <w:r>
        <w:rPr>
          <w:rFonts w:cs="Arial"/>
        </w:rPr>
        <w:t xml:space="preserve">Innovation will be central to the heart of many industries, not least the </w:t>
      </w:r>
      <w:r w:rsidR="00306CF8">
        <w:rPr>
          <w:rFonts w:cs="Arial"/>
        </w:rPr>
        <w:t>fish</w:t>
      </w:r>
      <w:r w:rsidR="00495332">
        <w:rPr>
          <w:rFonts w:cs="Arial"/>
        </w:rPr>
        <w:t>-</w:t>
      </w:r>
      <w:r w:rsidR="00306CF8">
        <w:rPr>
          <w:rFonts w:cs="Arial"/>
        </w:rPr>
        <w:t xml:space="preserve">processing </w:t>
      </w:r>
      <w:r>
        <w:rPr>
          <w:rFonts w:cs="Arial"/>
        </w:rPr>
        <w:t>sector.  Maintaining and investing in on</w:t>
      </w:r>
      <w:r w:rsidR="0052787C">
        <w:rPr>
          <w:rFonts w:cs="Arial"/>
        </w:rPr>
        <w:t>-</w:t>
      </w:r>
      <w:r>
        <w:rPr>
          <w:rFonts w:cs="Arial"/>
        </w:rPr>
        <w:t xml:space="preserve">going innovation, new technology and R&amp;D will be essential to ensure that Grimsby retains its competitive position in the UK market.  </w:t>
      </w:r>
    </w:p>
    <w:p w14:paraId="4FBB3470" w14:textId="77777777" w:rsidR="00306CF8" w:rsidRPr="001D7B94" w:rsidRDefault="00495332" w:rsidP="00C93734">
      <w:pPr>
        <w:jc w:val="both"/>
        <w:rPr>
          <w:rFonts w:cs="Arial"/>
        </w:rPr>
      </w:pPr>
      <w:r>
        <w:rPr>
          <w:rFonts w:cs="Arial"/>
        </w:rPr>
        <w:t>Of equal importance</w:t>
      </w:r>
      <w:r w:rsidR="001D7B94">
        <w:rPr>
          <w:rFonts w:cs="Arial"/>
        </w:rPr>
        <w:t xml:space="preserve"> is the need to maximise the opportunities presented by supplying a </w:t>
      </w:r>
      <w:r>
        <w:rPr>
          <w:rFonts w:cs="Arial"/>
        </w:rPr>
        <w:t>well-</w:t>
      </w:r>
      <w:r w:rsidR="001D7B94">
        <w:rPr>
          <w:rFonts w:cs="Arial"/>
        </w:rPr>
        <w:t>educated and skilled workforce to sustain Grimsby’s pre-eminence in the sector. The Grimsby Institute plays a major role in this regard and continually improving linkages with private training providers and specialist units such as</w:t>
      </w:r>
      <w:r w:rsidR="009F658C">
        <w:rPr>
          <w:rFonts w:cs="Arial"/>
        </w:rPr>
        <w:t xml:space="preserve"> </w:t>
      </w:r>
      <w:r w:rsidR="009F658C" w:rsidRPr="001D7B94">
        <w:rPr>
          <w:rFonts w:cs="Arial"/>
        </w:rPr>
        <w:t xml:space="preserve">the University of </w:t>
      </w:r>
      <w:r w:rsidR="009F658C">
        <w:rPr>
          <w:rFonts w:cs="Arial"/>
        </w:rPr>
        <w:t>Lincoln’s</w:t>
      </w:r>
      <w:r w:rsidR="001D7B94">
        <w:rPr>
          <w:rFonts w:cs="Arial"/>
        </w:rPr>
        <w:t xml:space="preserve"> </w:t>
      </w:r>
      <w:r w:rsidR="00306CF8" w:rsidRPr="001D7B94">
        <w:rPr>
          <w:rFonts w:cs="Arial"/>
        </w:rPr>
        <w:t xml:space="preserve">National Centre for Food Manufacturing </w:t>
      </w:r>
      <w:r w:rsidR="001D7B94">
        <w:rPr>
          <w:rFonts w:cs="Arial"/>
        </w:rPr>
        <w:t>will be important.</w:t>
      </w:r>
    </w:p>
    <w:p w14:paraId="5BD78540" w14:textId="77777777" w:rsidR="002F7137" w:rsidRDefault="002F7137" w:rsidP="00C93734">
      <w:pPr>
        <w:pStyle w:val="Heading3"/>
        <w:numPr>
          <w:ilvl w:val="2"/>
          <w:numId w:val="5"/>
        </w:numPr>
        <w:jc w:val="both"/>
      </w:pPr>
      <w:r>
        <w:t xml:space="preserve">Challenges </w:t>
      </w:r>
    </w:p>
    <w:p w14:paraId="761FDCE9" w14:textId="77777777" w:rsidR="007B55F6" w:rsidRDefault="009F658C" w:rsidP="00C93734">
      <w:pPr>
        <w:jc w:val="both"/>
        <w:rPr>
          <w:rFonts w:cs="Arial"/>
        </w:rPr>
      </w:pPr>
      <w:r>
        <w:rPr>
          <w:rFonts w:cs="Arial"/>
        </w:rPr>
        <w:t>The k</w:t>
      </w:r>
      <w:r w:rsidR="008A175F">
        <w:rPr>
          <w:rFonts w:cs="Arial"/>
        </w:rPr>
        <w:t xml:space="preserve">ey challenges to the sector are </w:t>
      </w:r>
      <w:r>
        <w:rPr>
          <w:rFonts w:cs="Arial"/>
        </w:rPr>
        <w:t xml:space="preserve">discussed </w:t>
      </w:r>
      <w:r w:rsidR="008A175F">
        <w:rPr>
          <w:rFonts w:cs="Arial"/>
        </w:rPr>
        <w:t>below.</w:t>
      </w:r>
    </w:p>
    <w:p w14:paraId="3F6ACFBB" w14:textId="77777777" w:rsidR="00070D3D" w:rsidRDefault="008A175F" w:rsidP="00C93734">
      <w:pPr>
        <w:jc w:val="both"/>
        <w:rPr>
          <w:rFonts w:cs="Arial"/>
        </w:rPr>
      </w:pPr>
      <w:r>
        <w:rPr>
          <w:rFonts w:cs="Arial"/>
        </w:rPr>
        <w:t>P</w:t>
      </w:r>
      <w:r w:rsidR="00070D3D">
        <w:rPr>
          <w:rFonts w:cs="Arial"/>
        </w:rPr>
        <w:t xml:space="preserve">rotectionist policy in Norway and Iceland can lead to supply constraints or increased </w:t>
      </w:r>
      <w:r w:rsidR="00142DA6">
        <w:rPr>
          <w:rFonts w:cs="Arial"/>
        </w:rPr>
        <w:t>costs</w:t>
      </w:r>
      <w:r w:rsidR="00070D3D">
        <w:rPr>
          <w:rFonts w:cs="Arial"/>
        </w:rPr>
        <w:t>. Strong leadership from the sector and lobbying by local businesses and political leaders has resolved these disputes previously and also contributed to improvements in relationships between countries.</w:t>
      </w:r>
    </w:p>
    <w:p w14:paraId="7FB000C9" w14:textId="77777777" w:rsidR="00161E40" w:rsidRPr="007F0D66" w:rsidRDefault="00161E40" w:rsidP="00C93734">
      <w:pPr>
        <w:jc w:val="both"/>
        <w:rPr>
          <w:rFonts w:cs="Arial"/>
        </w:rPr>
      </w:pPr>
      <w:r w:rsidRPr="00EE7B23">
        <w:rPr>
          <w:rFonts w:cs="Arial"/>
        </w:rPr>
        <w:t>The</w:t>
      </w:r>
      <w:r w:rsidR="009F658C">
        <w:rPr>
          <w:rFonts w:cs="Arial"/>
        </w:rPr>
        <w:t xml:space="preserve"> local</w:t>
      </w:r>
      <w:r w:rsidRPr="00EE7B23">
        <w:rPr>
          <w:rFonts w:cs="Arial"/>
        </w:rPr>
        <w:t xml:space="preserve"> fish industry developed </w:t>
      </w:r>
      <w:r w:rsidR="009F658C">
        <w:rPr>
          <w:rFonts w:cs="Arial"/>
        </w:rPr>
        <w:t>at a time preceding</w:t>
      </w:r>
      <w:r w:rsidRPr="00EE7B23">
        <w:rPr>
          <w:rFonts w:cs="Arial"/>
        </w:rPr>
        <w:t xml:space="preserve"> concern </w:t>
      </w:r>
      <w:r w:rsidR="009F658C">
        <w:rPr>
          <w:rFonts w:cs="Arial"/>
        </w:rPr>
        <w:t>regarding</w:t>
      </w:r>
      <w:r w:rsidR="009F658C" w:rsidRPr="00EE7B23">
        <w:rPr>
          <w:rFonts w:cs="Arial"/>
        </w:rPr>
        <w:t xml:space="preserve"> </w:t>
      </w:r>
      <w:r w:rsidRPr="00EE7B23">
        <w:rPr>
          <w:rFonts w:cs="Arial"/>
        </w:rPr>
        <w:t xml:space="preserve">environmental impacts. </w:t>
      </w:r>
      <w:r w:rsidR="009F658C">
        <w:rPr>
          <w:rFonts w:cs="Arial"/>
        </w:rPr>
        <w:t>In the modern climate</w:t>
      </w:r>
      <w:r w:rsidRPr="00EE7B23">
        <w:rPr>
          <w:rFonts w:cs="Arial"/>
        </w:rPr>
        <w:t xml:space="preserve">, </w:t>
      </w:r>
      <w:r w:rsidR="009F658C">
        <w:rPr>
          <w:rFonts w:cs="Arial"/>
        </w:rPr>
        <w:t>environmental issues are at the forefront of policy decisions</w:t>
      </w:r>
      <w:r w:rsidRPr="00EE7B23">
        <w:rPr>
          <w:rFonts w:cs="Arial"/>
        </w:rPr>
        <w:t xml:space="preserve"> and are increasingly </w:t>
      </w:r>
      <w:r w:rsidR="009F658C">
        <w:rPr>
          <w:rFonts w:cs="Arial"/>
        </w:rPr>
        <w:t>subject to legislation</w:t>
      </w:r>
      <w:r w:rsidRPr="00EE7B23">
        <w:rPr>
          <w:rFonts w:cs="Arial"/>
        </w:rPr>
        <w:t>.</w:t>
      </w:r>
      <w:r>
        <w:rPr>
          <w:rFonts w:cs="Arial"/>
        </w:rPr>
        <w:t xml:space="preserve"> </w:t>
      </w:r>
      <w:r w:rsidRPr="00EE7B23">
        <w:rPr>
          <w:rFonts w:cs="Arial"/>
        </w:rPr>
        <w:t>Government policy now focuses on the protection of resources, promoting sustainable</w:t>
      </w:r>
      <w:r>
        <w:rPr>
          <w:rFonts w:cs="Arial"/>
        </w:rPr>
        <w:t xml:space="preserve"> </w:t>
      </w:r>
      <w:r w:rsidRPr="00EE7B23">
        <w:rPr>
          <w:rFonts w:cs="Arial"/>
        </w:rPr>
        <w:t>utilisation and reducing emissions to the environment. Fishing opportunities are reduced</w:t>
      </w:r>
      <w:r>
        <w:rPr>
          <w:rFonts w:cs="Arial"/>
        </w:rPr>
        <w:t xml:space="preserve"> </w:t>
      </w:r>
      <w:r w:rsidRPr="00EE7B23">
        <w:rPr>
          <w:rFonts w:cs="Arial"/>
        </w:rPr>
        <w:t xml:space="preserve">and waste generation is increasingly penalised. Concerns about </w:t>
      </w:r>
      <w:r w:rsidR="007B55F6">
        <w:rPr>
          <w:rFonts w:cs="Arial"/>
        </w:rPr>
        <w:t xml:space="preserve">the spread of </w:t>
      </w:r>
      <w:r w:rsidRPr="00EE7B23">
        <w:rPr>
          <w:rFonts w:cs="Arial"/>
        </w:rPr>
        <w:t>diseases</w:t>
      </w:r>
      <w:r>
        <w:rPr>
          <w:rFonts w:cs="Arial"/>
        </w:rPr>
        <w:t xml:space="preserve"> </w:t>
      </w:r>
      <w:r w:rsidRPr="00EE7B23">
        <w:rPr>
          <w:rFonts w:cs="Arial"/>
        </w:rPr>
        <w:t xml:space="preserve">are resulting in the closure of some of the existing </w:t>
      </w:r>
      <w:r w:rsidR="009F658C">
        <w:rPr>
          <w:rFonts w:cs="Arial"/>
        </w:rPr>
        <w:t>methods</w:t>
      </w:r>
      <w:r w:rsidR="009F658C" w:rsidRPr="00EE7B23">
        <w:rPr>
          <w:rFonts w:cs="Arial"/>
        </w:rPr>
        <w:t xml:space="preserve"> </w:t>
      </w:r>
      <w:r w:rsidRPr="00EE7B23">
        <w:rPr>
          <w:rFonts w:cs="Arial"/>
        </w:rPr>
        <w:t>of waste utilisation and adding</w:t>
      </w:r>
      <w:r>
        <w:rPr>
          <w:rFonts w:cs="Arial"/>
        </w:rPr>
        <w:t xml:space="preserve"> </w:t>
      </w:r>
      <w:r w:rsidRPr="00EE7B23">
        <w:rPr>
          <w:rFonts w:cs="Arial"/>
        </w:rPr>
        <w:t>further restriction and costs to waste disposal</w:t>
      </w:r>
      <w:r w:rsidR="009F658C">
        <w:rPr>
          <w:rFonts w:cs="Arial"/>
        </w:rPr>
        <w:t xml:space="preserve">: this has </w:t>
      </w:r>
      <w:r w:rsidRPr="00EE7B23">
        <w:rPr>
          <w:rFonts w:cs="Arial"/>
        </w:rPr>
        <w:t xml:space="preserve">become a significant </w:t>
      </w:r>
      <w:r w:rsidR="009F658C">
        <w:rPr>
          <w:rFonts w:cs="Arial"/>
        </w:rPr>
        <w:t>issue</w:t>
      </w:r>
      <w:r w:rsidR="009F658C" w:rsidRPr="00EE7B23">
        <w:rPr>
          <w:rFonts w:cs="Arial"/>
        </w:rPr>
        <w:t xml:space="preserve"> </w:t>
      </w:r>
      <w:r w:rsidRPr="00EE7B23">
        <w:rPr>
          <w:rFonts w:cs="Arial"/>
        </w:rPr>
        <w:t>for</w:t>
      </w:r>
      <w:r>
        <w:rPr>
          <w:rFonts w:cs="Arial"/>
        </w:rPr>
        <w:t xml:space="preserve"> </w:t>
      </w:r>
      <w:r w:rsidRPr="00EE7B23">
        <w:rPr>
          <w:rFonts w:cs="Arial"/>
        </w:rPr>
        <w:t>many sectors of the fish</w:t>
      </w:r>
      <w:r w:rsidR="009F658C">
        <w:rPr>
          <w:rFonts w:cs="Arial"/>
        </w:rPr>
        <w:t>ing</w:t>
      </w:r>
      <w:r w:rsidRPr="00EE7B23">
        <w:rPr>
          <w:rFonts w:cs="Arial"/>
        </w:rPr>
        <w:t xml:space="preserve"> industry and is unlikely to improve.</w:t>
      </w:r>
      <w:r>
        <w:rPr>
          <w:rFonts w:cs="Arial"/>
        </w:rPr>
        <w:t xml:space="preserve"> </w:t>
      </w:r>
      <w:r w:rsidRPr="00EE7B23">
        <w:rPr>
          <w:rFonts w:cs="Arial"/>
        </w:rPr>
        <w:t xml:space="preserve">Fish processors are facing dramatic increases in costs for discharging </w:t>
      </w:r>
      <w:r w:rsidR="009F658C">
        <w:rPr>
          <w:rFonts w:cs="Arial"/>
        </w:rPr>
        <w:t>the effluent produced in fish-processing, which also represents considerable use of clean water resources</w:t>
      </w:r>
      <w:r w:rsidR="007A212E">
        <w:rPr>
          <w:rFonts w:cs="Arial"/>
        </w:rPr>
        <w:t>.</w:t>
      </w:r>
    </w:p>
    <w:p w14:paraId="1E1B26A4" w14:textId="77777777" w:rsidR="008C5751" w:rsidRDefault="008C5751" w:rsidP="00C93734">
      <w:pPr>
        <w:jc w:val="both"/>
        <w:rPr>
          <w:rFonts w:cs="Arial"/>
        </w:rPr>
      </w:pPr>
      <w:r>
        <w:rPr>
          <w:rFonts w:cs="Arial"/>
        </w:rPr>
        <w:t xml:space="preserve">The sector faces </w:t>
      </w:r>
      <w:r w:rsidR="008A175F">
        <w:rPr>
          <w:rFonts w:cs="Arial"/>
        </w:rPr>
        <w:t>challenge</w:t>
      </w:r>
      <w:r>
        <w:rPr>
          <w:rFonts w:cs="Arial"/>
        </w:rPr>
        <w:t>s</w:t>
      </w:r>
      <w:r w:rsidR="008A175F">
        <w:rPr>
          <w:rFonts w:cs="Arial"/>
        </w:rPr>
        <w:t xml:space="preserve"> </w:t>
      </w:r>
      <w:r>
        <w:rPr>
          <w:rFonts w:cs="Arial"/>
        </w:rPr>
        <w:t>in</w:t>
      </w:r>
      <w:r w:rsidR="008A175F">
        <w:rPr>
          <w:rFonts w:cs="Arial"/>
        </w:rPr>
        <w:t xml:space="preserve"> gain access to</w:t>
      </w:r>
      <w:r>
        <w:rPr>
          <w:rFonts w:cs="Arial"/>
        </w:rPr>
        <w:t xml:space="preserve"> funding for business growth and development. The fish processing industry has been supported </w:t>
      </w:r>
      <w:r w:rsidR="009F658C">
        <w:rPr>
          <w:rFonts w:cs="Arial"/>
        </w:rPr>
        <w:t xml:space="preserve">by the European </w:t>
      </w:r>
      <w:r>
        <w:rPr>
          <w:rFonts w:cs="Arial"/>
        </w:rPr>
        <w:t xml:space="preserve">Fisheries Fund but </w:t>
      </w:r>
      <w:r w:rsidR="009F658C">
        <w:rPr>
          <w:rFonts w:cs="Arial"/>
        </w:rPr>
        <w:t>faces challenges of</w:t>
      </w:r>
      <w:r>
        <w:rPr>
          <w:rFonts w:cs="Arial"/>
        </w:rPr>
        <w:t xml:space="preserve"> competition and profile issues </w:t>
      </w:r>
      <w:r w:rsidR="009F658C">
        <w:rPr>
          <w:rFonts w:cs="Arial"/>
        </w:rPr>
        <w:t xml:space="preserve">in securing access to </w:t>
      </w:r>
      <w:r>
        <w:rPr>
          <w:rFonts w:cs="Arial"/>
        </w:rPr>
        <w:t>other funding streams. The main sources of EU funding are</w:t>
      </w:r>
      <w:r>
        <w:rPr>
          <w:rStyle w:val="FootnoteReference"/>
          <w:rFonts w:cs="Arial"/>
        </w:rPr>
        <w:footnoteReference w:id="17"/>
      </w:r>
      <w:r>
        <w:rPr>
          <w:rFonts w:cs="Arial"/>
        </w:rPr>
        <w:t xml:space="preserve">: </w:t>
      </w:r>
    </w:p>
    <w:p w14:paraId="12A632BB" w14:textId="77777777" w:rsidR="008C5751" w:rsidRPr="00314CB3" w:rsidRDefault="008C5751" w:rsidP="00C93734">
      <w:pPr>
        <w:pStyle w:val="ListParagraph"/>
        <w:numPr>
          <w:ilvl w:val="0"/>
          <w:numId w:val="25"/>
        </w:numPr>
        <w:spacing w:after="0"/>
        <w:jc w:val="both"/>
        <w:outlineLvl w:val="9"/>
        <w:rPr>
          <w:rFonts w:cs="Arial"/>
        </w:rPr>
      </w:pPr>
      <w:r w:rsidRPr="00314CB3">
        <w:rPr>
          <w:rFonts w:cs="Arial"/>
        </w:rPr>
        <w:t xml:space="preserve">European Fisheries Fund - £38 million fund available to help the fishing industry in England to adapt to changing needs. Money is available for fishermen, processing and aquaculture businesses, </w:t>
      </w:r>
      <w:r w:rsidR="009F658C">
        <w:rPr>
          <w:rFonts w:cs="Arial"/>
        </w:rPr>
        <w:t>the</w:t>
      </w:r>
      <w:r w:rsidR="009F658C" w:rsidRPr="00314CB3">
        <w:rPr>
          <w:rFonts w:cs="Arial"/>
        </w:rPr>
        <w:t xml:space="preserve"> </w:t>
      </w:r>
      <w:r w:rsidRPr="00314CB3">
        <w:rPr>
          <w:rFonts w:cs="Arial"/>
        </w:rPr>
        <w:t>marketing</w:t>
      </w:r>
      <w:r w:rsidR="009F658C">
        <w:rPr>
          <w:rFonts w:cs="Arial"/>
        </w:rPr>
        <w:t xml:space="preserve"> of</w:t>
      </w:r>
      <w:r w:rsidRPr="00314CB3">
        <w:rPr>
          <w:rFonts w:cs="Arial"/>
        </w:rPr>
        <w:t xml:space="preserve"> fish products and for projects </w:t>
      </w:r>
      <w:r w:rsidR="009F658C">
        <w:rPr>
          <w:rFonts w:cs="Arial"/>
        </w:rPr>
        <w:t>that</w:t>
      </w:r>
      <w:r w:rsidRPr="00314CB3">
        <w:rPr>
          <w:rFonts w:cs="Arial"/>
        </w:rPr>
        <w:t xml:space="preserve"> benefit fishing industry</w:t>
      </w:r>
      <w:r w:rsidR="009F658C">
        <w:rPr>
          <w:rFonts w:cs="Arial"/>
        </w:rPr>
        <w:t xml:space="preserve"> workers</w:t>
      </w:r>
      <w:r w:rsidRPr="00314CB3">
        <w:rPr>
          <w:rFonts w:cs="Arial"/>
        </w:rPr>
        <w:t xml:space="preserve">, such as harbour improvements. </w:t>
      </w:r>
    </w:p>
    <w:p w14:paraId="0CF4D88C" w14:textId="77777777" w:rsidR="008C5751" w:rsidRPr="00314CB3" w:rsidRDefault="008C5751" w:rsidP="00C93734">
      <w:pPr>
        <w:pStyle w:val="ListParagraph"/>
        <w:numPr>
          <w:ilvl w:val="0"/>
          <w:numId w:val="25"/>
        </w:numPr>
        <w:spacing w:after="0"/>
        <w:jc w:val="both"/>
        <w:outlineLvl w:val="9"/>
        <w:rPr>
          <w:rFonts w:cs="Arial"/>
        </w:rPr>
      </w:pPr>
      <w:r w:rsidRPr="00314CB3">
        <w:rPr>
          <w:rFonts w:cs="Arial"/>
        </w:rPr>
        <w:t xml:space="preserve">EU Aid - This programme allows bodies that enforce the Common Fisheries Policy to apply for co-funding from the EU for expected expenditure related to their enforcement work. </w:t>
      </w:r>
    </w:p>
    <w:p w14:paraId="28243792" w14:textId="77777777" w:rsidR="008D7250" w:rsidRDefault="008C5751">
      <w:pPr>
        <w:pStyle w:val="ListParagraph"/>
        <w:numPr>
          <w:ilvl w:val="0"/>
          <w:numId w:val="0"/>
        </w:numPr>
        <w:spacing w:after="0"/>
        <w:ind w:left="720"/>
        <w:jc w:val="both"/>
        <w:outlineLvl w:val="9"/>
        <w:rPr>
          <w:rFonts w:cs="Arial"/>
        </w:rPr>
      </w:pPr>
      <w:r w:rsidRPr="00314CB3">
        <w:rPr>
          <w:rFonts w:cs="Arial"/>
        </w:rPr>
        <w:t>Fisheries Challenge Fund - This fund assist</w:t>
      </w:r>
      <w:r w:rsidR="0028663D">
        <w:rPr>
          <w:rFonts w:cs="Arial"/>
        </w:rPr>
        <w:t>s</w:t>
      </w:r>
      <w:r w:rsidRPr="00314CB3">
        <w:rPr>
          <w:rFonts w:cs="Arial"/>
        </w:rPr>
        <w:t xml:space="preserve"> fishermen and other interested parties develop ideas to improve fisheries management. </w:t>
      </w:r>
    </w:p>
    <w:p w14:paraId="1074A52C" w14:textId="77777777" w:rsidR="008D7250" w:rsidRDefault="008D7250">
      <w:pPr>
        <w:spacing w:after="0"/>
        <w:jc w:val="both"/>
        <w:rPr>
          <w:rFonts w:cs="Arial"/>
        </w:rPr>
      </w:pPr>
    </w:p>
    <w:p w14:paraId="65F1473F" w14:textId="77777777" w:rsidR="007A212E" w:rsidRDefault="000D0E9D" w:rsidP="00C93734">
      <w:pPr>
        <w:jc w:val="both"/>
        <w:rPr>
          <w:rFonts w:cs="Arial"/>
        </w:rPr>
      </w:pPr>
      <w:r>
        <w:rPr>
          <w:rFonts w:cs="Arial"/>
        </w:rPr>
        <w:t xml:space="preserve">The </w:t>
      </w:r>
      <w:r w:rsidR="00582667">
        <w:rPr>
          <w:rFonts w:cs="Arial"/>
        </w:rPr>
        <w:t>fish</w:t>
      </w:r>
      <w:r>
        <w:rPr>
          <w:rFonts w:cs="Arial"/>
        </w:rPr>
        <w:t xml:space="preserve"> </w:t>
      </w:r>
      <w:r w:rsidR="00234FFA">
        <w:rPr>
          <w:rFonts w:cs="Arial"/>
        </w:rPr>
        <w:t xml:space="preserve">processing </w:t>
      </w:r>
      <w:r>
        <w:rPr>
          <w:rFonts w:cs="Arial"/>
        </w:rPr>
        <w:t xml:space="preserve">industry is seeing increased mechanisation of activities. This </w:t>
      </w:r>
      <w:r w:rsidR="0028663D">
        <w:rPr>
          <w:rFonts w:cs="Arial"/>
        </w:rPr>
        <w:t>mostly results from</w:t>
      </w:r>
      <w:r>
        <w:rPr>
          <w:rFonts w:cs="Arial"/>
        </w:rPr>
        <w:t xml:space="preserve"> reluctance to move operations to developing countries</w:t>
      </w:r>
      <w:r w:rsidR="0028663D">
        <w:rPr>
          <w:rFonts w:cs="Arial"/>
        </w:rPr>
        <w:t>, where operations could</w:t>
      </w:r>
      <w:r>
        <w:rPr>
          <w:rFonts w:cs="Arial"/>
        </w:rPr>
        <w:t xml:space="preserve"> take advantage of</w:t>
      </w:r>
      <w:r w:rsidR="0028663D">
        <w:rPr>
          <w:rFonts w:cs="Arial"/>
        </w:rPr>
        <w:t xml:space="preserve"> a</w:t>
      </w:r>
      <w:r>
        <w:rPr>
          <w:rFonts w:cs="Arial"/>
        </w:rPr>
        <w:t xml:space="preserve"> cheaper labour</w:t>
      </w:r>
      <w:r w:rsidR="0028663D">
        <w:rPr>
          <w:rFonts w:cs="Arial"/>
        </w:rPr>
        <w:t xml:space="preserve"> supply</w:t>
      </w:r>
      <w:r>
        <w:rPr>
          <w:rFonts w:cs="Arial"/>
        </w:rPr>
        <w:t xml:space="preserve">. High profile </w:t>
      </w:r>
      <w:r w:rsidR="0028663D">
        <w:rPr>
          <w:rFonts w:cs="Arial"/>
        </w:rPr>
        <w:t xml:space="preserve">examples </w:t>
      </w:r>
      <w:r>
        <w:rPr>
          <w:rFonts w:cs="Arial"/>
        </w:rPr>
        <w:t xml:space="preserve">include </w:t>
      </w:r>
      <w:r w:rsidR="0028663D">
        <w:rPr>
          <w:rFonts w:cs="Arial"/>
        </w:rPr>
        <w:t xml:space="preserve">the </w:t>
      </w:r>
      <w:r>
        <w:rPr>
          <w:rFonts w:cs="Arial"/>
        </w:rPr>
        <w:t xml:space="preserve">Birds Eye facilities </w:t>
      </w:r>
      <w:r w:rsidR="0028663D">
        <w:rPr>
          <w:rFonts w:cs="Arial"/>
        </w:rPr>
        <w:t xml:space="preserve">relocation </w:t>
      </w:r>
      <w:r>
        <w:rPr>
          <w:rFonts w:cs="Arial"/>
        </w:rPr>
        <w:t>to Bremerhaven to utilise high quality machiner</w:t>
      </w:r>
      <w:r w:rsidR="0028663D">
        <w:rPr>
          <w:rFonts w:cs="Arial"/>
        </w:rPr>
        <w:t>y and therefore reducing labour requirements</w:t>
      </w:r>
      <w:r>
        <w:rPr>
          <w:rFonts w:cs="Arial"/>
        </w:rPr>
        <w:t xml:space="preserve"> This has led to developments in technology which enables efficient </w:t>
      </w:r>
      <w:r w:rsidRPr="001A351B">
        <w:rPr>
          <w:rFonts w:cs="Arial"/>
        </w:rPr>
        <w:t>heading</w:t>
      </w:r>
      <w:r>
        <w:rPr>
          <w:rFonts w:cs="Arial"/>
        </w:rPr>
        <w:t xml:space="preserve">, </w:t>
      </w:r>
      <w:r w:rsidRPr="001A351B">
        <w:rPr>
          <w:rFonts w:cs="Arial"/>
        </w:rPr>
        <w:t>gutting</w:t>
      </w:r>
      <w:r>
        <w:rPr>
          <w:rFonts w:cs="Arial"/>
        </w:rPr>
        <w:t xml:space="preserve">, </w:t>
      </w:r>
      <w:r w:rsidRPr="001A351B">
        <w:rPr>
          <w:rFonts w:cs="Arial"/>
        </w:rPr>
        <w:t>filleting</w:t>
      </w:r>
      <w:r>
        <w:rPr>
          <w:rFonts w:cs="Arial"/>
        </w:rPr>
        <w:t xml:space="preserve">, </w:t>
      </w:r>
      <w:r w:rsidRPr="001A351B">
        <w:rPr>
          <w:rFonts w:cs="Arial"/>
        </w:rPr>
        <w:t>splitting</w:t>
      </w:r>
      <w:r>
        <w:rPr>
          <w:rFonts w:cs="Arial"/>
        </w:rPr>
        <w:t xml:space="preserve">, </w:t>
      </w:r>
      <w:r w:rsidRPr="001A351B">
        <w:rPr>
          <w:rFonts w:cs="Arial"/>
        </w:rPr>
        <w:t>skinning</w:t>
      </w:r>
      <w:r>
        <w:rPr>
          <w:rFonts w:cs="Arial"/>
        </w:rPr>
        <w:t xml:space="preserve">, </w:t>
      </w:r>
      <w:r w:rsidRPr="001A351B">
        <w:rPr>
          <w:rFonts w:cs="Arial"/>
        </w:rPr>
        <w:t>pin</w:t>
      </w:r>
      <w:r>
        <w:rPr>
          <w:rFonts w:cs="Arial"/>
        </w:rPr>
        <w:t>-</w:t>
      </w:r>
      <w:r w:rsidRPr="001A351B">
        <w:rPr>
          <w:rFonts w:cs="Arial"/>
        </w:rPr>
        <w:t>bone pulling</w:t>
      </w:r>
      <w:r>
        <w:rPr>
          <w:rFonts w:cs="Arial"/>
        </w:rPr>
        <w:t xml:space="preserve"> and </w:t>
      </w:r>
      <w:r w:rsidRPr="001A351B">
        <w:rPr>
          <w:rFonts w:cs="Arial"/>
        </w:rPr>
        <w:t>meat</w:t>
      </w:r>
      <w:r>
        <w:rPr>
          <w:rFonts w:cs="Arial"/>
        </w:rPr>
        <w:t xml:space="preserve"> </w:t>
      </w:r>
      <w:r w:rsidRPr="001A351B">
        <w:rPr>
          <w:rFonts w:cs="Arial"/>
        </w:rPr>
        <w:t>recovery</w:t>
      </w:r>
      <w:r>
        <w:rPr>
          <w:rFonts w:cs="Arial"/>
        </w:rPr>
        <w:t xml:space="preserve"> without the need for paid (and skilled) workers. </w:t>
      </w:r>
      <w:r w:rsidR="0028663D">
        <w:rPr>
          <w:rFonts w:cs="Arial"/>
        </w:rPr>
        <w:t xml:space="preserve">A common issue raised in discussions </w:t>
      </w:r>
      <w:r>
        <w:rPr>
          <w:rFonts w:cs="Arial"/>
        </w:rPr>
        <w:t xml:space="preserve">with businesses </w:t>
      </w:r>
      <w:r w:rsidR="0028663D">
        <w:rPr>
          <w:rFonts w:cs="Arial"/>
        </w:rPr>
        <w:t xml:space="preserve">was </w:t>
      </w:r>
      <w:r>
        <w:rPr>
          <w:rFonts w:cs="Arial"/>
        </w:rPr>
        <w:t xml:space="preserve">their need to invest in technology and reduce employment. In some cases this was down to difficulties in recruitment and training whereas for others it was to reduce costs generally. It was noted that increased mechanisation would change </w:t>
      </w:r>
      <w:r w:rsidR="0028663D">
        <w:rPr>
          <w:rFonts w:cs="Arial"/>
        </w:rPr>
        <w:t xml:space="preserve">both </w:t>
      </w:r>
      <w:r>
        <w:rPr>
          <w:rFonts w:cs="Arial"/>
        </w:rPr>
        <w:t>the profile of the workforce (more technology, operation and maintenance focused) and training</w:t>
      </w:r>
      <w:r w:rsidR="0028663D">
        <w:rPr>
          <w:rFonts w:cs="Arial"/>
        </w:rPr>
        <w:t xml:space="preserve"> provision</w:t>
      </w:r>
      <w:r>
        <w:rPr>
          <w:rFonts w:cs="Arial"/>
        </w:rPr>
        <w:t xml:space="preserve"> (often</w:t>
      </w:r>
      <w:r w:rsidR="0028663D">
        <w:rPr>
          <w:rFonts w:cs="Arial"/>
        </w:rPr>
        <w:t xml:space="preserve"> undertaken</w:t>
      </w:r>
      <w:r>
        <w:rPr>
          <w:rFonts w:cs="Arial"/>
        </w:rPr>
        <w:t xml:space="preserve"> by the </w:t>
      </w:r>
      <w:r w:rsidRPr="00D43699">
        <w:rPr>
          <w:rFonts w:cs="Arial"/>
        </w:rPr>
        <w:t>original equipment manufacturer</w:t>
      </w:r>
      <w:r>
        <w:rPr>
          <w:rFonts w:cs="Arial"/>
        </w:rPr>
        <w:t>).</w:t>
      </w:r>
    </w:p>
    <w:p w14:paraId="744739EA" w14:textId="77777777" w:rsidR="00582667" w:rsidRPr="00582667" w:rsidRDefault="00582667" w:rsidP="00C93734">
      <w:pPr>
        <w:jc w:val="both"/>
        <w:rPr>
          <w:rFonts w:cs="Arial"/>
          <w:b/>
        </w:rPr>
      </w:pPr>
      <w:r>
        <w:rPr>
          <w:rFonts w:cs="Arial"/>
        </w:rPr>
        <w:t>In maintaining Grimsby’s competitiveness, it will be important to ensure that greater choice in the availability of accommodation</w:t>
      </w:r>
      <w:r w:rsidR="00142DA6">
        <w:rPr>
          <w:rFonts w:cs="Arial"/>
        </w:rPr>
        <w:t xml:space="preserve"> appropriate for food processing</w:t>
      </w:r>
      <w:r>
        <w:rPr>
          <w:rFonts w:cs="Arial"/>
        </w:rPr>
        <w:t xml:space="preserve"> is provided.  This will need to</w:t>
      </w:r>
      <w:r w:rsidR="0028663D">
        <w:rPr>
          <w:rFonts w:cs="Arial"/>
        </w:rPr>
        <w:t xml:space="preserve"> be</w:t>
      </w:r>
      <w:r>
        <w:rPr>
          <w:rFonts w:cs="Arial"/>
        </w:rPr>
        <w:t xml:space="preserve"> reflected in future land supply policies to be </w:t>
      </w:r>
      <w:r w:rsidR="0028663D">
        <w:rPr>
          <w:rFonts w:cs="Arial"/>
        </w:rPr>
        <w:t>included in</w:t>
      </w:r>
      <w:r>
        <w:rPr>
          <w:rFonts w:cs="Arial"/>
        </w:rPr>
        <w:t xml:space="preserve"> the new Local Plan.  </w:t>
      </w:r>
    </w:p>
    <w:p w14:paraId="6B85B3C7" w14:textId="77777777" w:rsidR="00582667" w:rsidRPr="00582667" w:rsidRDefault="00582667" w:rsidP="00C93734">
      <w:pPr>
        <w:jc w:val="both"/>
        <w:rPr>
          <w:rFonts w:cs="Arial"/>
        </w:rPr>
      </w:pPr>
      <w:r>
        <w:rPr>
          <w:rFonts w:cs="Arial"/>
        </w:rPr>
        <w:t xml:space="preserve">Given the local skills </w:t>
      </w:r>
      <w:r w:rsidR="0028663D">
        <w:rPr>
          <w:rFonts w:cs="Arial"/>
        </w:rPr>
        <w:t>profile</w:t>
      </w:r>
      <w:r>
        <w:rPr>
          <w:rFonts w:cs="Arial"/>
        </w:rPr>
        <w:t>, it is essential that the skills of the workforce are kept up</w:t>
      </w:r>
      <w:r w:rsidR="00142DA6">
        <w:rPr>
          <w:rFonts w:cs="Arial"/>
        </w:rPr>
        <w:t xml:space="preserve"> </w:t>
      </w:r>
      <w:r>
        <w:rPr>
          <w:rFonts w:cs="Arial"/>
        </w:rPr>
        <w:t>to</w:t>
      </w:r>
      <w:r w:rsidR="00142DA6">
        <w:rPr>
          <w:rFonts w:cs="Arial"/>
        </w:rPr>
        <w:t xml:space="preserve"> </w:t>
      </w:r>
      <w:r>
        <w:rPr>
          <w:rFonts w:cs="Arial"/>
        </w:rPr>
        <w:t xml:space="preserve">date with advancements in technology and its application to the industry.  Moreover, there is an opportunity to build on the existing strengths of the local workforce to broaden the representation of NEL in other food processing activities.  </w:t>
      </w:r>
    </w:p>
    <w:p w14:paraId="034EB72F" w14:textId="77777777" w:rsidR="00EE7B23" w:rsidRDefault="00EE7B23" w:rsidP="00C93734">
      <w:pPr>
        <w:ind w:left="360"/>
        <w:jc w:val="both"/>
        <w:rPr>
          <w:rFonts w:cs="Arial"/>
        </w:rPr>
      </w:pPr>
    </w:p>
    <w:p w14:paraId="7DD62A1C" w14:textId="77777777" w:rsidR="00334C25" w:rsidRDefault="00334C25" w:rsidP="00C93734">
      <w:pPr>
        <w:ind w:left="360"/>
        <w:jc w:val="both"/>
        <w:rPr>
          <w:rFonts w:cs="Arial"/>
        </w:rPr>
      </w:pPr>
    </w:p>
    <w:p w14:paraId="1C1A828A" w14:textId="77777777" w:rsidR="00306CF8" w:rsidRDefault="00306CF8" w:rsidP="00C93734">
      <w:pPr>
        <w:spacing w:after="200" w:line="276" w:lineRule="auto"/>
        <w:jc w:val="both"/>
        <w:rPr>
          <w:rFonts w:eastAsia="Times New Roman" w:cs="Arial"/>
          <w:b/>
          <w:bCs/>
          <w:color w:val="156570" w:themeColor="background2"/>
          <w:sz w:val="30"/>
          <w:szCs w:val="26"/>
        </w:rPr>
      </w:pPr>
      <w:r>
        <w:rPr>
          <w:rFonts w:cs="Arial"/>
        </w:rPr>
        <w:br w:type="page"/>
      </w:r>
    </w:p>
    <w:p w14:paraId="400EB72F" w14:textId="77777777" w:rsidR="004D3BDB" w:rsidRDefault="004D3BDB" w:rsidP="00C93734">
      <w:pPr>
        <w:pStyle w:val="Heading1"/>
        <w:jc w:val="both"/>
        <w:sectPr w:rsidR="004D3BDB" w:rsidSect="009B3D30">
          <w:headerReference w:type="default" r:id="rId56"/>
          <w:footerReference w:type="default" r:id="rId57"/>
          <w:headerReference w:type="first" r:id="rId58"/>
          <w:footerReference w:type="first" r:id="rId59"/>
          <w:pgSz w:w="11906" w:h="16838" w:code="9"/>
          <w:pgMar w:top="964" w:right="1134" w:bottom="964" w:left="1134" w:header="510" w:footer="340" w:gutter="0"/>
          <w:cols w:space="708"/>
          <w:docGrid w:linePitch="360"/>
        </w:sectPr>
      </w:pPr>
    </w:p>
    <w:p w14:paraId="0F9651C1" w14:textId="77777777" w:rsidR="00381FF9" w:rsidRDefault="00381FF9" w:rsidP="00C93734">
      <w:pPr>
        <w:pStyle w:val="IntroHeading"/>
        <w:spacing w:before="100" w:beforeAutospacing="1"/>
        <w:jc w:val="both"/>
      </w:pPr>
    </w:p>
    <w:p w14:paraId="14CB1E20" w14:textId="77777777" w:rsidR="007D52CD" w:rsidRDefault="007D52CD" w:rsidP="00C93734">
      <w:pPr>
        <w:pStyle w:val="IntroHeading"/>
        <w:spacing w:before="100" w:beforeAutospacing="1"/>
        <w:jc w:val="both"/>
      </w:pPr>
      <w:bookmarkStart w:id="579" w:name="_Toc384034547"/>
    </w:p>
    <w:p w14:paraId="4F4F7044" w14:textId="77777777" w:rsidR="007D52CD" w:rsidRDefault="007D52CD" w:rsidP="00C93734">
      <w:pPr>
        <w:pStyle w:val="IntroHeading"/>
        <w:spacing w:before="100" w:beforeAutospacing="1"/>
        <w:jc w:val="both"/>
      </w:pPr>
    </w:p>
    <w:p w14:paraId="3592B4D9" w14:textId="77777777" w:rsidR="004D3BDB" w:rsidRDefault="004D3BDB" w:rsidP="00C93734">
      <w:pPr>
        <w:pStyle w:val="IntroHeading"/>
        <w:spacing w:before="100" w:beforeAutospacing="1"/>
        <w:sectPr w:rsidR="004D3BDB" w:rsidSect="004D3BDB">
          <w:headerReference w:type="first" r:id="rId60"/>
          <w:pgSz w:w="11906" w:h="16838" w:code="9"/>
          <w:pgMar w:top="964" w:right="1134" w:bottom="964" w:left="1134" w:header="510" w:footer="340" w:gutter="0"/>
          <w:cols w:space="708"/>
          <w:titlePg/>
          <w:docGrid w:linePitch="360"/>
        </w:sectPr>
      </w:pPr>
      <w:bookmarkStart w:id="580" w:name="_Toc395103924"/>
      <w:r>
        <w:t>Chemicals and</w:t>
      </w:r>
      <w:bookmarkStart w:id="581" w:name="_Toc384034548"/>
      <w:bookmarkEnd w:id="579"/>
      <w:r w:rsidR="007D52CD">
        <w:t xml:space="preserve"> </w:t>
      </w:r>
      <w:r>
        <w:t>Process Industries</w:t>
      </w:r>
      <w:bookmarkEnd w:id="580"/>
      <w:bookmarkEnd w:id="581"/>
    </w:p>
    <w:p w14:paraId="5830C1FF" w14:textId="77777777" w:rsidR="00B877A8" w:rsidRPr="00B877A8" w:rsidRDefault="00B877A8" w:rsidP="00C93734">
      <w:pPr>
        <w:pStyle w:val="Heading1"/>
        <w:jc w:val="both"/>
      </w:pPr>
      <w:bookmarkStart w:id="582" w:name="_Toc395103925"/>
      <w:r>
        <w:t>Chemicals and Process Industries</w:t>
      </w:r>
      <w:bookmarkEnd w:id="582"/>
    </w:p>
    <w:p w14:paraId="618F3352" w14:textId="77777777" w:rsidR="006462AE" w:rsidRDefault="006059F8" w:rsidP="00C93734">
      <w:pPr>
        <w:jc w:val="both"/>
      </w:pPr>
      <w:r>
        <w:t xml:space="preserve">The </w:t>
      </w:r>
      <w:r w:rsidR="00C50CF5">
        <w:t>c</w:t>
      </w:r>
      <w:r>
        <w:t xml:space="preserve">hemicals </w:t>
      </w:r>
      <w:r w:rsidR="00C50CF5">
        <w:t xml:space="preserve">and process industry </w:t>
      </w:r>
      <w:r>
        <w:t xml:space="preserve">is one of the largest and diverse manufacturing </w:t>
      </w:r>
      <w:r w:rsidR="00C50CF5">
        <w:t xml:space="preserve">sectors in the UK. The </w:t>
      </w:r>
      <w:r w:rsidR="006462AE">
        <w:t xml:space="preserve">sector includes activities </w:t>
      </w:r>
      <w:r w:rsidR="008B59A3">
        <w:t>associated with</w:t>
      </w:r>
      <w:r w:rsidR="006462AE">
        <w:t xml:space="preserve"> the refinery and manufacturing</w:t>
      </w:r>
      <w:r w:rsidR="008B59A3">
        <w:t xml:space="preserve"> of</w:t>
      </w:r>
      <w:r w:rsidR="006462AE">
        <w:t>:</w:t>
      </w:r>
    </w:p>
    <w:p w14:paraId="4DB0A8E7" w14:textId="77777777" w:rsidR="006462AE" w:rsidRDefault="006462AE" w:rsidP="00C93734">
      <w:pPr>
        <w:pStyle w:val="ListParagraph"/>
        <w:numPr>
          <w:ilvl w:val="0"/>
          <w:numId w:val="27"/>
        </w:numPr>
        <w:jc w:val="both"/>
      </w:pPr>
      <w:r>
        <w:t xml:space="preserve">Petrochemicals </w:t>
      </w:r>
    </w:p>
    <w:p w14:paraId="0D4C9723" w14:textId="77777777" w:rsidR="006462AE" w:rsidRDefault="006462AE" w:rsidP="00C93734">
      <w:pPr>
        <w:pStyle w:val="ListParagraph"/>
        <w:numPr>
          <w:ilvl w:val="0"/>
          <w:numId w:val="27"/>
        </w:numPr>
        <w:jc w:val="both"/>
      </w:pPr>
      <w:r>
        <w:t xml:space="preserve">Commodity chemicals </w:t>
      </w:r>
    </w:p>
    <w:p w14:paraId="4E4EDECC" w14:textId="77777777" w:rsidR="006462AE" w:rsidRDefault="006462AE" w:rsidP="00C93734">
      <w:pPr>
        <w:pStyle w:val="ListParagraph"/>
        <w:numPr>
          <w:ilvl w:val="0"/>
          <w:numId w:val="27"/>
        </w:numPr>
        <w:jc w:val="both"/>
      </w:pPr>
      <w:r>
        <w:t>Speciality chemicals</w:t>
      </w:r>
    </w:p>
    <w:p w14:paraId="42C62415" w14:textId="77777777" w:rsidR="006462AE" w:rsidRDefault="006462AE" w:rsidP="00C93734">
      <w:pPr>
        <w:pStyle w:val="ListParagraph"/>
        <w:numPr>
          <w:ilvl w:val="0"/>
          <w:numId w:val="27"/>
        </w:numPr>
        <w:jc w:val="both"/>
      </w:pPr>
      <w:r>
        <w:t>Composite materials</w:t>
      </w:r>
    </w:p>
    <w:p w14:paraId="466309A7" w14:textId="77777777" w:rsidR="006462AE" w:rsidRDefault="006462AE" w:rsidP="00C93734">
      <w:pPr>
        <w:pStyle w:val="ListParagraph"/>
        <w:numPr>
          <w:ilvl w:val="0"/>
          <w:numId w:val="27"/>
        </w:numPr>
        <w:jc w:val="both"/>
      </w:pPr>
      <w:r>
        <w:t>Pigments and paints</w:t>
      </w:r>
    </w:p>
    <w:p w14:paraId="60762535" w14:textId="77777777" w:rsidR="006462AE" w:rsidRDefault="006462AE" w:rsidP="00C93734">
      <w:pPr>
        <w:pStyle w:val="ListParagraph"/>
        <w:numPr>
          <w:ilvl w:val="0"/>
          <w:numId w:val="27"/>
        </w:numPr>
        <w:jc w:val="both"/>
      </w:pPr>
      <w:r>
        <w:t xml:space="preserve">Pharmaceuticals </w:t>
      </w:r>
    </w:p>
    <w:p w14:paraId="2F7E3E6B" w14:textId="77777777" w:rsidR="00C50CF5" w:rsidRDefault="006462AE" w:rsidP="00C93734">
      <w:pPr>
        <w:jc w:val="both"/>
      </w:pPr>
      <w:r>
        <w:t>The sector</w:t>
      </w:r>
      <w:r w:rsidR="00C50CF5">
        <w:t xml:space="preserve"> </w:t>
      </w:r>
      <w:r w:rsidR="0028663D">
        <w:t>has close linkages</w:t>
      </w:r>
      <w:r w:rsidR="008B59A3">
        <w:t xml:space="preserve"> with many</w:t>
      </w:r>
      <w:r w:rsidR="00C50CF5">
        <w:t xml:space="preserve"> other</w:t>
      </w:r>
      <w:r w:rsidR="008B59A3">
        <w:t xml:space="preserve"> economic</w:t>
      </w:r>
      <w:r w:rsidR="00C50CF5">
        <w:t xml:space="preserve"> activities including logistics, construction, pharmaceutical</w:t>
      </w:r>
      <w:r w:rsidR="0028663D">
        <w:t>s</w:t>
      </w:r>
      <w:r w:rsidR="00C50CF5">
        <w:t>, food and drink, research and development</w:t>
      </w:r>
      <w:r w:rsidR="008B59A3">
        <w:t xml:space="preserve"> and retail</w:t>
      </w:r>
      <w:r w:rsidR="00C50CF5">
        <w:t xml:space="preserve">. </w:t>
      </w:r>
      <w:r w:rsidR="0028663D">
        <w:t>NEL</w:t>
      </w:r>
      <w:r w:rsidR="00FA5072" w:rsidRPr="00AF0A21">
        <w:t xml:space="preserve"> is at the centre of the chemicals and process industries in the Humber area, which </w:t>
      </w:r>
      <w:r w:rsidR="00AF0A21" w:rsidRPr="00AF0A21">
        <w:t>employed</w:t>
      </w:r>
      <w:r w:rsidR="00FA5072" w:rsidRPr="00AF0A21">
        <w:t xml:space="preserve"> </w:t>
      </w:r>
      <w:r w:rsidR="0028663D">
        <w:t>approximately</w:t>
      </w:r>
      <w:r w:rsidR="0028663D" w:rsidRPr="00AF0A21">
        <w:t xml:space="preserve"> </w:t>
      </w:r>
      <w:r w:rsidR="00FA5072" w:rsidRPr="00AF0A21">
        <w:t>15,000 people in 120 companies</w:t>
      </w:r>
      <w:r w:rsidR="0028663D">
        <w:t xml:space="preserve"> in 2010, with a collective annual</w:t>
      </w:r>
      <w:r w:rsidR="00FA5072" w:rsidRPr="00AF0A21">
        <w:t xml:space="preserve"> turnover </w:t>
      </w:r>
      <w:r w:rsidR="0028663D">
        <w:t xml:space="preserve">of </w:t>
      </w:r>
      <w:r w:rsidR="00FA5072" w:rsidRPr="00AF0A21">
        <w:t>more than £6 billion.</w:t>
      </w:r>
    </w:p>
    <w:p w14:paraId="192D5262" w14:textId="77777777" w:rsidR="00FA5072" w:rsidRDefault="00FA5072" w:rsidP="00C93734">
      <w:pPr>
        <w:jc w:val="both"/>
      </w:pPr>
      <w:r>
        <w:t xml:space="preserve">Many of the firms in the sector are located close to the </w:t>
      </w:r>
      <w:r w:rsidRPr="002E08E1">
        <w:t xml:space="preserve">Humber estuary </w:t>
      </w:r>
      <w:r>
        <w:t xml:space="preserve">and play a </w:t>
      </w:r>
      <w:r w:rsidRPr="002E08E1">
        <w:t>key role in intra-European</w:t>
      </w:r>
      <w:r>
        <w:t xml:space="preserve"> supply chains for the sector.</w:t>
      </w:r>
      <w:r w:rsidRPr="002E08E1">
        <w:t xml:space="preserve"> </w:t>
      </w:r>
      <w:r w:rsidR="00AF0A21">
        <w:t>Sev</w:t>
      </w:r>
      <w:r>
        <w:t>eral companies have a long history with</w:t>
      </w:r>
      <w:r w:rsidR="00B72F3E">
        <w:t>in</w:t>
      </w:r>
      <w:r>
        <w:t xml:space="preserve"> the local area</w:t>
      </w:r>
      <w:r w:rsidR="00AF0A21">
        <w:t xml:space="preserve"> and benefit from </w:t>
      </w:r>
      <w:r>
        <w:t>a range of</w:t>
      </w:r>
      <w:r w:rsidR="004A34A3">
        <w:t xml:space="preserve"> locational </w:t>
      </w:r>
      <w:r>
        <w:t xml:space="preserve">assets </w:t>
      </w:r>
      <w:r w:rsidR="00AF0A21">
        <w:t>including</w:t>
      </w:r>
      <w:r>
        <w:t xml:space="preserve">: </w:t>
      </w:r>
    </w:p>
    <w:p w14:paraId="7ABE4653" w14:textId="77777777" w:rsidR="008D7250" w:rsidRDefault="008B59A3">
      <w:pPr>
        <w:pStyle w:val="ListParagraph"/>
        <w:numPr>
          <w:ilvl w:val="0"/>
          <w:numId w:val="121"/>
        </w:numPr>
      </w:pPr>
      <w:r>
        <w:t>Proximity</w:t>
      </w:r>
      <w:r w:rsidR="00FA5072" w:rsidRPr="002E08E1">
        <w:t xml:space="preserve"> to oil refineries which provides a particular advantage to the newly emerging advanced biofuels sector in gaining access to market</w:t>
      </w:r>
      <w:r>
        <w:t>. B</w:t>
      </w:r>
      <w:r w:rsidR="00FA5072">
        <w:t xml:space="preserve">oth the </w:t>
      </w:r>
      <w:r w:rsidR="00C50CF5">
        <w:t>Humber and Lindsey</w:t>
      </w:r>
      <w:r w:rsidR="00FA5072">
        <w:t xml:space="preserve"> </w:t>
      </w:r>
      <w:r>
        <w:t>refineries</w:t>
      </w:r>
      <w:r w:rsidR="00FA5072">
        <w:t xml:space="preserve"> are</w:t>
      </w:r>
      <w:r>
        <w:t xml:space="preserve"> located nearby in</w:t>
      </w:r>
      <w:r w:rsidR="00C50CF5">
        <w:t xml:space="preserve"> North Lincolnshire.</w:t>
      </w:r>
    </w:p>
    <w:p w14:paraId="709CDE5A" w14:textId="77777777" w:rsidR="008D7250" w:rsidRDefault="00C50CF5">
      <w:pPr>
        <w:pStyle w:val="ListParagraph"/>
        <w:numPr>
          <w:ilvl w:val="0"/>
          <w:numId w:val="121"/>
        </w:numPr>
      </w:pPr>
      <w:r>
        <w:t>The Port of Immingham has a</w:t>
      </w:r>
      <w:r w:rsidR="00FC1D64">
        <w:t xml:space="preserve"> vital role in the import and e</w:t>
      </w:r>
      <w:r w:rsidR="008B59A3">
        <w:t>xport of energy supplies</w:t>
      </w:r>
      <w:r w:rsidR="00FC1D64">
        <w:t xml:space="preserve"> including oil, liquefied natural gas and biomass, </w:t>
      </w:r>
      <w:r w:rsidR="0028663D">
        <w:t xml:space="preserve">as well as </w:t>
      </w:r>
      <w:r w:rsidR="00FC1D64">
        <w:t>in the construction and servicing of offshore energy installations and in supporting terminals for oil and gas pipelines.</w:t>
      </w:r>
      <w:r w:rsidR="00AC3A78">
        <w:t xml:space="preserve"> Coal is also imported through Immingham, though is being replaced by biomass, which is likely to result in larger volumes of imports to maintain the same effective supply of fuel.</w:t>
      </w:r>
      <w:r w:rsidR="00FC1D64">
        <w:t xml:space="preserve"> </w:t>
      </w:r>
      <w:r w:rsidR="009306B4" w:rsidRPr="002E08E1">
        <w:t xml:space="preserve">The </w:t>
      </w:r>
      <w:r w:rsidR="004A34A3">
        <w:t>port</w:t>
      </w:r>
      <w:r w:rsidR="009306B4" w:rsidRPr="002E08E1">
        <w:t xml:space="preserve"> is one of the largest petroleum processing, handling and distribution</w:t>
      </w:r>
      <w:r w:rsidR="009306B4">
        <w:t xml:space="preserve"> </w:t>
      </w:r>
      <w:r w:rsidR="00FA5072">
        <w:t xml:space="preserve">centres </w:t>
      </w:r>
      <w:r w:rsidR="00FA5072" w:rsidRPr="002E08E1">
        <w:t>in</w:t>
      </w:r>
      <w:r w:rsidR="009306B4" w:rsidRPr="002E08E1">
        <w:t xml:space="preserve"> Europe, with around 20</w:t>
      </w:r>
      <w:r w:rsidR="0028663D">
        <w:t xml:space="preserve"> million</w:t>
      </w:r>
      <w:r w:rsidR="009306B4" w:rsidRPr="002E08E1">
        <w:t xml:space="preserve"> tonnes of fuel products </w:t>
      </w:r>
      <w:r w:rsidR="009306B4">
        <w:t>being handled</w:t>
      </w:r>
      <w:r w:rsidR="009306B4" w:rsidRPr="002E08E1">
        <w:t xml:space="preserve"> </w:t>
      </w:r>
      <w:r w:rsidR="008B59A3">
        <w:t>per annum</w:t>
      </w:r>
      <w:r w:rsidR="009306B4" w:rsidRPr="002E08E1">
        <w:t xml:space="preserve">. </w:t>
      </w:r>
    </w:p>
    <w:p w14:paraId="4D0B1ACE" w14:textId="77777777" w:rsidR="008D7250" w:rsidRDefault="00AF0A21">
      <w:pPr>
        <w:pStyle w:val="ListParagraph"/>
        <w:numPr>
          <w:ilvl w:val="0"/>
          <w:numId w:val="121"/>
        </w:numPr>
      </w:pPr>
      <w:r w:rsidRPr="00AF0A21">
        <w:t xml:space="preserve">Industry led partnership </w:t>
      </w:r>
      <w:r w:rsidR="00FA5072" w:rsidRPr="00AF0A21">
        <w:t>Humber Chemical Focus </w:t>
      </w:r>
      <w:r w:rsidR="00725205">
        <w:t xml:space="preserve">(HCF) </w:t>
      </w:r>
      <w:r w:rsidR="005F3B05">
        <w:t xml:space="preserve">leads </w:t>
      </w:r>
      <w:r w:rsidR="00FA5072" w:rsidRPr="00AF0A21">
        <w:t>regional chemical initiatives</w:t>
      </w:r>
      <w:r w:rsidR="0028663D">
        <w:t>,</w:t>
      </w:r>
      <w:r w:rsidR="00FA5072" w:rsidRPr="00AF0A21">
        <w:t xml:space="preserve"> with more than 100 members</w:t>
      </w:r>
      <w:r w:rsidRPr="00AF0A21">
        <w:t xml:space="preserve"> across the Humber area</w:t>
      </w:r>
      <w:r w:rsidR="00FA5072" w:rsidRPr="00AF0A21">
        <w:t xml:space="preserve">. The HCF works with companies and organisations within the region to </w:t>
      </w:r>
      <w:r w:rsidR="00B72F3E">
        <w:t>run</w:t>
      </w:r>
      <w:r w:rsidRPr="00AF0A21">
        <w:t xml:space="preserve"> business support programmes, network groups, skills programmes, conferences, events and publications aimed at encouraging best practice, knowledge exchange and business excellence.</w:t>
      </w:r>
    </w:p>
    <w:p w14:paraId="3E103145" w14:textId="77777777" w:rsidR="008D7250" w:rsidRDefault="00FA5072">
      <w:pPr>
        <w:pStyle w:val="ListParagraph"/>
        <w:numPr>
          <w:ilvl w:val="0"/>
          <w:numId w:val="121"/>
        </w:numPr>
      </w:pPr>
      <w:r w:rsidRPr="00AF0A21">
        <w:t>CATCH, the Centre for the Asses</w:t>
      </w:r>
      <w:r w:rsidR="004A34A3">
        <w:t xml:space="preserve">sment of Technical Competence </w:t>
      </w:r>
      <w:r w:rsidRPr="00AF0A21">
        <w:t>Humber</w:t>
      </w:r>
      <w:r w:rsidR="00142DA6">
        <w:t>,</w:t>
      </w:r>
      <w:r w:rsidRPr="00AF0A21">
        <w:t> is a unique £8 million training facility for the process industries</w:t>
      </w:r>
      <w:r w:rsidR="00AF0A21">
        <w:t xml:space="preserve"> </w:t>
      </w:r>
      <w:r w:rsidR="004A34A3">
        <w:t>which can</w:t>
      </w:r>
      <w:r w:rsidRPr="00AF0A21">
        <w:t xml:space="preserve"> simulate a chemical plant without the risks of handling dangerous substances at </w:t>
      </w:r>
      <w:r w:rsidR="00AF0A21">
        <w:t>high temperatures and pressures. The facility works with</w:t>
      </w:r>
      <w:r w:rsidR="004A34A3">
        <w:t xml:space="preserve"> a variety of</w:t>
      </w:r>
      <w:r w:rsidR="00AF0A21">
        <w:t xml:space="preserve"> training provider</w:t>
      </w:r>
      <w:r w:rsidR="004A34A3">
        <w:t>s</w:t>
      </w:r>
      <w:r w:rsidR="00AF0A21">
        <w:t xml:space="preserve"> </w:t>
      </w:r>
      <w:r w:rsidR="004A34A3">
        <w:t>which can</w:t>
      </w:r>
      <w:r w:rsidR="00AF0A21">
        <w:t xml:space="preserve"> offer </w:t>
      </w:r>
      <w:r w:rsidR="004A34A3">
        <w:t xml:space="preserve">a range of </w:t>
      </w:r>
      <w:r w:rsidR="00AF0A21">
        <w:t xml:space="preserve">technical and health and </w:t>
      </w:r>
      <w:r w:rsidR="004A34A3">
        <w:t>safety</w:t>
      </w:r>
      <w:r w:rsidR="00AF0A21">
        <w:t xml:space="preserve"> courses </w:t>
      </w:r>
      <w:r w:rsidR="004A34A3">
        <w:t>that are relevant not just to process industries but also other key sectors including renewables.</w:t>
      </w:r>
    </w:p>
    <w:p w14:paraId="0E3EF524" w14:textId="77777777" w:rsidR="008D7250" w:rsidRDefault="00AF0A21">
      <w:pPr>
        <w:pStyle w:val="ListParagraph"/>
        <w:numPr>
          <w:ilvl w:val="0"/>
          <w:numId w:val="121"/>
        </w:numPr>
      </w:pPr>
      <w:r>
        <w:t>Strong transport links (</w:t>
      </w:r>
      <w:r w:rsidR="000C1C4A">
        <w:t xml:space="preserve">sea, </w:t>
      </w:r>
      <w:r>
        <w:t>road, rail and air) which help to transfer people, products, chemicals and materials to and from the local area. There are many firms which are specialist in the transfer of particular chemical goods and equipment.</w:t>
      </w:r>
    </w:p>
    <w:p w14:paraId="204F2E16" w14:textId="77777777" w:rsidR="008D7250" w:rsidRDefault="00142DA6">
      <w:pPr>
        <w:pStyle w:val="ListParagraph"/>
        <w:numPr>
          <w:ilvl w:val="0"/>
          <w:numId w:val="121"/>
        </w:numPr>
      </w:pPr>
      <w:r>
        <w:t>Proximity</w:t>
      </w:r>
      <w:r w:rsidR="00920CBC" w:rsidRPr="002E08E1">
        <w:t xml:space="preserve"> to important energy assets </w:t>
      </w:r>
      <w:r w:rsidR="004A34A3">
        <w:t>such as</w:t>
      </w:r>
      <w:r w:rsidR="001D3CC8">
        <w:t xml:space="preserve"> the </w:t>
      </w:r>
      <w:r w:rsidR="00920CBC" w:rsidRPr="002E08E1">
        <w:t xml:space="preserve">Drax </w:t>
      </w:r>
      <w:r w:rsidR="001D3CC8">
        <w:t xml:space="preserve">Power Station is </w:t>
      </w:r>
      <w:r w:rsidR="00920CBC" w:rsidRPr="002E08E1">
        <w:t xml:space="preserve">also significant. The </w:t>
      </w:r>
      <w:r w:rsidR="00920CBC">
        <w:t xml:space="preserve">port and rail </w:t>
      </w:r>
      <w:r w:rsidR="00920CBC" w:rsidRPr="002E08E1">
        <w:t xml:space="preserve">infrastructure in </w:t>
      </w:r>
      <w:r w:rsidR="0009664C">
        <w:t>NEL</w:t>
      </w:r>
      <w:r w:rsidR="00920CBC" w:rsidRPr="002E08E1">
        <w:t xml:space="preserve"> is key to </w:t>
      </w:r>
      <w:r w:rsidR="004A34A3">
        <w:t xml:space="preserve">enabling the </w:t>
      </w:r>
      <w:r w:rsidR="00920CBC" w:rsidRPr="002E08E1">
        <w:t>transport</w:t>
      </w:r>
      <w:r w:rsidR="004A34A3">
        <w:t xml:space="preserve"> of</w:t>
      </w:r>
      <w:r w:rsidR="00920CBC" w:rsidRPr="002E08E1">
        <w:t xml:space="preserve"> co</w:t>
      </w:r>
      <w:r w:rsidR="004A34A3">
        <w:t xml:space="preserve">al and biofuel to powerstations.  It also </w:t>
      </w:r>
      <w:r w:rsidR="00920CBC" w:rsidRPr="002E08E1">
        <w:t>support</w:t>
      </w:r>
      <w:r w:rsidR="001D3CC8">
        <w:t>s</w:t>
      </w:r>
      <w:r w:rsidR="00920CBC" w:rsidRPr="002E08E1">
        <w:t xml:space="preserve"> the development of new power</w:t>
      </w:r>
      <w:r w:rsidR="00920CBC">
        <w:t xml:space="preserve"> </w:t>
      </w:r>
      <w:r w:rsidR="00920CBC" w:rsidRPr="002E08E1">
        <w:t>stations or energy options like renewables.</w:t>
      </w:r>
      <w:r w:rsidR="00920CBC">
        <w:t xml:space="preserve"> </w:t>
      </w:r>
      <w:r w:rsidR="00AF0A21" w:rsidRPr="000C1C4A">
        <w:t>The area is also a growing focal point for the bioenergy market</w:t>
      </w:r>
      <w:r w:rsidR="000C1C4A" w:rsidRPr="000C1C4A">
        <w:t xml:space="preserve"> because of its close</w:t>
      </w:r>
      <w:r w:rsidR="0009664C">
        <w:t xml:space="preserve"> proximity</w:t>
      </w:r>
      <w:r w:rsidR="000C1C4A" w:rsidRPr="000C1C4A">
        <w:t xml:space="preserve"> to the major bulk materials port in the UK and access to </w:t>
      </w:r>
      <w:r w:rsidR="009A7E1A" w:rsidRPr="000C1C4A">
        <w:t>Lincolnshire’s</w:t>
      </w:r>
      <w:r w:rsidR="000C1C4A" w:rsidRPr="000C1C4A">
        <w:t xml:space="preserve"> agricultural products. There are two </w:t>
      </w:r>
      <w:r w:rsidR="00AF0A21" w:rsidRPr="000C1C4A">
        <w:t>biodiesel plants at the port of</w:t>
      </w:r>
      <w:r w:rsidR="000C1C4A" w:rsidRPr="000C1C4A">
        <w:t xml:space="preserve"> </w:t>
      </w:r>
      <w:r w:rsidR="00AF0A21" w:rsidRPr="000C1C4A">
        <w:t>Immingham</w:t>
      </w:r>
      <w:r w:rsidR="00B72F3E">
        <w:t xml:space="preserve"> and plans are in place to develop more</w:t>
      </w:r>
      <w:r w:rsidR="000C1C4A" w:rsidRPr="000C1C4A">
        <w:t xml:space="preserve"> bioethanol plants</w:t>
      </w:r>
      <w:r w:rsidR="00B72F3E">
        <w:t xml:space="preserve"> in the future.</w:t>
      </w:r>
      <w:r w:rsidR="000C1C4A" w:rsidRPr="000C1C4A">
        <w:t>.</w:t>
      </w:r>
    </w:p>
    <w:p w14:paraId="18A7CAD3" w14:textId="77777777" w:rsidR="002F7137" w:rsidRDefault="002F7137" w:rsidP="00C93734">
      <w:pPr>
        <w:pStyle w:val="Heading3"/>
        <w:numPr>
          <w:ilvl w:val="2"/>
          <w:numId w:val="5"/>
        </w:numPr>
        <w:jc w:val="both"/>
      </w:pPr>
      <w:r w:rsidRPr="004C4518">
        <w:t>Sector Size</w:t>
      </w:r>
    </w:p>
    <w:p w14:paraId="781CC968" w14:textId="77777777" w:rsidR="00DE7E39" w:rsidRDefault="009A7E1A" w:rsidP="00C93734">
      <w:pPr>
        <w:jc w:val="both"/>
      </w:pPr>
      <w:r>
        <w:t>In 2013 there were</w:t>
      </w:r>
      <w:r w:rsidR="00BC7DFD">
        <w:t xml:space="preserve"> approximately</w:t>
      </w:r>
      <w:r>
        <w:t xml:space="preserve"> 40 chemicals and process industry firms employing 2,230 people in </w:t>
      </w:r>
      <w:r w:rsidR="0009664C">
        <w:t>NEL</w:t>
      </w:r>
      <w:r>
        <w:t xml:space="preserve">. </w:t>
      </w:r>
      <w:r w:rsidR="00DE7E39">
        <w:t xml:space="preserve">The </w:t>
      </w:r>
      <w:r w:rsidR="00BC7DFD">
        <w:t xml:space="preserve">actual </w:t>
      </w:r>
      <w:r w:rsidR="00DE7E39">
        <w:t xml:space="preserve">size of the industry is likely to be larger as the industry is not effectively captured </w:t>
      </w:r>
      <w:r w:rsidR="00BC7DFD">
        <w:t>by</w:t>
      </w:r>
      <w:r w:rsidR="00DE7E39">
        <w:t xml:space="preserve"> SIC codes and there is some overlap with</w:t>
      </w:r>
      <w:r w:rsidR="00BC7DFD">
        <w:t xml:space="preserve"> the</w:t>
      </w:r>
      <w:r w:rsidR="00DE7E39">
        <w:t xml:space="preserve"> manufacturing and energy</w:t>
      </w:r>
      <w:r w:rsidR="00BC7DFD">
        <w:t xml:space="preserve"> sectors</w:t>
      </w:r>
      <w:r w:rsidR="00DE7E39">
        <w:t>. A more</w:t>
      </w:r>
      <w:r w:rsidR="00BC7DFD">
        <w:t xml:space="preserve"> inclusive definition would probably see </w:t>
      </w:r>
      <w:r w:rsidR="00DE7E39">
        <w:t xml:space="preserve">around 70 chemicals and process industries employing </w:t>
      </w:r>
      <w:r w:rsidR="00BC7DFD">
        <w:t>around 3,5</w:t>
      </w:r>
      <w:r w:rsidR="00DE7E39">
        <w:t>00 people.</w:t>
      </w:r>
    </w:p>
    <w:p w14:paraId="036782F0" w14:textId="77777777" w:rsidR="00DE7E39" w:rsidRDefault="009A7E1A" w:rsidP="00C93734">
      <w:pPr>
        <w:jc w:val="both"/>
      </w:pPr>
      <w:r>
        <w:t>The industry has some major employers in the Humber area</w:t>
      </w:r>
      <w:r w:rsidR="0009664C">
        <w:t>, such as</w:t>
      </w:r>
      <w:r>
        <w:t xml:space="preserve"> Phillips</w:t>
      </w:r>
      <w:r w:rsidR="0009664C">
        <w:t xml:space="preserve"> </w:t>
      </w:r>
      <w:r>
        <w:t>66</w:t>
      </w:r>
      <w:r w:rsidR="0009664C">
        <w:t xml:space="preserve">, who </w:t>
      </w:r>
      <w:r>
        <w:t>employ 750 people</w:t>
      </w:r>
      <w:r w:rsidR="0009664C">
        <w:t>,</w:t>
      </w:r>
      <w:r>
        <w:t xml:space="preserve"> </w:t>
      </w:r>
      <w:r w:rsidR="00BC7DFD">
        <w:t>with</w:t>
      </w:r>
      <w:r>
        <w:t xml:space="preserve"> Novartis and Cristal </w:t>
      </w:r>
      <w:r w:rsidR="0009664C">
        <w:t xml:space="preserve">each </w:t>
      </w:r>
      <w:r>
        <w:t xml:space="preserve">employing around 500 people. These major employers are indicative of the employment size profile of the industry which has </w:t>
      </w:r>
      <w:r w:rsidR="00067569">
        <w:t xml:space="preserve">much </w:t>
      </w:r>
      <w:r>
        <w:t xml:space="preserve">higher proportion of </w:t>
      </w:r>
      <w:r w:rsidR="00067569">
        <w:t xml:space="preserve">firms in the 250-500+ bracket </w:t>
      </w:r>
      <w:r w:rsidR="007E2D4C">
        <w:t xml:space="preserve">(5.4%) </w:t>
      </w:r>
      <w:r w:rsidR="00067569">
        <w:t>than the local average</w:t>
      </w:r>
      <w:r w:rsidR="007E2D4C">
        <w:t xml:space="preserve"> (0.8%)</w:t>
      </w:r>
      <w:r w:rsidR="00067569">
        <w:t xml:space="preserve">. </w:t>
      </w:r>
    </w:p>
    <w:p w14:paraId="3516D0E2" w14:textId="77777777" w:rsidR="005D590A" w:rsidRDefault="005D590A" w:rsidP="00C93734">
      <w:pPr>
        <w:pStyle w:val="Caption"/>
        <w:jc w:val="both"/>
      </w:pPr>
      <w:bookmarkStart w:id="583" w:name="_Toc383159695"/>
      <w:r>
        <w:t xml:space="preserve">Table </w:t>
      </w:r>
      <w:fldSimple w:instr=" STYLEREF 1 \s  \* MERGEFORMAT ">
        <w:r w:rsidR="00E95E1A">
          <w:rPr>
            <w:noProof/>
          </w:rPr>
          <w:t>6</w:t>
        </w:r>
      </w:fldSimple>
      <w:r>
        <w:t>-</w:t>
      </w:r>
      <w:fldSimple w:instr=" SEQ Table \* ARABIC \s 1  \* MERGEFORMAT ">
        <w:r w:rsidR="00E95E1A">
          <w:rPr>
            <w:noProof/>
          </w:rPr>
          <w:t>1</w:t>
        </w:r>
      </w:fldSimple>
      <w:r w:rsidR="00E5672C">
        <w:t xml:space="preserve"> </w:t>
      </w:r>
      <w:bookmarkEnd w:id="583"/>
      <w:r w:rsidR="001B70DF">
        <w:t>% of Firms by Employment Size Band</w:t>
      </w:r>
      <w:r w:rsidR="00BC7DFD">
        <w:t xml:space="preserve"> </w:t>
      </w:r>
    </w:p>
    <w:tbl>
      <w:tblPr>
        <w:tblStyle w:val="Atkins14pt"/>
        <w:tblW w:w="9583" w:type="dxa"/>
        <w:tblLook w:val="04A0" w:firstRow="1" w:lastRow="0" w:firstColumn="1" w:lastColumn="0" w:noHBand="0" w:noVBand="1"/>
      </w:tblPr>
      <w:tblGrid>
        <w:gridCol w:w="2504"/>
        <w:gridCol w:w="865"/>
        <w:gridCol w:w="866"/>
        <w:gridCol w:w="866"/>
        <w:gridCol w:w="866"/>
        <w:gridCol w:w="866"/>
        <w:gridCol w:w="972"/>
        <w:gridCol w:w="866"/>
        <w:gridCol w:w="912"/>
      </w:tblGrid>
      <w:tr w:rsidR="009A7E1A" w:rsidRPr="009A7E1A" w14:paraId="3C1388D0" w14:textId="77777777" w:rsidTr="009A7E1A">
        <w:trPr>
          <w:cnfStyle w:val="100000000000" w:firstRow="1" w:lastRow="0" w:firstColumn="0" w:lastColumn="0" w:oddVBand="0" w:evenVBand="0" w:oddHBand="0" w:evenHBand="0" w:firstRowFirstColumn="0" w:firstRowLastColumn="0" w:lastRowFirstColumn="0" w:lastRowLastColumn="0"/>
          <w:trHeight w:val="245"/>
        </w:trPr>
        <w:tc>
          <w:tcPr>
            <w:cnfStyle w:val="001000000100" w:firstRow="0" w:lastRow="0" w:firstColumn="1" w:lastColumn="0" w:oddVBand="0" w:evenVBand="0" w:oddHBand="0" w:evenHBand="0" w:firstRowFirstColumn="1" w:firstRowLastColumn="0" w:lastRowFirstColumn="0" w:lastRowLastColumn="0"/>
            <w:tcW w:w="2504" w:type="dxa"/>
            <w:noWrap/>
            <w:hideMark/>
          </w:tcPr>
          <w:p w14:paraId="47584192" w14:textId="77777777" w:rsidR="009A7E1A" w:rsidRPr="009A7E1A" w:rsidRDefault="009A7E1A" w:rsidP="00C93734">
            <w:pPr>
              <w:spacing w:after="0"/>
              <w:jc w:val="both"/>
              <w:rPr>
                <w:rFonts w:eastAsia="Times New Roman"/>
                <w:color w:val="000000"/>
              </w:rPr>
            </w:pPr>
            <w:r>
              <w:rPr>
                <w:rFonts w:eastAsia="Times New Roman"/>
                <w:color w:val="000000"/>
              </w:rPr>
              <w:t>Industry</w:t>
            </w:r>
          </w:p>
        </w:tc>
        <w:tc>
          <w:tcPr>
            <w:tcW w:w="865" w:type="dxa"/>
            <w:noWrap/>
            <w:hideMark/>
          </w:tcPr>
          <w:p w14:paraId="1FD86538" w14:textId="77777777" w:rsidR="009A7E1A" w:rsidRPr="009A7E1A" w:rsidRDefault="009A7E1A"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A7E1A">
              <w:rPr>
                <w:rFonts w:eastAsia="Times New Roman"/>
                <w:color w:val="000000"/>
              </w:rPr>
              <w:t>0-10</w:t>
            </w:r>
          </w:p>
        </w:tc>
        <w:tc>
          <w:tcPr>
            <w:tcW w:w="866" w:type="dxa"/>
            <w:noWrap/>
            <w:hideMark/>
          </w:tcPr>
          <w:p w14:paraId="4BAFCD64" w14:textId="77777777" w:rsidR="009A7E1A" w:rsidRPr="009A7E1A" w:rsidRDefault="009A7E1A"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A7E1A">
              <w:rPr>
                <w:rFonts w:eastAsia="Times New Roman"/>
                <w:color w:val="000000"/>
              </w:rPr>
              <w:t>11-20</w:t>
            </w:r>
          </w:p>
        </w:tc>
        <w:tc>
          <w:tcPr>
            <w:tcW w:w="866" w:type="dxa"/>
            <w:noWrap/>
            <w:hideMark/>
          </w:tcPr>
          <w:p w14:paraId="32674A13" w14:textId="77777777" w:rsidR="009A7E1A" w:rsidRPr="009A7E1A" w:rsidRDefault="009A7E1A"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A7E1A">
              <w:rPr>
                <w:rFonts w:eastAsia="Times New Roman"/>
                <w:color w:val="000000"/>
              </w:rPr>
              <w:t>21-50</w:t>
            </w:r>
          </w:p>
        </w:tc>
        <w:tc>
          <w:tcPr>
            <w:tcW w:w="866" w:type="dxa"/>
            <w:noWrap/>
            <w:hideMark/>
          </w:tcPr>
          <w:p w14:paraId="3F917F16" w14:textId="77777777" w:rsidR="009A7E1A" w:rsidRPr="009A7E1A" w:rsidRDefault="009A7E1A"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A7E1A">
              <w:rPr>
                <w:rFonts w:eastAsia="Times New Roman"/>
                <w:color w:val="000000"/>
              </w:rPr>
              <w:t>51-100</w:t>
            </w:r>
          </w:p>
        </w:tc>
        <w:tc>
          <w:tcPr>
            <w:tcW w:w="866" w:type="dxa"/>
            <w:noWrap/>
            <w:hideMark/>
          </w:tcPr>
          <w:p w14:paraId="4BC55412" w14:textId="77777777" w:rsidR="009A7E1A" w:rsidRPr="009A7E1A" w:rsidRDefault="009A7E1A"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A7E1A">
              <w:rPr>
                <w:rFonts w:eastAsia="Times New Roman"/>
                <w:color w:val="000000"/>
              </w:rPr>
              <w:t>101-250</w:t>
            </w:r>
          </w:p>
        </w:tc>
        <w:tc>
          <w:tcPr>
            <w:tcW w:w="972" w:type="dxa"/>
            <w:noWrap/>
            <w:hideMark/>
          </w:tcPr>
          <w:p w14:paraId="6C3711A6" w14:textId="77777777" w:rsidR="009A7E1A" w:rsidRPr="009A7E1A" w:rsidRDefault="009A7E1A"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A7E1A">
              <w:rPr>
                <w:rFonts w:eastAsia="Times New Roman"/>
                <w:color w:val="000000"/>
              </w:rPr>
              <w:t>250-500</w:t>
            </w:r>
          </w:p>
        </w:tc>
        <w:tc>
          <w:tcPr>
            <w:tcW w:w="866" w:type="dxa"/>
            <w:noWrap/>
            <w:hideMark/>
          </w:tcPr>
          <w:p w14:paraId="17AD08B7" w14:textId="77777777" w:rsidR="009A7E1A" w:rsidRPr="009A7E1A" w:rsidRDefault="009A7E1A"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A7E1A">
              <w:rPr>
                <w:rFonts w:eastAsia="Times New Roman"/>
                <w:color w:val="000000"/>
              </w:rPr>
              <w:t>500+</w:t>
            </w:r>
          </w:p>
        </w:tc>
        <w:tc>
          <w:tcPr>
            <w:tcW w:w="912" w:type="dxa"/>
            <w:noWrap/>
            <w:hideMark/>
          </w:tcPr>
          <w:p w14:paraId="64340E40" w14:textId="77777777" w:rsidR="009A7E1A" w:rsidRPr="009A7E1A" w:rsidRDefault="009A7E1A"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A7E1A">
              <w:rPr>
                <w:rFonts w:eastAsia="Times New Roman"/>
                <w:color w:val="000000"/>
              </w:rPr>
              <w:t>Total</w:t>
            </w:r>
          </w:p>
        </w:tc>
      </w:tr>
      <w:tr w:rsidR="009A7E1A" w:rsidRPr="009A7E1A" w14:paraId="3BD11785" w14:textId="77777777" w:rsidTr="009A7E1A">
        <w:trPr>
          <w:trHeight w:val="245"/>
        </w:trPr>
        <w:tc>
          <w:tcPr>
            <w:cnfStyle w:val="001000000000" w:firstRow="0" w:lastRow="0" w:firstColumn="1" w:lastColumn="0" w:oddVBand="0" w:evenVBand="0" w:oddHBand="0" w:evenHBand="0" w:firstRowFirstColumn="0" w:firstRowLastColumn="0" w:lastRowFirstColumn="0" w:lastRowLastColumn="0"/>
            <w:tcW w:w="2504" w:type="dxa"/>
            <w:noWrap/>
            <w:hideMark/>
          </w:tcPr>
          <w:p w14:paraId="54746C0D" w14:textId="77777777" w:rsidR="009A7E1A" w:rsidRPr="009A7E1A" w:rsidRDefault="009A7E1A" w:rsidP="00C93734">
            <w:pPr>
              <w:spacing w:after="0"/>
              <w:jc w:val="both"/>
              <w:rPr>
                <w:rFonts w:eastAsia="Times New Roman"/>
                <w:color w:val="000000"/>
              </w:rPr>
            </w:pPr>
            <w:r w:rsidRPr="009A7E1A">
              <w:rPr>
                <w:rFonts w:eastAsia="Times New Roman"/>
                <w:color w:val="000000"/>
              </w:rPr>
              <w:t>Chemicals &amp; Process Industries</w:t>
            </w:r>
          </w:p>
        </w:tc>
        <w:tc>
          <w:tcPr>
            <w:tcW w:w="865" w:type="dxa"/>
            <w:noWrap/>
            <w:hideMark/>
          </w:tcPr>
          <w:p w14:paraId="11621C6C" w14:textId="77777777" w:rsidR="009A7E1A" w:rsidRPr="009A7E1A" w:rsidRDefault="009A7E1A"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A7E1A">
              <w:rPr>
                <w:rFonts w:eastAsia="Times New Roman"/>
                <w:color w:val="000000"/>
              </w:rPr>
              <w:t>51.4%</w:t>
            </w:r>
          </w:p>
        </w:tc>
        <w:tc>
          <w:tcPr>
            <w:tcW w:w="866" w:type="dxa"/>
            <w:noWrap/>
            <w:hideMark/>
          </w:tcPr>
          <w:p w14:paraId="7BE90BB6" w14:textId="77777777" w:rsidR="009A7E1A" w:rsidRPr="009A7E1A" w:rsidRDefault="009A7E1A"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A7E1A">
              <w:rPr>
                <w:rFonts w:eastAsia="Times New Roman"/>
                <w:color w:val="000000"/>
              </w:rPr>
              <w:t>10.8%</w:t>
            </w:r>
          </w:p>
        </w:tc>
        <w:tc>
          <w:tcPr>
            <w:tcW w:w="866" w:type="dxa"/>
            <w:noWrap/>
            <w:hideMark/>
          </w:tcPr>
          <w:p w14:paraId="367332F7" w14:textId="77777777" w:rsidR="009A7E1A" w:rsidRPr="009A7E1A" w:rsidRDefault="009A7E1A"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A7E1A">
              <w:rPr>
                <w:rFonts w:eastAsia="Times New Roman"/>
                <w:color w:val="000000"/>
              </w:rPr>
              <w:t>13.5%</w:t>
            </w:r>
          </w:p>
        </w:tc>
        <w:tc>
          <w:tcPr>
            <w:tcW w:w="866" w:type="dxa"/>
            <w:noWrap/>
            <w:hideMark/>
          </w:tcPr>
          <w:p w14:paraId="7C76EC4B" w14:textId="77777777" w:rsidR="009A7E1A" w:rsidRPr="009A7E1A" w:rsidRDefault="009A7E1A"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A7E1A">
              <w:rPr>
                <w:rFonts w:eastAsia="Times New Roman"/>
                <w:color w:val="000000"/>
              </w:rPr>
              <w:t>8.1%</w:t>
            </w:r>
          </w:p>
        </w:tc>
        <w:tc>
          <w:tcPr>
            <w:tcW w:w="866" w:type="dxa"/>
            <w:noWrap/>
            <w:hideMark/>
          </w:tcPr>
          <w:p w14:paraId="7953ECC8" w14:textId="77777777" w:rsidR="009A7E1A" w:rsidRPr="009A7E1A" w:rsidRDefault="009A7E1A"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A7E1A">
              <w:rPr>
                <w:rFonts w:eastAsia="Times New Roman"/>
                <w:color w:val="000000"/>
              </w:rPr>
              <w:t>10.8%</w:t>
            </w:r>
          </w:p>
        </w:tc>
        <w:tc>
          <w:tcPr>
            <w:tcW w:w="972" w:type="dxa"/>
            <w:noWrap/>
            <w:hideMark/>
          </w:tcPr>
          <w:p w14:paraId="23AFB875" w14:textId="77777777" w:rsidR="009A7E1A" w:rsidRPr="009A7E1A" w:rsidRDefault="009A7E1A"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A7E1A">
              <w:rPr>
                <w:rFonts w:eastAsia="Times New Roman"/>
                <w:color w:val="000000"/>
              </w:rPr>
              <w:t>5.4%</w:t>
            </w:r>
          </w:p>
        </w:tc>
        <w:tc>
          <w:tcPr>
            <w:tcW w:w="866" w:type="dxa"/>
            <w:noWrap/>
            <w:hideMark/>
          </w:tcPr>
          <w:p w14:paraId="27442776" w14:textId="77777777" w:rsidR="009A7E1A" w:rsidRPr="009A7E1A" w:rsidRDefault="009A7E1A"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A7E1A">
              <w:rPr>
                <w:rFonts w:eastAsia="Times New Roman"/>
                <w:color w:val="000000"/>
              </w:rPr>
              <w:t>0.0%</w:t>
            </w:r>
          </w:p>
        </w:tc>
        <w:tc>
          <w:tcPr>
            <w:tcW w:w="912" w:type="dxa"/>
            <w:noWrap/>
            <w:hideMark/>
          </w:tcPr>
          <w:p w14:paraId="7CAAB43A" w14:textId="77777777" w:rsidR="009A7E1A" w:rsidRPr="009A7E1A" w:rsidRDefault="009A7E1A"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A7E1A">
              <w:rPr>
                <w:rFonts w:eastAsia="Times New Roman"/>
                <w:color w:val="000000"/>
              </w:rPr>
              <w:t>100%</w:t>
            </w:r>
          </w:p>
        </w:tc>
      </w:tr>
      <w:tr w:rsidR="007E2D4C" w:rsidRPr="009A7E1A" w14:paraId="4319A0EA" w14:textId="77777777" w:rsidTr="007E2D4C">
        <w:trPr>
          <w:trHeight w:val="245"/>
        </w:trPr>
        <w:tc>
          <w:tcPr>
            <w:cnfStyle w:val="001000000000" w:firstRow="0" w:lastRow="0" w:firstColumn="1" w:lastColumn="0" w:oddVBand="0" w:evenVBand="0" w:oddHBand="0" w:evenHBand="0" w:firstRowFirstColumn="0" w:firstRowLastColumn="0" w:lastRowFirstColumn="0" w:lastRowLastColumn="0"/>
            <w:tcW w:w="2504" w:type="dxa"/>
            <w:noWrap/>
            <w:hideMark/>
          </w:tcPr>
          <w:p w14:paraId="5F802C4C" w14:textId="77777777" w:rsidR="007E2D4C" w:rsidRPr="009A7E1A" w:rsidRDefault="007E2D4C" w:rsidP="00C93734">
            <w:pPr>
              <w:spacing w:after="0"/>
              <w:jc w:val="both"/>
              <w:rPr>
                <w:rFonts w:eastAsia="Times New Roman"/>
                <w:color w:val="000000"/>
              </w:rPr>
            </w:pPr>
            <w:r>
              <w:rPr>
                <w:rFonts w:eastAsia="Times New Roman"/>
                <w:color w:val="000000"/>
              </w:rPr>
              <w:t>Wider Chemicals &amp; Process industries definition</w:t>
            </w:r>
          </w:p>
        </w:tc>
        <w:tc>
          <w:tcPr>
            <w:tcW w:w="865" w:type="dxa"/>
            <w:noWrap/>
            <w:vAlign w:val="bottom"/>
            <w:hideMark/>
          </w:tcPr>
          <w:p w14:paraId="5330376D" w14:textId="77777777" w:rsidR="007E2D4C" w:rsidRDefault="007E2D4C" w:rsidP="00C93734">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54.3%</w:t>
            </w:r>
          </w:p>
        </w:tc>
        <w:tc>
          <w:tcPr>
            <w:tcW w:w="866" w:type="dxa"/>
            <w:noWrap/>
            <w:vAlign w:val="bottom"/>
            <w:hideMark/>
          </w:tcPr>
          <w:p w14:paraId="7BCB25F0" w14:textId="77777777" w:rsidR="007E2D4C" w:rsidRDefault="007E2D4C" w:rsidP="00C93734">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11.4%</w:t>
            </w:r>
          </w:p>
        </w:tc>
        <w:tc>
          <w:tcPr>
            <w:tcW w:w="866" w:type="dxa"/>
            <w:noWrap/>
            <w:vAlign w:val="bottom"/>
            <w:hideMark/>
          </w:tcPr>
          <w:p w14:paraId="3B7B641F" w14:textId="77777777" w:rsidR="007E2D4C" w:rsidRDefault="007E2D4C" w:rsidP="00C93734">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18.6%</w:t>
            </w:r>
          </w:p>
        </w:tc>
        <w:tc>
          <w:tcPr>
            <w:tcW w:w="866" w:type="dxa"/>
            <w:noWrap/>
            <w:vAlign w:val="bottom"/>
            <w:hideMark/>
          </w:tcPr>
          <w:p w14:paraId="07BCBD86" w14:textId="77777777" w:rsidR="007E2D4C" w:rsidRDefault="007E2D4C" w:rsidP="00C93734">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5.7%</w:t>
            </w:r>
          </w:p>
        </w:tc>
        <w:tc>
          <w:tcPr>
            <w:tcW w:w="866" w:type="dxa"/>
            <w:noWrap/>
            <w:vAlign w:val="bottom"/>
            <w:hideMark/>
          </w:tcPr>
          <w:p w14:paraId="6EBF835C" w14:textId="77777777" w:rsidR="007E2D4C" w:rsidRDefault="007E2D4C" w:rsidP="00C93734">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7.1%</w:t>
            </w:r>
          </w:p>
        </w:tc>
        <w:tc>
          <w:tcPr>
            <w:tcW w:w="972" w:type="dxa"/>
            <w:noWrap/>
            <w:vAlign w:val="bottom"/>
            <w:hideMark/>
          </w:tcPr>
          <w:p w14:paraId="441F5DC7" w14:textId="77777777" w:rsidR="007E2D4C" w:rsidRDefault="007E2D4C" w:rsidP="00C93734">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2.9%</w:t>
            </w:r>
          </w:p>
        </w:tc>
        <w:tc>
          <w:tcPr>
            <w:tcW w:w="866" w:type="dxa"/>
            <w:noWrap/>
            <w:vAlign w:val="bottom"/>
            <w:hideMark/>
          </w:tcPr>
          <w:p w14:paraId="025D70CA" w14:textId="77777777" w:rsidR="007E2D4C" w:rsidRDefault="007E2D4C" w:rsidP="00C93734">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0.0%</w:t>
            </w:r>
          </w:p>
        </w:tc>
        <w:tc>
          <w:tcPr>
            <w:tcW w:w="912" w:type="dxa"/>
            <w:noWrap/>
            <w:vAlign w:val="bottom"/>
            <w:hideMark/>
          </w:tcPr>
          <w:p w14:paraId="55BCB286" w14:textId="77777777" w:rsidR="007E2D4C" w:rsidRDefault="007E2D4C" w:rsidP="00C93734">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100%</w:t>
            </w:r>
          </w:p>
        </w:tc>
      </w:tr>
      <w:tr w:rsidR="009A7E1A" w:rsidRPr="009A7E1A" w14:paraId="76EE3F06" w14:textId="77777777" w:rsidTr="009A7E1A">
        <w:trPr>
          <w:trHeight w:val="245"/>
        </w:trPr>
        <w:tc>
          <w:tcPr>
            <w:cnfStyle w:val="001000000000" w:firstRow="0" w:lastRow="0" w:firstColumn="1" w:lastColumn="0" w:oddVBand="0" w:evenVBand="0" w:oddHBand="0" w:evenHBand="0" w:firstRowFirstColumn="0" w:firstRowLastColumn="0" w:lastRowFirstColumn="0" w:lastRowLastColumn="0"/>
            <w:tcW w:w="2504" w:type="dxa"/>
            <w:noWrap/>
            <w:hideMark/>
          </w:tcPr>
          <w:p w14:paraId="493F0082" w14:textId="77777777" w:rsidR="009A7E1A" w:rsidRPr="007E2D4C" w:rsidRDefault="009A7E1A" w:rsidP="00C93734">
            <w:pPr>
              <w:spacing w:after="0"/>
              <w:jc w:val="both"/>
              <w:rPr>
                <w:rFonts w:eastAsia="Times New Roman"/>
                <w:b/>
                <w:color w:val="000000"/>
              </w:rPr>
            </w:pPr>
            <w:r w:rsidRPr="007E2D4C">
              <w:rPr>
                <w:rFonts w:eastAsia="Times New Roman"/>
                <w:b/>
                <w:color w:val="000000"/>
              </w:rPr>
              <w:t>Total</w:t>
            </w:r>
            <w:r w:rsidR="00866C9F">
              <w:rPr>
                <w:rFonts w:eastAsia="Times New Roman"/>
                <w:b/>
                <w:color w:val="000000"/>
              </w:rPr>
              <w:t xml:space="preserve"> Local Economy</w:t>
            </w:r>
          </w:p>
        </w:tc>
        <w:tc>
          <w:tcPr>
            <w:tcW w:w="865" w:type="dxa"/>
            <w:noWrap/>
            <w:hideMark/>
          </w:tcPr>
          <w:p w14:paraId="11034A5B" w14:textId="77777777" w:rsidR="009A7E1A" w:rsidRPr="007E2D4C" w:rsidRDefault="009A7E1A"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7E2D4C">
              <w:rPr>
                <w:rFonts w:eastAsia="Times New Roman"/>
                <w:b/>
                <w:color w:val="000000"/>
              </w:rPr>
              <w:t>76.4%</w:t>
            </w:r>
          </w:p>
        </w:tc>
        <w:tc>
          <w:tcPr>
            <w:tcW w:w="866" w:type="dxa"/>
            <w:noWrap/>
            <w:hideMark/>
          </w:tcPr>
          <w:p w14:paraId="46483157" w14:textId="77777777" w:rsidR="009A7E1A" w:rsidRPr="007E2D4C" w:rsidRDefault="009A7E1A"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7E2D4C">
              <w:rPr>
                <w:rFonts w:eastAsia="Times New Roman"/>
                <w:b/>
                <w:color w:val="000000"/>
              </w:rPr>
              <w:t>10.2%</w:t>
            </w:r>
          </w:p>
        </w:tc>
        <w:tc>
          <w:tcPr>
            <w:tcW w:w="866" w:type="dxa"/>
            <w:noWrap/>
            <w:hideMark/>
          </w:tcPr>
          <w:p w14:paraId="5A99BDDB" w14:textId="77777777" w:rsidR="009A7E1A" w:rsidRPr="007E2D4C" w:rsidRDefault="009A7E1A"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7E2D4C">
              <w:rPr>
                <w:rFonts w:eastAsia="Times New Roman"/>
                <w:b/>
                <w:color w:val="000000"/>
              </w:rPr>
              <w:t>8.4%</w:t>
            </w:r>
          </w:p>
        </w:tc>
        <w:tc>
          <w:tcPr>
            <w:tcW w:w="866" w:type="dxa"/>
            <w:noWrap/>
            <w:hideMark/>
          </w:tcPr>
          <w:p w14:paraId="57155FEF" w14:textId="77777777" w:rsidR="009A7E1A" w:rsidRPr="007E2D4C" w:rsidRDefault="009A7E1A"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7E2D4C">
              <w:rPr>
                <w:rFonts w:eastAsia="Times New Roman"/>
                <w:b/>
                <w:color w:val="000000"/>
              </w:rPr>
              <w:t>2.8%</w:t>
            </w:r>
          </w:p>
        </w:tc>
        <w:tc>
          <w:tcPr>
            <w:tcW w:w="866" w:type="dxa"/>
            <w:noWrap/>
            <w:hideMark/>
          </w:tcPr>
          <w:p w14:paraId="6A0E4ACF" w14:textId="77777777" w:rsidR="009A7E1A" w:rsidRPr="007E2D4C" w:rsidRDefault="009A7E1A"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7E2D4C">
              <w:rPr>
                <w:rFonts w:eastAsia="Times New Roman"/>
                <w:b/>
                <w:color w:val="000000"/>
              </w:rPr>
              <w:t>1.5%</w:t>
            </w:r>
          </w:p>
        </w:tc>
        <w:tc>
          <w:tcPr>
            <w:tcW w:w="972" w:type="dxa"/>
            <w:noWrap/>
            <w:hideMark/>
          </w:tcPr>
          <w:p w14:paraId="4158D21F" w14:textId="77777777" w:rsidR="009A7E1A" w:rsidRPr="007E2D4C" w:rsidRDefault="009A7E1A"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7E2D4C">
              <w:rPr>
                <w:rFonts w:eastAsia="Times New Roman"/>
                <w:b/>
                <w:color w:val="000000"/>
              </w:rPr>
              <w:t>0.6%</w:t>
            </w:r>
          </w:p>
        </w:tc>
        <w:tc>
          <w:tcPr>
            <w:tcW w:w="866" w:type="dxa"/>
            <w:noWrap/>
            <w:hideMark/>
          </w:tcPr>
          <w:p w14:paraId="0781D0D2" w14:textId="77777777" w:rsidR="009A7E1A" w:rsidRPr="007E2D4C" w:rsidRDefault="009A7E1A"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7E2D4C">
              <w:rPr>
                <w:rFonts w:eastAsia="Times New Roman"/>
                <w:b/>
                <w:color w:val="000000"/>
              </w:rPr>
              <w:t>0.2%</w:t>
            </w:r>
          </w:p>
        </w:tc>
        <w:tc>
          <w:tcPr>
            <w:tcW w:w="912" w:type="dxa"/>
            <w:noWrap/>
            <w:hideMark/>
          </w:tcPr>
          <w:p w14:paraId="1A34CECD" w14:textId="77777777" w:rsidR="009A7E1A" w:rsidRPr="007E2D4C" w:rsidRDefault="009A7E1A"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7E2D4C">
              <w:rPr>
                <w:rFonts w:eastAsia="Times New Roman"/>
                <w:b/>
                <w:color w:val="000000"/>
              </w:rPr>
              <w:t>100%</w:t>
            </w:r>
          </w:p>
        </w:tc>
      </w:tr>
    </w:tbl>
    <w:p w14:paraId="2CF4BDFF" w14:textId="77777777" w:rsidR="002F7137" w:rsidRDefault="00067569" w:rsidP="001B70DF">
      <w:pPr>
        <w:pStyle w:val="TableSource"/>
      </w:pPr>
      <w:r>
        <w:t>Source IDBR 2013</w:t>
      </w:r>
      <w:r w:rsidR="001B70DF">
        <w:t>.</w:t>
      </w:r>
      <w:r w:rsidR="009A7E1A">
        <w:t xml:space="preserve"> Note – the figure for 500+ is inconsistent with employment </w:t>
      </w:r>
      <w:r>
        <w:t xml:space="preserve">records above </w:t>
      </w:r>
      <w:r w:rsidR="009A7E1A">
        <w:t>and reflects the capturing of firm statistics</w:t>
      </w:r>
      <w:r>
        <w:t xml:space="preserve"> by the Government which can sometime</w:t>
      </w:r>
      <w:r w:rsidR="00BC7DFD">
        <w:t>s have multiple counts for firms</w:t>
      </w:r>
      <w:r>
        <w:t>.</w:t>
      </w:r>
      <w:r w:rsidR="00DE7E39">
        <w:t xml:space="preserve"> </w:t>
      </w:r>
    </w:p>
    <w:p w14:paraId="44299A02" w14:textId="77777777" w:rsidR="002F7137" w:rsidRDefault="002F7137" w:rsidP="00C93734">
      <w:pPr>
        <w:pStyle w:val="Heading3"/>
        <w:numPr>
          <w:ilvl w:val="2"/>
          <w:numId w:val="5"/>
        </w:numPr>
        <w:jc w:val="both"/>
      </w:pPr>
      <w:r w:rsidRPr="004C4518">
        <w:t>Sector Profile</w:t>
      </w:r>
    </w:p>
    <w:p w14:paraId="0B060550" w14:textId="77777777" w:rsidR="00F5463F" w:rsidRPr="00F103FE" w:rsidRDefault="00F5463F" w:rsidP="00C93734">
      <w:pPr>
        <w:jc w:val="both"/>
        <w:rPr>
          <w:rFonts w:cs="Arial"/>
          <w:b/>
        </w:rPr>
      </w:pPr>
      <w:r w:rsidRPr="00F103FE">
        <w:rPr>
          <w:rFonts w:cs="Arial"/>
          <w:b/>
        </w:rPr>
        <w:t>Output</w:t>
      </w:r>
    </w:p>
    <w:p w14:paraId="01068597" w14:textId="77777777" w:rsidR="00F5463F" w:rsidRDefault="00BC7DFD" w:rsidP="00C93734">
      <w:pPr>
        <w:jc w:val="both"/>
        <w:rPr>
          <w:rFonts w:cs="Arial"/>
        </w:rPr>
      </w:pPr>
      <w:r>
        <w:rPr>
          <w:rFonts w:cs="Arial"/>
        </w:rPr>
        <w:t>Based on the sample business survey, t</w:t>
      </w:r>
      <w:r w:rsidR="00F5463F">
        <w:rPr>
          <w:rFonts w:cs="Arial"/>
        </w:rPr>
        <w:t xml:space="preserve">he </w:t>
      </w:r>
      <w:r w:rsidR="00142DA6">
        <w:rPr>
          <w:rFonts w:cs="Arial"/>
        </w:rPr>
        <w:t xml:space="preserve">chemicals </w:t>
      </w:r>
      <w:r w:rsidR="00F5463F">
        <w:rPr>
          <w:rFonts w:cs="Arial"/>
        </w:rPr>
        <w:t xml:space="preserve">and </w:t>
      </w:r>
      <w:r w:rsidR="00142DA6">
        <w:rPr>
          <w:rFonts w:cs="Arial"/>
        </w:rPr>
        <w:t xml:space="preserve">process </w:t>
      </w:r>
      <w:r w:rsidR="00F5463F">
        <w:rPr>
          <w:rFonts w:cs="Arial"/>
        </w:rPr>
        <w:t>sector contributes</w:t>
      </w:r>
      <w:r>
        <w:rPr>
          <w:rFonts w:cs="Arial"/>
        </w:rPr>
        <w:t xml:space="preserve"> approximately</w:t>
      </w:r>
      <w:r w:rsidR="00F5463F">
        <w:rPr>
          <w:rFonts w:cs="Arial"/>
        </w:rPr>
        <w:t xml:space="preserve"> £310 million to the local economy’s GDP.</w:t>
      </w:r>
      <w:r w:rsidR="00D87435">
        <w:rPr>
          <w:rFonts w:cs="Arial"/>
        </w:rPr>
        <w:t xml:space="preserve"> This is equivalent to approximately </w:t>
      </w:r>
      <w:r w:rsidR="00E5672C">
        <w:rPr>
          <w:rFonts w:cs="Arial"/>
        </w:rPr>
        <w:t>10</w:t>
      </w:r>
      <w:r w:rsidR="00D87435">
        <w:rPr>
          <w:rFonts w:cs="Arial"/>
        </w:rPr>
        <w:t>% of the</w:t>
      </w:r>
      <w:r w:rsidR="00E5672C">
        <w:rPr>
          <w:rFonts w:cs="Arial"/>
        </w:rPr>
        <w:t xml:space="preserve"> total</w:t>
      </w:r>
      <w:r w:rsidR="00D87435">
        <w:rPr>
          <w:rFonts w:cs="Arial"/>
        </w:rPr>
        <w:t xml:space="preserve"> </w:t>
      </w:r>
      <w:r w:rsidR="0009664C">
        <w:rPr>
          <w:rFonts w:cs="Arial"/>
        </w:rPr>
        <w:t>NEL</w:t>
      </w:r>
      <w:r w:rsidR="0038652B">
        <w:rPr>
          <w:rFonts w:cs="Arial"/>
        </w:rPr>
        <w:t xml:space="preserve"> </w:t>
      </w:r>
      <w:r w:rsidR="00D87435">
        <w:rPr>
          <w:rFonts w:cs="Arial"/>
        </w:rPr>
        <w:t>economy</w:t>
      </w:r>
      <w:r w:rsidR="0038652B">
        <w:rPr>
          <w:rFonts w:cs="Arial"/>
        </w:rPr>
        <w:t xml:space="preserve"> (</w:t>
      </w:r>
      <w:r w:rsidR="0038652B">
        <w:t>£3,021 million)</w:t>
      </w:r>
      <w:r w:rsidR="00F5463F">
        <w:rPr>
          <w:rFonts w:cs="Arial"/>
        </w:rPr>
        <w:t>.</w:t>
      </w:r>
      <w:r w:rsidR="00F5463F" w:rsidRPr="00AD417A">
        <w:rPr>
          <w:rFonts w:cs="Arial"/>
        </w:rPr>
        <w:t xml:space="preserve"> </w:t>
      </w:r>
      <w:r w:rsidR="00F5463F">
        <w:rPr>
          <w:rFonts w:cs="Arial"/>
        </w:rPr>
        <w:t>The sector is also significant for GVA output providing</w:t>
      </w:r>
      <w:r w:rsidR="00D87435">
        <w:rPr>
          <w:rFonts w:cs="Arial"/>
        </w:rPr>
        <w:t xml:space="preserve"> added value of</w:t>
      </w:r>
      <w:r w:rsidR="00F5463F">
        <w:rPr>
          <w:rFonts w:cs="Arial"/>
        </w:rPr>
        <w:t xml:space="preserve"> £180</w:t>
      </w:r>
      <w:r w:rsidR="0009664C">
        <w:rPr>
          <w:rFonts w:cs="Arial"/>
        </w:rPr>
        <w:t xml:space="preserve"> </w:t>
      </w:r>
      <w:r w:rsidR="00F5463F">
        <w:rPr>
          <w:rFonts w:cs="Arial"/>
        </w:rPr>
        <w:t xml:space="preserve">million to the local economy. </w:t>
      </w:r>
    </w:p>
    <w:p w14:paraId="723F95D1" w14:textId="77777777" w:rsidR="00F5463F" w:rsidRDefault="00F5463F" w:rsidP="00C93734">
      <w:pPr>
        <w:pStyle w:val="Caption"/>
        <w:jc w:val="both"/>
      </w:pPr>
      <w:r>
        <w:t xml:space="preserve">Table </w:t>
      </w:r>
      <w:fldSimple w:instr=" STYLEREF 1 \s  \* MERGEFORMAT ">
        <w:r w:rsidR="00E95E1A">
          <w:rPr>
            <w:noProof/>
          </w:rPr>
          <w:t>6</w:t>
        </w:r>
      </w:fldSimple>
      <w:r>
        <w:t>-</w:t>
      </w:r>
      <w:fldSimple w:instr=" SEQ Table \* ARABIC \s 1  \* MERGEFORMAT ">
        <w:r w:rsidR="00E95E1A">
          <w:rPr>
            <w:noProof/>
          </w:rPr>
          <w:t>2</w:t>
        </w:r>
      </w:fldSimple>
      <w:r>
        <w:tab/>
      </w:r>
      <w:r w:rsidR="001B70DF">
        <w:t xml:space="preserve">Chemicals &amp; Process Industries </w:t>
      </w:r>
      <w:r w:rsidR="00E5672C">
        <w:t xml:space="preserve">Economic Contribution </w:t>
      </w:r>
    </w:p>
    <w:tbl>
      <w:tblPr>
        <w:tblStyle w:val="Atkins14pt"/>
        <w:tblW w:w="9072" w:type="dxa"/>
        <w:tblLayout w:type="fixed"/>
        <w:tblLook w:val="04A0" w:firstRow="1" w:lastRow="0" w:firstColumn="1" w:lastColumn="0" w:noHBand="0" w:noVBand="1"/>
      </w:tblPr>
      <w:tblGrid>
        <w:gridCol w:w="1134"/>
        <w:gridCol w:w="1323"/>
        <w:gridCol w:w="1323"/>
        <w:gridCol w:w="1323"/>
        <w:gridCol w:w="1323"/>
        <w:gridCol w:w="1323"/>
        <w:gridCol w:w="1323"/>
      </w:tblGrid>
      <w:tr w:rsidR="006E52FE" w:rsidRPr="00023F68" w14:paraId="1390FEAD" w14:textId="77777777" w:rsidTr="006E52FE">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134" w:type="dxa"/>
            <w:noWrap/>
            <w:hideMark/>
          </w:tcPr>
          <w:p w14:paraId="0C637A53" w14:textId="77777777" w:rsidR="006E52FE" w:rsidRPr="00023F68" w:rsidRDefault="006E52FE" w:rsidP="00C93734">
            <w:pPr>
              <w:spacing w:after="120"/>
              <w:jc w:val="both"/>
              <w:rPr>
                <w:color w:val="000000"/>
                <w:sz w:val="18"/>
              </w:rPr>
            </w:pPr>
            <w:r>
              <w:rPr>
                <w:color w:val="000000"/>
                <w:sz w:val="18"/>
              </w:rPr>
              <w:t>Sector</w:t>
            </w:r>
          </w:p>
        </w:tc>
        <w:tc>
          <w:tcPr>
            <w:tcW w:w="1323" w:type="dxa"/>
            <w:noWrap/>
            <w:hideMark/>
          </w:tcPr>
          <w:p w14:paraId="5F5889DB" w14:textId="77777777" w:rsidR="006E52FE" w:rsidRPr="00023F68" w:rsidRDefault="006E52FE"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023F68">
              <w:rPr>
                <w:color w:val="000000"/>
                <w:sz w:val="18"/>
              </w:rPr>
              <w:t>GDP</w:t>
            </w:r>
          </w:p>
        </w:tc>
        <w:tc>
          <w:tcPr>
            <w:tcW w:w="1323" w:type="dxa"/>
            <w:noWrap/>
            <w:hideMark/>
          </w:tcPr>
          <w:p w14:paraId="62AD903E" w14:textId="77777777" w:rsidR="006E52FE" w:rsidRPr="00023F68" w:rsidRDefault="006E52FE"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023F68">
              <w:rPr>
                <w:color w:val="000000"/>
                <w:sz w:val="18"/>
              </w:rPr>
              <w:t>Total Purchases</w:t>
            </w:r>
          </w:p>
        </w:tc>
        <w:tc>
          <w:tcPr>
            <w:tcW w:w="1323" w:type="dxa"/>
            <w:noWrap/>
            <w:hideMark/>
          </w:tcPr>
          <w:p w14:paraId="378373C4" w14:textId="77777777" w:rsidR="006E52FE" w:rsidRPr="00023F68" w:rsidRDefault="006E52FE"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023F68">
              <w:rPr>
                <w:color w:val="000000"/>
                <w:sz w:val="18"/>
              </w:rPr>
              <w:t>Payroll</w:t>
            </w:r>
          </w:p>
        </w:tc>
        <w:tc>
          <w:tcPr>
            <w:tcW w:w="1323" w:type="dxa"/>
            <w:noWrap/>
            <w:hideMark/>
          </w:tcPr>
          <w:p w14:paraId="48FCE67E" w14:textId="77777777" w:rsidR="006E52FE" w:rsidRPr="00023F68" w:rsidRDefault="006E52FE"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023F68">
              <w:rPr>
                <w:color w:val="000000"/>
                <w:sz w:val="18"/>
              </w:rPr>
              <w:t>Land or property</w:t>
            </w:r>
          </w:p>
        </w:tc>
        <w:tc>
          <w:tcPr>
            <w:tcW w:w="1323" w:type="dxa"/>
            <w:noWrap/>
            <w:hideMark/>
          </w:tcPr>
          <w:p w14:paraId="292343C5" w14:textId="77777777" w:rsidR="006E52FE" w:rsidRPr="00023F68" w:rsidRDefault="006E52FE"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023F68">
              <w:rPr>
                <w:color w:val="000000"/>
                <w:sz w:val="18"/>
              </w:rPr>
              <w:t>Gross Profit</w:t>
            </w:r>
          </w:p>
        </w:tc>
        <w:tc>
          <w:tcPr>
            <w:tcW w:w="1323" w:type="dxa"/>
            <w:noWrap/>
            <w:hideMark/>
          </w:tcPr>
          <w:p w14:paraId="48EBA7CB" w14:textId="77777777" w:rsidR="006E52FE" w:rsidRPr="00023F68" w:rsidRDefault="006E52FE"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023F68">
              <w:rPr>
                <w:color w:val="000000"/>
                <w:sz w:val="18"/>
              </w:rPr>
              <w:t>GVA</w:t>
            </w:r>
          </w:p>
        </w:tc>
      </w:tr>
      <w:tr w:rsidR="006E52FE" w:rsidRPr="00023F68" w14:paraId="398F64C1" w14:textId="77777777" w:rsidTr="006E52FE">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3C86E3DA" w14:textId="77777777" w:rsidR="006E52FE" w:rsidRPr="00023F68" w:rsidRDefault="006E52FE" w:rsidP="00C93734">
            <w:pPr>
              <w:spacing w:after="120"/>
              <w:jc w:val="both"/>
              <w:rPr>
                <w:color w:val="000000"/>
                <w:sz w:val="18"/>
              </w:rPr>
            </w:pPr>
            <w:r w:rsidRPr="00023F68">
              <w:rPr>
                <w:color w:val="000000"/>
                <w:sz w:val="18"/>
              </w:rPr>
              <w:t>Chemicals &amp; process industries</w:t>
            </w:r>
          </w:p>
        </w:tc>
        <w:tc>
          <w:tcPr>
            <w:tcW w:w="1323" w:type="dxa"/>
            <w:noWrap/>
            <w:hideMark/>
          </w:tcPr>
          <w:p w14:paraId="1DDFF418" w14:textId="77777777" w:rsidR="006E52FE" w:rsidRPr="00023F68" w:rsidRDefault="006E52FE"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23F68">
              <w:rPr>
                <w:color w:val="000000"/>
                <w:sz w:val="18"/>
              </w:rPr>
              <w:t>£310,829,800</w:t>
            </w:r>
          </w:p>
        </w:tc>
        <w:tc>
          <w:tcPr>
            <w:tcW w:w="1323" w:type="dxa"/>
            <w:noWrap/>
            <w:hideMark/>
          </w:tcPr>
          <w:p w14:paraId="33A404A7" w14:textId="77777777" w:rsidR="006E52FE" w:rsidRPr="00023F68" w:rsidRDefault="006E52FE"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23F68">
              <w:rPr>
                <w:color w:val="000000"/>
                <w:sz w:val="18"/>
              </w:rPr>
              <w:t>£107,624,818</w:t>
            </w:r>
          </w:p>
        </w:tc>
        <w:tc>
          <w:tcPr>
            <w:tcW w:w="1323" w:type="dxa"/>
            <w:noWrap/>
            <w:hideMark/>
          </w:tcPr>
          <w:p w14:paraId="36533C88" w14:textId="77777777" w:rsidR="006E52FE" w:rsidRPr="00023F68" w:rsidRDefault="006E52FE"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23F68">
              <w:rPr>
                <w:color w:val="000000"/>
                <w:sz w:val="18"/>
              </w:rPr>
              <w:t>£124,677,286</w:t>
            </w:r>
          </w:p>
        </w:tc>
        <w:tc>
          <w:tcPr>
            <w:tcW w:w="1323" w:type="dxa"/>
            <w:noWrap/>
            <w:hideMark/>
          </w:tcPr>
          <w:p w14:paraId="3245FA49" w14:textId="77777777" w:rsidR="006E52FE" w:rsidRPr="00023F68" w:rsidRDefault="006E52FE"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23F68">
              <w:rPr>
                <w:color w:val="000000"/>
                <w:sz w:val="18"/>
              </w:rPr>
              <w:t>£30,694,443</w:t>
            </w:r>
          </w:p>
        </w:tc>
        <w:tc>
          <w:tcPr>
            <w:tcW w:w="1323" w:type="dxa"/>
            <w:noWrap/>
            <w:hideMark/>
          </w:tcPr>
          <w:p w14:paraId="419F83EF" w14:textId="77777777" w:rsidR="006E52FE" w:rsidRPr="00023F68" w:rsidRDefault="006E52FE"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23F68">
              <w:rPr>
                <w:color w:val="000000"/>
                <w:sz w:val="18"/>
              </w:rPr>
              <w:t>£55,560,827</w:t>
            </w:r>
          </w:p>
        </w:tc>
        <w:tc>
          <w:tcPr>
            <w:tcW w:w="1323" w:type="dxa"/>
            <w:noWrap/>
            <w:hideMark/>
          </w:tcPr>
          <w:p w14:paraId="1F953142" w14:textId="77777777" w:rsidR="006E52FE" w:rsidRPr="00023F68" w:rsidRDefault="006E52FE"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23F68">
              <w:rPr>
                <w:color w:val="000000"/>
                <w:sz w:val="18"/>
              </w:rPr>
              <w:t>£180,238,113</w:t>
            </w:r>
          </w:p>
        </w:tc>
      </w:tr>
      <w:tr w:rsidR="006E52FE" w:rsidRPr="00023F68" w14:paraId="77C26891" w14:textId="77777777" w:rsidTr="006E52FE">
        <w:trPr>
          <w:trHeight w:val="255"/>
        </w:trPr>
        <w:tc>
          <w:tcPr>
            <w:cnfStyle w:val="001000000000" w:firstRow="0" w:lastRow="0" w:firstColumn="1" w:lastColumn="0" w:oddVBand="0" w:evenVBand="0" w:oddHBand="0" w:evenHBand="0" w:firstRowFirstColumn="0" w:firstRowLastColumn="0" w:lastRowFirstColumn="0" w:lastRowLastColumn="0"/>
            <w:tcW w:w="1134" w:type="dxa"/>
            <w:shd w:val="clear" w:color="auto" w:fill="E6E4DE" w:themeFill="accent6"/>
            <w:noWrap/>
            <w:hideMark/>
          </w:tcPr>
          <w:p w14:paraId="4D19074B" w14:textId="77777777" w:rsidR="006E52FE" w:rsidRPr="00023F68" w:rsidRDefault="006E52FE" w:rsidP="00C93734">
            <w:pPr>
              <w:spacing w:after="120"/>
              <w:jc w:val="both"/>
              <w:rPr>
                <w:color w:val="000000"/>
                <w:sz w:val="18"/>
              </w:rPr>
            </w:pPr>
            <w:r>
              <w:rPr>
                <w:color w:val="000000"/>
                <w:sz w:val="18"/>
              </w:rPr>
              <w:t>All key sectors</w:t>
            </w:r>
          </w:p>
        </w:tc>
        <w:tc>
          <w:tcPr>
            <w:tcW w:w="1323" w:type="dxa"/>
            <w:shd w:val="clear" w:color="auto" w:fill="E6E4DE" w:themeFill="accent6"/>
            <w:noWrap/>
            <w:hideMark/>
          </w:tcPr>
          <w:p w14:paraId="5439B784" w14:textId="77777777" w:rsidR="006E52FE" w:rsidRPr="000B1890" w:rsidRDefault="006E52FE" w:rsidP="006E52FE">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£1,740,618,300 </w:t>
            </w:r>
          </w:p>
        </w:tc>
        <w:tc>
          <w:tcPr>
            <w:tcW w:w="1323" w:type="dxa"/>
            <w:shd w:val="clear" w:color="auto" w:fill="E6E4DE" w:themeFill="accent6"/>
            <w:noWrap/>
            <w:hideMark/>
          </w:tcPr>
          <w:p w14:paraId="454212AD" w14:textId="77777777" w:rsidR="006E52FE" w:rsidRPr="000B1890" w:rsidRDefault="006E52FE" w:rsidP="006E52FE">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 £687,591,325 </w:t>
            </w:r>
          </w:p>
        </w:tc>
        <w:tc>
          <w:tcPr>
            <w:tcW w:w="1323" w:type="dxa"/>
            <w:shd w:val="clear" w:color="auto" w:fill="E6E4DE" w:themeFill="accent6"/>
            <w:noWrap/>
            <w:hideMark/>
          </w:tcPr>
          <w:p w14:paraId="12D35AE1" w14:textId="77777777" w:rsidR="006E52FE" w:rsidRPr="000B1890" w:rsidRDefault="006E52FE" w:rsidP="006E52FE">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 £464,748,498 </w:t>
            </w:r>
          </w:p>
        </w:tc>
        <w:tc>
          <w:tcPr>
            <w:tcW w:w="1323" w:type="dxa"/>
            <w:shd w:val="clear" w:color="auto" w:fill="E6E4DE" w:themeFill="accent6"/>
            <w:noWrap/>
            <w:hideMark/>
          </w:tcPr>
          <w:p w14:paraId="51523005" w14:textId="77777777" w:rsidR="006E52FE" w:rsidRPr="000B1890" w:rsidRDefault="006E52FE" w:rsidP="006E52FE">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 £182,392,375 </w:t>
            </w:r>
          </w:p>
        </w:tc>
        <w:tc>
          <w:tcPr>
            <w:tcW w:w="1323" w:type="dxa"/>
            <w:shd w:val="clear" w:color="auto" w:fill="E6E4DE" w:themeFill="accent6"/>
            <w:noWrap/>
            <w:hideMark/>
          </w:tcPr>
          <w:p w14:paraId="59091831" w14:textId="77777777" w:rsidR="006E52FE" w:rsidRPr="000B1890" w:rsidRDefault="006E52FE" w:rsidP="006E52FE">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 £448,059,002 </w:t>
            </w:r>
          </w:p>
        </w:tc>
        <w:tc>
          <w:tcPr>
            <w:tcW w:w="1323" w:type="dxa"/>
            <w:shd w:val="clear" w:color="auto" w:fill="E6E4DE" w:themeFill="accent6"/>
            <w:noWrap/>
            <w:hideMark/>
          </w:tcPr>
          <w:p w14:paraId="4CF1EA9D" w14:textId="77777777" w:rsidR="006E52FE" w:rsidRPr="000B1890" w:rsidRDefault="006E52FE" w:rsidP="006E52FE">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 £912,807,499 </w:t>
            </w:r>
          </w:p>
        </w:tc>
      </w:tr>
    </w:tbl>
    <w:p w14:paraId="78327337" w14:textId="77777777" w:rsidR="00F5463F" w:rsidRPr="002805F3" w:rsidRDefault="00F5463F" w:rsidP="00C93734">
      <w:pPr>
        <w:pStyle w:val="TableSource"/>
        <w:jc w:val="both"/>
      </w:pPr>
      <w:r w:rsidRPr="002805F3">
        <w:t xml:space="preserve">Source: Hill Taylor &amp; Atkins 2013. Atkins Ref: Survey – A5.1/L20. </w:t>
      </w:r>
    </w:p>
    <w:p w14:paraId="427AFE97" w14:textId="77777777" w:rsidR="00F5463F" w:rsidRPr="00F103FE" w:rsidRDefault="00F5463F" w:rsidP="00C93734">
      <w:pPr>
        <w:jc w:val="both"/>
        <w:rPr>
          <w:rFonts w:cs="Arial"/>
          <w:b/>
        </w:rPr>
      </w:pPr>
      <w:r w:rsidRPr="00F103FE">
        <w:rPr>
          <w:rFonts w:cs="Arial"/>
          <w:b/>
        </w:rPr>
        <w:t xml:space="preserve">Employment </w:t>
      </w:r>
    </w:p>
    <w:p w14:paraId="0385B935" w14:textId="77777777" w:rsidR="00F5463F" w:rsidRDefault="00F5463F" w:rsidP="00C93734">
      <w:pPr>
        <w:jc w:val="both"/>
        <w:rPr>
          <w:rFonts w:cs="Arial"/>
        </w:rPr>
      </w:pPr>
      <w:r>
        <w:rPr>
          <w:rFonts w:cs="Arial"/>
        </w:rPr>
        <w:t>The sector also contribu</w:t>
      </w:r>
      <w:r w:rsidR="00D87435">
        <w:rPr>
          <w:rFonts w:cs="Arial"/>
        </w:rPr>
        <w:t xml:space="preserve">tes significantly to local and regional employment, providing around </w:t>
      </w:r>
      <w:r>
        <w:rPr>
          <w:rFonts w:cs="Arial"/>
        </w:rPr>
        <w:t xml:space="preserve">2,230 </w:t>
      </w:r>
      <w:r w:rsidR="00D87435">
        <w:rPr>
          <w:rFonts w:cs="Arial"/>
        </w:rPr>
        <w:t xml:space="preserve">direct </w:t>
      </w:r>
      <w:r>
        <w:rPr>
          <w:rFonts w:cs="Arial"/>
        </w:rPr>
        <w:t>jobs</w:t>
      </w:r>
      <w:r>
        <w:rPr>
          <w:rStyle w:val="FootnoteReference"/>
          <w:rFonts w:cs="Arial"/>
        </w:rPr>
        <w:footnoteReference w:id="18"/>
      </w:r>
      <w:r>
        <w:rPr>
          <w:rFonts w:cs="Arial"/>
        </w:rPr>
        <w:t xml:space="preserve">, 4,080 indirect jobs </w:t>
      </w:r>
      <w:r w:rsidR="00D87435">
        <w:rPr>
          <w:rFonts w:cs="Arial"/>
        </w:rPr>
        <w:t>and a further 2,450 induced jobs.</w:t>
      </w:r>
    </w:p>
    <w:p w14:paraId="3C1ECB45" w14:textId="77777777" w:rsidR="00F5463F" w:rsidRDefault="00F5463F" w:rsidP="00C93734">
      <w:pPr>
        <w:pStyle w:val="Caption"/>
        <w:jc w:val="both"/>
      </w:pPr>
      <w:r>
        <w:t xml:space="preserve">Table </w:t>
      </w:r>
      <w:fldSimple w:instr=" STYLEREF 1 \s  \* MERGEFORMAT ">
        <w:r w:rsidR="00E95E1A">
          <w:rPr>
            <w:noProof/>
          </w:rPr>
          <w:t>6</w:t>
        </w:r>
      </w:fldSimple>
      <w:r>
        <w:t>-</w:t>
      </w:r>
      <w:fldSimple w:instr=" SEQ Table \* ARABIC \s 1  \* MERGEFORMAT ">
        <w:r w:rsidR="00E95E1A">
          <w:rPr>
            <w:noProof/>
          </w:rPr>
          <w:t>3</w:t>
        </w:r>
      </w:fldSimple>
      <w:r>
        <w:tab/>
        <w:t>Key Sector Employment Summary</w:t>
      </w:r>
      <w:r w:rsidR="001B70DF">
        <w:t xml:space="preserve"> – Chemicals &amp; Process Industries</w:t>
      </w:r>
    </w:p>
    <w:tbl>
      <w:tblPr>
        <w:tblStyle w:val="Atkins14pt"/>
        <w:tblW w:w="4280" w:type="dxa"/>
        <w:tblLook w:val="04A0" w:firstRow="1" w:lastRow="0" w:firstColumn="1" w:lastColumn="0" w:noHBand="0" w:noVBand="1"/>
      </w:tblPr>
      <w:tblGrid>
        <w:gridCol w:w="3222"/>
        <w:gridCol w:w="1058"/>
      </w:tblGrid>
      <w:tr w:rsidR="00D87435" w:rsidRPr="00AD417A" w14:paraId="597A1D1E" w14:textId="77777777" w:rsidTr="00D87435">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3222" w:type="dxa"/>
            <w:shd w:val="clear" w:color="auto" w:fill="BED600" w:themeFill="accent1"/>
            <w:noWrap/>
            <w:hideMark/>
          </w:tcPr>
          <w:p w14:paraId="0468E592" w14:textId="77777777" w:rsidR="00D87435" w:rsidRPr="00AD417A" w:rsidRDefault="00D87435" w:rsidP="00C93734">
            <w:pPr>
              <w:jc w:val="both"/>
              <w:rPr>
                <w:rFonts w:eastAsia="Times New Roman"/>
                <w:b w:val="0"/>
                <w:bCs/>
                <w:color w:val="000000"/>
              </w:rPr>
            </w:pPr>
            <w:r w:rsidRPr="00AD417A">
              <w:rPr>
                <w:rFonts w:eastAsia="Times New Roman"/>
                <w:bCs/>
                <w:color w:val="000000"/>
              </w:rPr>
              <w:t>Geography</w:t>
            </w:r>
          </w:p>
        </w:tc>
        <w:tc>
          <w:tcPr>
            <w:tcW w:w="1058" w:type="dxa"/>
            <w:shd w:val="clear" w:color="auto" w:fill="BED600" w:themeFill="accent1"/>
            <w:noWrap/>
            <w:hideMark/>
          </w:tcPr>
          <w:p w14:paraId="473BBACD" w14:textId="77777777" w:rsidR="00D87435" w:rsidRPr="00AD417A" w:rsidRDefault="00D87435" w:rsidP="00C93734">
            <w:pPr>
              <w:jc w:val="both"/>
              <w:cnfStyle w:val="100000000000" w:firstRow="1" w:lastRow="0" w:firstColumn="0" w:lastColumn="0" w:oddVBand="0" w:evenVBand="0" w:oddHBand="0" w:evenHBand="0" w:firstRowFirstColumn="0" w:firstRowLastColumn="0" w:lastRowFirstColumn="0" w:lastRowLastColumn="0"/>
              <w:rPr>
                <w:rFonts w:eastAsia="Times New Roman"/>
                <w:b w:val="0"/>
                <w:bCs/>
                <w:color w:val="000000"/>
              </w:rPr>
            </w:pPr>
            <w:r w:rsidRPr="00AD417A">
              <w:rPr>
                <w:rFonts w:eastAsia="Times New Roman"/>
                <w:bCs/>
                <w:color w:val="000000"/>
              </w:rPr>
              <w:t>Chemicals &amp; process industries</w:t>
            </w:r>
          </w:p>
        </w:tc>
      </w:tr>
      <w:tr w:rsidR="00D87435" w:rsidRPr="00AD417A" w14:paraId="73405DB2" w14:textId="77777777" w:rsidTr="00D87435">
        <w:trPr>
          <w:trHeight w:val="270"/>
        </w:trPr>
        <w:tc>
          <w:tcPr>
            <w:cnfStyle w:val="001000000000" w:firstRow="0" w:lastRow="0" w:firstColumn="1" w:lastColumn="0" w:oddVBand="0" w:evenVBand="0" w:oddHBand="0" w:evenHBand="0" w:firstRowFirstColumn="0" w:firstRowLastColumn="0" w:lastRowFirstColumn="0" w:lastRowLastColumn="0"/>
            <w:tcW w:w="3222" w:type="dxa"/>
            <w:shd w:val="clear" w:color="auto" w:fill="E6E4DE" w:themeFill="accent6"/>
            <w:noWrap/>
            <w:hideMark/>
          </w:tcPr>
          <w:p w14:paraId="3CBBEF26" w14:textId="77777777" w:rsidR="00D87435" w:rsidRPr="00AD417A" w:rsidRDefault="009D5E00" w:rsidP="00C93734">
            <w:pPr>
              <w:jc w:val="both"/>
              <w:rPr>
                <w:rFonts w:eastAsia="Times New Roman"/>
                <w:b/>
                <w:bCs/>
                <w:color w:val="000000"/>
              </w:rPr>
            </w:pPr>
            <w:r>
              <w:rPr>
                <w:rFonts w:eastAsia="Times New Roman"/>
                <w:b/>
                <w:bCs/>
                <w:color w:val="000000"/>
              </w:rPr>
              <w:t>Direct</w:t>
            </w:r>
            <w:r w:rsidRPr="00AD417A">
              <w:rPr>
                <w:rFonts w:eastAsia="Times New Roman"/>
                <w:b/>
                <w:bCs/>
                <w:color w:val="000000"/>
              </w:rPr>
              <w:t xml:space="preserve"> </w:t>
            </w:r>
            <w:r w:rsidR="00D87435" w:rsidRPr="00AD417A">
              <w:rPr>
                <w:rFonts w:eastAsia="Times New Roman"/>
                <w:b/>
                <w:bCs/>
                <w:color w:val="000000"/>
              </w:rPr>
              <w:t>Jobs</w:t>
            </w:r>
          </w:p>
        </w:tc>
        <w:tc>
          <w:tcPr>
            <w:tcW w:w="1058" w:type="dxa"/>
            <w:shd w:val="clear" w:color="auto" w:fill="E6E4DE" w:themeFill="accent6"/>
            <w:hideMark/>
          </w:tcPr>
          <w:p w14:paraId="10D26A30" w14:textId="77777777" w:rsidR="00D87435" w:rsidRPr="00AD417A" w:rsidRDefault="00D87435"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417A">
              <w:rPr>
                <w:rFonts w:eastAsia="Times New Roman"/>
                <w:color w:val="000000"/>
              </w:rPr>
              <w:t> </w:t>
            </w:r>
          </w:p>
        </w:tc>
      </w:tr>
      <w:tr w:rsidR="00D87435" w:rsidRPr="00AD417A" w14:paraId="1C0C651A" w14:textId="77777777" w:rsidTr="00D87435">
        <w:trPr>
          <w:trHeight w:val="270"/>
        </w:trPr>
        <w:tc>
          <w:tcPr>
            <w:cnfStyle w:val="001000000000" w:firstRow="0" w:lastRow="0" w:firstColumn="1" w:lastColumn="0" w:oddVBand="0" w:evenVBand="0" w:oddHBand="0" w:evenHBand="0" w:firstRowFirstColumn="0" w:firstRowLastColumn="0" w:lastRowFirstColumn="0" w:lastRowLastColumn="0"/>
            <w:tcW w:w="3222" w:type="dxa"/>
            <w:noWrap/>
            <w:hideMark/>
          </w:tcPr>
          <w:p w14:paraId="07576097" w14:textId="77777777" w:rsidR="00D87435" w:rsidRPr="00AD417A" w:rsidRDefault="00D87435" w:rsidP="00C93734">
            <w:pPr>
              <w:jc w:val="both"/>
              <w:rPr>
                <w:rFonts w:eastAsia="Times New Roman"/>
                <w:color w:val="000000"/>
              </w:rPr>
            </w:pPr>
            <w:r w:rsidRPr="00AD417A">
              <w:rPr>
                <w:rFonts w:eastAsia="Times New Roman"/>
                <w:color w:val="000000"/>
              </w:rPr>
              <w:t>North East Lincolnshire</w:t>
            </w:r>
          </w:p>
        </w:tc>
        <w:tc>
          <w:tcPr>
            <w:tcW w:w="1058" w:type="dxa"/>
            <w:noWrap/>
            <w:hideMark/>
          </w:tcPr>
          <w:p w14:paraId="3E213C20" w14:textId="77777777" w:rsidR="00D87435" w:rsidRPr="00AD417A" w:rsidRDefault="00D87435"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417A">
              <w:rPr>
                <w:rFonts w:eastAsia="Times New Roman"/>
                <w:color w:val="000000"/>
              </w:rPr>
              <w:t>2,230</w:t>
            </w:r>
          </w:p>
        </w:tc>
      </w:tr>
      <w:tr w:rsidR="00D87435" w:rsidRPr="00AD417A" w14:paraId="13F5B979" w14:textId="77777777" w:rsidTr="00D87435">
        <w:trPr>
          <w:trHeight w:val="270"/>
        </w:trPr>
        <w:tc>
          <w:tcPr>
            <w:cnfStyle w:val="001000000000" w:firstRow="0" w:lastRow="0" w:firstColumn="1" w:lastColumn="0" w:oddVBand="0" w:evenVBand="0" w:oddHBand="0" w:evenHBand="0" w:firstRowFirstColumn="0" w:firstRowLastColumn="0" w:lastRowFirstColumn="0" w:lastRowLastColumn="0"/>
            <w:tcW w:w="3222" w:type="dxa"/>
            <w:shd w:val="clear" w:color="auto" w:fill="E6E4DE" w:themeFill="accent6"/>
            <w:noWrap/>
            <w:hideMark/>
          </w:tcPr>
          <w:p w14:paraId="228F693E" w14:textId="77777777" w:rsidR="00D87435" w:rsidRPr="00AD417A" w:rsidRDefault="00D87435" w:rsidP="00C93734">
            <w:pPr>
              <w:jc w:val="both"/>
              <w:rPr>
                <w:rFonts w:eastAsia="Times New Roman"/>
                <w:b/>
                <w:bCs/>
                <w:color w:val="000000"/>
              </w:rPr>
            </w:pPr>
            <w:r w:rsidRPr="00AD417A">
              <w:rPr>
                <w:rFonts w:eastAsia="Times New Roman"/>
                <w:b/>
                <w:bCs/>
                <w:color w:val="000000"/>
              </w:rPr>
              <w:t>Indirect Jobs</w:t>
            </w:r>
          </w:p>
        </w:tc>
        <w:tc>
          <w:tcPr>
            <w:tcW w:w="1058" w:type="dxa"/>
            <w:shd w:val="clear" w:color="auto" w:fill="E6E4DE" w:themeFill="accent6"/>
            <w:hideMark/>
          </w:tcPr>
          <w:p w14:paraId="72C53E58" w14:textId="77777777" w:rsidR="00D87435" w:rsidRPr="00AD417A" w:rsidRDefault="00D87435"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417A">
              <w:rPr>
                <w:rFonts w:eastAsia="Times New Roman"/>
                <w:color w:val="000000"/>
              </w:rPr>
              <w:t> </w:t>
            </w:r>
          </w:p>
        </w:tc>
      </w:tr>
      <w:tr w:rsidR="00D87435" w:rsidRPr="00AD417A" w14:paraId="65F45D45" w14:textId="77777777" w:rsidTr="00D87435">
        <w:trPr>
          <w:trHeight w:val="270"/>
        </w:trPr>
        <w:tc>
          <w:tcPr>
            <w:cnfStyle w:val="001000000000" w:firstRow="0" w:lastRow="0" w:firstColumn="1" w:lastColumn="0" w:oddVBand="0" w:evenVBand="0" w:oddHBand="0" w:evenHBand="0" w:firstRowFirstColumn="0" w:firstRowLastColumn="0" w:lastRowFirstColumn="0" w:lastRowLastColumn="0"/>
            <w:tcW w:w="3222" w:type="dxa"/>
            <w:noWrap/>
            <w:hideMark/>
          </w:tcPr>
          <w:p w14:paraId="54D9020A" w14:textId="77777777" w:rsidR="00D87435" w:rsidRPr="00AD417A" w:rsidRDefault="00D87435" w:rsidP="00C93734">
            <w:pPr>
              <w:jc w:val="both"/>
              <w:rPr>
                <w:rFonts w:eastAsia="Times New Roman"/>
                <w:color w:val="000000"/>
              </w:rPr>
            </w:pPr>
            <w:r w:rsidRPr="00AD417A">
              <w:rPr>
                <w:rFonts w:eastAsia="Times New Roman"/>
                <w:color w:val="000000"/>
              </w:rPr>
              <w:t>N.&amp; N.E Lincolnshire &amp; Humber</w:t>
            </w:r>
          </w:p>
        </w:tc>
        <w:tc>
          <w:tcPr>
            <w:tcW w:w="1058" w:type="dxa"/>
            <w:noWrap/>
            <w:hideMark/>
          </w:tcPr>
          <w:p w14:paraId="2430247C" w14:textId="77777777" w:rsidR="00D87435" w:rsidRPr="00AD417A" w:rsidRDefault="00D87435"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417A">
              <w:rPr>
                <w:rFonts w:eastAsia="Times New Roman"/>
                <w:color w:val="000000"/>
              </w:rPr>
              <w:t>1,300</w:t>
            </w:r>
          </w:p>
        </w:tc>
      </w:tr>
      <w:tr w:rsidR="00D87435" w:rsidRPr="00AD417A" w14:paraId="67A8DC3E" w14:textId="77777777" w:rsidTr="00D87435">
        <w:trPr>
          <w:trHeight w:val="270"/>
        </w:trPr>
        <w:tc>
          <w:tcPr>
            <w:cnfStyle w:val="001000000000" w:firstRow="0" w:lastRow="0" w:firstColumn="1" w:lastColumn="0" w:oddVBand="0" w:evenVBand="0" w:oddHBand="0" w:evenHBand="0" w:firstRowFirstColumn="0" w:firstRowLastColumn="0" w:lastRowFirstColumn="0" w:lastRowLastColumn="0"/>
            <w:tcW w:w="3222" w:type="dxa"/>
            <w:noWrap/>
            <w:hideMark/>
          </w:tcPr>
          <w:p w14:paraId="6AAB110E" w14:textId="77777777" w:rsidR="00D87435" w:rsidRPr="00AD417A" w:rsidRDefault="00D87435" w:rsidP="00C93734">
            <w:pPr>
              <w:jc w:val="both"/>
              <w:rPr>
                <w:rFonts w:eastAsia="Times New Roman"/>
                <w:color w:val="000000"/>
              </w:rPr>
            </w:pPr>
            <w:r w:rsidRPr="00AD417A">
              <w:rPr>
                <w:rFonts w:eastAsia="Times New Roman"/>
                <w:color w:val="000000"/>
              </w:rPr>
              <w:t>Elsewhere in Yorkshire and Humber</w:t>
            </w:r>
          </w:p>
        </w:tc>
        <w:tc>
          <w:tcPr>
            <w:tcW w:w="1058" w:type="dxa"/>
            <w:noWrap/>
            <w:hideMark/>
          </w:tcPr>
          <w:p w14:paraId="3FBA42FE" w14:textId="77777777" w:rsidR="00D87435" w:rsidRPr="00AD417A" w:rsidRDefault="00D87435"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417A">
              <w:rPr>
                <w:rFonts w:eastAsia="Times New Roman"/>
                <w:color w:val="000000"/>
              </w:rPr>
              <w:t>800</w:t>
            </w:r>
          </w:p>
        </w:tc>
      </w:tr>
      <w:tr w:rsidR="00D87435" w:rsidRPr="00AD417A" w14:paraId="544A72E0" w14:textId="77777777" w:rsidTr="00D87435">
        <w:trPr>
          <w:trHeight w:val="270"/>
        </w:trPr>
        <w:tc>
          <w:tcPr>
            <w:cnfStyle w:val="001000000000" w:firstRow="0" w:lastRow="0" w:firstColumn="1" w:lastColumn="0" w:oddVBand="0" w:evenVBand="0" w:oddHBand="0" w:evenHBand="0" w:firstRowFirstColumn="0" w:firstRowLastColumn="0" w:lastRowFirstColumn="0" w:lastRowLastColumn="0"/>
            <w:tcW w:w="3222" w:type="dxa"/>
            <w:noWrap/>
            <w:hideMark/>
          </w:tcPr>
          <w:p w14:paraId="54162BC9" w14:textId="77777777" w:rsidR="00D87435" w:rsidRPr="00AD417A" w:rsidRDefault="00D87435" w:rsidP="00C93734">
            <w:pPr>
              <w:jc w:val="both"/>
              <w:rPr>
                <w:rFonts w:eastAsia="Times New Roman"/>
                <w:color w:val="000000"/>
              </w:rPr>
            </w:pPr>
            <w:r w:rsidRPr="00AD417A">
              <w:rPr>
                <w:rFonts w:eastAsia="Times New Roman"/>
                <w:color w:val="000000"/>
              </w:rPr>
              <w:t>Outside L/H</w:t>
            </w:r>
          </w:p>
        </w:tc>
        <w:tc>
          <w:tcPr>
            <w:tcW w:w="1058" w:type="dxa"/>
            <w:noWrap/>
            <w:hideMark/>
          </w:tcPr>
          <w:p w14:paraId="719AA21F" w14:textId="77777777" w:rsidR="00D87435" w:rsidRPr="00AD417A" w:rsidRDefault="00D87435"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417A">
              <w:rPr>
                <w:rFonts w:eastAsia="Times New Roman"/>
                <w:color w:val="000000"/>
              </w:rPr>
              <w:t>1,980</w:t>
            </w:r>
          </w:p>
        </w:tc>
      </w:tr>
      <w:tr w:rsidR="00D87435" w:rsidRPr="00AD417A" w14:paraId="167D78C1" w14:textId="77777777" w:rsidTr="009D5E00">
        <w:trPr>
          <w:trHeight w:val="270"/>
        </w:trPr>
        <w:tc>
          <w:tcPr>
            <w:cnfStyle w:val="001000000000" w:firstRow="0" w:lastRow="0" w:firstColumn="1" w:lastColumn="0" w:oddVBand="0" w:evenVBand="0" w:oddHBand="0" w:evenHBand="0" w:firstRowFirstColumn="0" w:firstRowLastColumn="0" w:lastRowFirstColumn="0" w:lastRowLastColumn="0"/>
            <w:tcW w:w="3222" w:type="dxa"/>
            <w:shd w:val="clear" w:color="auto" w:fill="auto"/>
            <w:noWrap/>
            <w:hideMark/>
          </w:tcPr>
          <w:p w14:paraId="4725DFB4" w14:textId="77777777" w:rsidR="00D87435" w:rsidRPr="00AD417A" w:rsidRDefault="00D87435" w:rsidP="00C93734">
            <w:pPr>
              <w:jc w:val="both"/>
              <w:rPr>
                <w:rFonts w:eastAsia="Times New Roman"/>
                <w:b/>
                <w:bCs/>
                <w:color w:val="000000"/>
              </w:rPr>
            </w:pPr>
            <w:r w:rsidRPr="00AD417A">
              <w:rPr>
                <w:rFonts w:eastAsia="Times New Roman"/>
                <w:b/>
                <w:bCs/>
                <w:color w:val="000000"/>
              </w:rPr>
              <w:t>Total</w:t>
            </w:r>
          </w:p>
        </w:tc>
        <w:tc>
          <w:tcPr>
            <w:tcW w:w="1058" w:type="dxa"/>
            <w:shd w:val="clear" w:color="auto" w:fill="auto"/>
            <w:noWrap/>
            <w:hideMark/>
          </w:tcPr>
          <w:p w14:paraId="1303DE8D" w14:textId="77777777" w:rsidR="00D87435" w:rsidRPr="00AD417A" w:rsidRDefault="00D87435" w:rsidP="00C93734">
            <w:pPr>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AD417A">
              <w:rPr>
                <w:rFonts w:eastAsia="Times New Roman"/>
                <w:b/>
                <w:bCs/>
                <w:color w:val="000000"/>
              </w:rPr>
              <w:t>4,080</w:t>
            </w:r>
          </w:p>
        </w:tc>
      </w:tr>
      <w:tr w:rsidR="00D87435" w:rsidRPr="00AD417A" w14:paraId="7E4553D2" w14:textId="77777777" w:rsidTr="00D87435">
        <w:trPr>
          <w:trHeight w:val="270"/>
        </w:trPr>
        <w:tc>
          <w:tcPr>
            <w:cnfStyle w:val="001000000000" w:firstRow="0" w:lastRow="0" w:firstColumn="1" w:lastColumn="0" w:oddVBand="0" w:evenVBand="0" w:oddHBand="0" w:evenHBand="0" w:firstRowFirstColumn="0" w:firstRowLastColumn="0" w:lastRowFirstColumn="0" w:lastRowLastColumn="0"/>
            <w:tcW w:w="3222" w:type="dxa"/>
            <w:shd w:val="clear" w:color="auto" w:fill="E6E4DE" w:themeFill="accent6"/>
            <w:noWrap/>
            <w:hideMark/>
          </w:tcPr>
          <w:p w14:paraId="668E3A0F" w14:textId="77777777" w:rsidR="00D87435" w:rsidRPr="00AD417A" w:rsidRDefault="00D87435" w:rsidP="00C93734">
            <w:pPr>
              <w:jc w:val="both"/>
              <w:rPr>
                <w:rFonts w:eastAsia="Times New Roman"/>
                <w:b/>
                <w:bCs/>
                <w:color w:val="000000"/>
              </w:rPr>
            </w:pPr>
            <w:r w:rsidRPr="00AD417A">
              <w:rPr>
                <w:rFonts w:eastAsia="Times New Roman"/>
                <w:b/>
                <w:bCs/>
                <w:color w:val="000000"/>
              </w:rPr>
              <w:t>Induced</w:t>
            </w:r>
          </w:p>
        </w:tc>
        <w:tc>
          <w:tcPr>
            <w:tcW w:w="1058" w:type="dxa"/>
            <w:shd w:val="clear" w:color="auto" w:fill="E6E4DE" w:themeFill="accent6"/>
            <w:hideMark/>
          </w:tcPr>
          <w:p w14:paraId="79564942" w14:textId="77777777" w:rsidR="00D87435" w:rsidRPr="00AD417A" w:rsidRDefault="00D87435"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417A">
              <w:rPr>
                <w:rFonts w:eastAsia="Times New Roman"/>
                <w:color w:val="000000"/>
              </w:rPr>
              <w:t> </w:t>
            </w:r>
          </w:p>
        </w:tc>
      </w:tr>
      <w:tr w:rsidR="00D87435" w:rsidRPr="00AD417A" w14:paraId="1138A35E" w14:textId="77777777" w:rsidTr="00D87435">
        <w:trPr>
          <w:trHeight w:val="270"/>
        </w:trPr>
        <w:tc>
          <w:tcPr>
            <w:cnfStyle w:val="001000000000" w:firstRow="0" w:lastRow="0" w:firstColumn="1" w:lastColumn="0" w:oddVBand="0" w:evenVBand="0" w:oddHBand="0" w:evenHBand="0" w:firstRowFirstColumn="0" w:firstRowLastColumn="0" w:lastRowFirstColumn="0" w:lastRowLastColumn="0"/>
            <w:tcW w:w="3222" w:type="dxa"/>
            <w:noWrap/>
            <w:hideMark/>
          </w:tcPr>
          <w:p w14:paraId="44ADA064" w14:textId="77777777" w:rsidR="00D87435" w:rsidRPr="00AD417A" w:rsidRDefault="00D87435" w:rsidP="00C93734">
            <w:pPr>
              <w:jc w:val="both"/>
              <w:rPr>
                <w:rFonts w:eastAsia="Times New Roman"/>
                <w:color w:val="000000"/>
              </w:rPr>
            </w:pPr>
            <w:r w:rsidRPr="00AD417A">
              <w:rPr>
                <w:rFonts w:eastAsia="Times New Roman"/>
                <w:color w:val="000000"/>
              </w:rPr>
              <w:t>N.&amp; N.E Lincolnshire &amp; Humber</w:t>
            </w:r>
          </w:p>
        </w:tc>
        <w:tc>
          <w:tcPr>
            <w:tcW w:w="1058" w:type="dxa"/>
            <w:noWrap/>
            <w:hideMark/>
          </w:tcPr>
          <w:p w14:paraId="53EEF4F8" w14:textId="77777777" w:rsidR="00D87435" w:rsidRPr="00AD417A" w:rsidRDefault="00D87435"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417A">
              <w:rPr>
                <w:rFonts w:eastAsia="Times New Roman"/>
                <w:color w:val="000000"/>
              </w:rPr>
              <w:t>780</w:t>
            </w:r>
          </w:p>
        </w:tc>
      </w:tr>
      <w:tr w:rsidR="00D87435" w:rsidRPr="00AD417A" w14:paraId="44491EE6" w14:textId="77777777" w:rsidTr="00D87435">
        <w:trPr>
          <w:trHeight w:val="270"/>
        </w:trPr>
        <w:tc>
          <w:tcPr>
            <w:cnfStyle w:val="001000000000" w:firstRow="0" w:lastRow="0" w:firstColumn="1" w:lastColumn="0" w:oddVBand="0" w:evenVBand="0" w:oddHBand="0" w:evenHBand="0" w:firstRowFirstColumn="0" w:firstRowLastColumn="0" w:lastRowFirstColumn="0" w:lastRowLastColumn="0"/>
            <w:tcW w:w="3222" w:type="dxa"/>
            <w:noWrap/>
            <w:hideMark/>
          </w:tcPr>
          <w:p w14:paraId="44DFF563" w14:textId="77777777" w:rsidR="00D87435" w:rsidRPr="00AD417A" w:rsidRDefault="00D87435" w:rsidP="00C93734">
            <w:pPr>
              <w:jc w:val="both"/>
              <w:rPr>
                <w:rFonts w:eastAsia="Times New Roman"/>
                <w:color w:val="000000"/>
              </w:rPr>
            </w:pPr>
            <w:r w:rsidRPr="00AD417A">
              <w:rPr>
                <w:rFonts w:eastAsia="Times New Roman"/>
                <w:color w:val="000000"/>
              </w:rPr>
              <w:t>Elsewhere in Yorkshire and Humber</w:t>
            </w:r>
          </w:p>
        </w:tc>
        <w:tc>
          <w:tcPr>
            <w:tcW w:w="1058" w:type="dxa"/>
            <w:noWrap/>
            <w:hideMark/>
          </w:tcPr>
          <w:p w14:paraId="5ED59F32" w14:textId="77777777" w:rsidR="00D87435" w:rsidRPr="00AD417A" w:rsidRDefault="00D87435"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417A">
              <w:rPr>
                <w:rFonts w:eastAsia="Times New Roman"/>
                <w:color w:val="000000"/>
              </w:rPr>
              <w:t>480</w:t>
            </w:r>
          </w:p>
        </w:tc>
      </w:tr>
      <w:tr w:rsidR="00D87435" w:rsidRPr="00AD417A" w14:paraId="4206D52A" w14:textId="77777777" w:rsidTr="00D87435">
        <w:trPr>
          <w:trHeight w:val="270"/>
        </w:trPr>
        <w:tc>
          <w:tcPr>
            <w:cnfStyle w:val="001000000000" w:firstRow="0" w:lastRow="0" w:firstColumn="1" w:lastColumn="0" w:oddVBand="0" w:evenVBand="0" w:oddHBand="0" w:evenHBand="0" w:firstRowFirstColumn="0" w:firstRowLastColumn="0" w:lastRowFirstColumn="0" w:lastRowLastColumn="0"/>
            <w:tcW w:w="3222" w:type="dxa"/>
            <w:noWrap/>
            <w:hideMark/>
          </w:tcPr>
          <w:p w14:paraId="4433404F" w14:textId="77777777" w:rsidR="00D87435" w:rsidRPr="00AD417A" w:rsidRDefault="00D87435" w:rsidP="00C93734">
            <w:pPr>
              <w:jc w:val="both"/>
              <w:rPr>
                <w:rFonts w:eastAsia="Times New Roman"/>
                <w:color w:val="000000"/>
              </w:rPr>
            </w:pPr>
            <w:r w:rsidRPr="00AD417A">
              <w:rPr>
                <w:rFonts w:eastAsia="Times New Roman"/>
                <w:color w:val="000000"/>
              </w:rPr>
              <w:t>Outside Yorkshire</w:t>
            </w:r>
          </w:p>
        </w:tc>
        <w:tc>
          <w:tcPr>
            <w:tcW w:w="1058" w:type="dxa"/>
            <w:noWrap/>
            <w:hideMark/>
          </w:tcPr>
          <w:p w14:paraId="7D36FFF8" w14:textId="77777777" w:rsidR="00D87435" w:rsidRPr="00AD417A" w:rsidRDefault="00D87435" w:rsidP="00C9373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417A">
              <w:rPr>
                <w:rFonts w:eastAsia="Times New Roman"/>
                <w:color w:val="000000"/>
              </w:rPr>
              <w:t>1,190</w:t>
            </w:r>
          </w:p>
        </w:tc>
      </w:tr>
      <w:tr w:rsidR="002E0D85" w:rsidRPr="00AD417A" w14:paraId="10A38361" w14:textId="77777777" w:rsidTr="00D87435">
        <w:trPr>
          <w:trHeight w:val="270"/>
        </w:trPr>
        <w:tc>
          <w:tcPr>
            <w:cnfStyle w:val="001000000000" w:firstRow="0" w:lastRow="0" w:firstColumn="1" w:lastColumn="0" w:oddVBand="0" w:evenVBand="0" w:oddHBand="0" w:evenHBand="0" w:firstRowFirstColumn="0" w:firstRowLastColumn="0" w:lastRowFirstColumn="0" w:lastRowLastColumn="0"/>
            <w:tcW w:w="3222" w:type="dxa"/>
            <w:noWrap/>
            <w:hideMark/>
          </w:tcPr>
          <w:p w14:paraId="1B2C80B4" w14:textId="77777777" w:rsidR="002E0D85" w:rsidRPr="002E0D85" w:rsidRDefault="00347DF8" w:rsidP="00C93734">
            <w:pPr>
              <w:jc w:val="both"/>
              <w:rPr>
                <w:rFonts w:eastAsia="Times New Roman"/>
                <w:b/>
                <w:color w:val="000000"/>
              </w:rPr>
            </w:pPr>
            <w:r w:rsidRPr="00347DF8">
              <w:rPr>
                <w:rFonts w:eastAsia="Times New Roman"/>
                <w:b/>
                <w:color w:val="000000"/>
              </w:rPr>
              <w:t>Total</w:t>
            </w:r>
          </w:p>
        </w:tc>
        <w:tc>
          <w:tcPr>
            <w:tcW w:w="1058" w:type="dxa"/>
            <w:noWrap/>
            <w:hideMark/>
          </w:tcPr>
          <w:p w14:paraId="15524811" w14:textId="77777777" w:rsidR="002E0D85" w:rsidRPr="002E0D85" w:rsidRDefault="00347DF8" w:rsidP="00C93734">
            <w:pPr>
              <w:jc w:val="both"/>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347DF8">
              <w:rPr>
                <w:rFonts w:eastAsia="Times New Roman"/>
                <w:b/>
                <w:color w:val="000000"/>
              </w:rPr>
              <w:t>2,450</w:t>
            </w:r>
          </w:p>
        </w:tc>
      </w:tr>
      <w:tr w:rsidR="00D87435" w:rsidRPr="00AD417A" w14:paraId="5949A4F6" w14:textId="77777777" w:rsidTr="00D87435">
        <w:trPr>
          <w:trHeight w:val="270"/>
        </w:trPr>
        <w:tc>
          <w:tcPr>
            <w:cnfStyle w:val="001000000000" w:firstRow="0" w:lastRow="0" w:firstColumn="1" w:lastColumn="0" w:oddVBand="0" w:evenVBand="0" w:oddHBand="0" w:evenHBand="0" w:firstRowFirstColumn="0" w:firstRowLastColumn="0" w:lastRowFirstColumn="0" w:lastRowLastColumn="0"/>
            <w:tcW w:w="3222" w:type="dxa"/>
            <w:shd w:val="clear" w:color="auto" w:fill="E6E4DE" w:themeFill="accent6"/>
            <w:noWrap/>
            <w:hideMark/>
          </w:tcPr>
          <w:p w14:paraId="6BF3D37D" w14:textId="77777777" w:rsidR="00D87435" w:rsidRPr="00AD417A" w:rsidRDefault="00D87435" w:rsidP="00C93734">
            <w:pPr>
              <w:jc w:val="both"/>
              <w:rPr>
                <w:rFonts w:eastAsia="Times New Roman"/>
                <w:b/>
                <w:bCs/>
                <w:color w:val="000000"/>
              </w:rPr>
            </w:pPr>
            <w:r w:rsidRPr="00AD417A">
              <w:rPr>
                <w:rFonts w:eastAsia="Times New Roman"/>
                <w:b/>
                <w:bCs/>
                <w:color w:val="000000"/>
              </w:rPr>
              <w:t xml:space="preserve">Total </w:t>
            </w:r>
          </w:p>
        </w:tc>
        <w:tc>
          <w:tcPr>
            <w:tcW w:w="1058" w:type="dxa"/>
            <w:shd w:val="clear" w:color="auto" w:fill="E6E4DE" w:themeFill="accent6"/>
            <w:noWrap/>
            <w:hideMark/>
          </w:tcPr>
          <w:p w14:paraId="0405458B" w14:textId="77777777" w:rsidR="00D87435" w:rsidRPr="00AD417A" w:rsidRDefault="00D87435" w:rsidP="00C93734">
            <w:pPr>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AD417A">
              <w:rPr>
                <w:rFonts w:eastAsia="Times New Roman"/>
                <w:b/>
                <w:bCs/>
                <w:color w:val="000000"/>
              </w:rPr>
              <w:t>8,760</w:t>
            </w:r>
          </w:p>
        </w:tc>
      </w:tr>
    </w:tbl>
    <w:p w14:paraId="794A456F" w14:textId="77777777" w:rsidR="00F5463F" w:rsidRPr="002805F3" w:rsidRDefault="00F5463F" w:rsidP="00C93734">
      <w:pPr>
        <w:pStyle w:val="TableSource"/>
        <w:jc w:val="both"/>
      </w:pPr>
      <w:r w:rsidRPr="002805F3">
        <w:t>Source: Atkins 2013. Atkins Ref: Survey –A9-A11. Figures rounded.</w:t>
      </w:r>
    </w:p>
    <w:p w14:paraId="3156ABE3" w14:textId="77777777" w:rsidR="00F5463F" w:rsidRDefault="00F5463F" w:rsidP="00C93734">
      <w:pPr>
        <w:jc w:val="both"/>
        <w:rPr>
          <w:rFonts w:cs="Arial"/>
          <w:b/>
        </w:rPr>
      </w:pPr>
      <w:r w:rsidRPr="00F103FE">
        <w:rPr>
          <w:rFonts w:cs="Arial"/>
          <w:b/>
        </w:rPr>
        <w:t>Supply chain</w:t>
      </w:r>
    </w:p>
    <w:p w14:paraId="650CE0FB" w14:textId="77777777" w:rsidR="00F5463F" w:rsidRPr="00AD417A" w:rsidRDefault="00F5463F" w:rsidP="00C93734">
      <w:pPr>
        <w:jc w:val="both"/>
        <w:rPr>
          <w:rFonts w:cs="Arial"/>
        </w:rPr>
      </w:pPr>
      <w:r w:rsidRPr="00AD417A">
        <w:rPr>
          <w:rFonts w:cs="Arial"/>
        </w:rPr>
        <w:t>Turnover within the sector is split between purchases, payroll, land a</w:t>
      </w:r>
      <w:r>
        <w:rPr>
          <w:rFonts w:cs="Arial"/>
        </w:rPr>
        <w:t xml:space="preserve">nd property. </w:t>
      </w:r>
      <w:r w:rsidRPr="00AD417A">
        <w:rPr>
          <w:rFonts w:cs="Arial"/>
        </w:rPr>
        <w:t>This shows that payroll (40%) is one of the main costs for businesses</w:t>
      </w:r>
      <w:r w:rsidR="00D87435">
        <w:rPr>
          <w:rFonts w:cs="Arial"/>
        </w:rPr>
        <w:t xml:space="preserve"> which reflects</w:t>
      </w:r>
      <w:r w:rsidRPr="00AD417A">
        <w:rPr>
          <w:rFonts w:cs="Arial"/>
        </w:rPr>
        <w:t xml:space="preserve"> </w:t>
      </w:r>
      <w:r w:rsidR="00142DA6">
        <w:rPr>
          <w:rFonts w:cs="Arial"/>
        </w:rPr>
        <w:t xml:space="preserve">both </w:t>
      </w:r>
      <w:r w:rsidRPr="00AD417A">
        <w:rPr>
          <w:rFonts w:cs="Arial"/>
        </w:rPr>
        <w:t xml:space="preserve">the </w:t>
      </w:r>
      <w:r w:rsidR="0009664C">
        <w:rPr>
          <w:rFonts w:cs="Arial"/>
        </w:rPr>
        <w:t xml:space="preserve">requirement for skilled workers </w:t>
      </w:r>
      <w:r w:rsidR="005F3B05">
        <w:rPr>
          <w:rFonts w:cs="Arial"/>
        </w:rPr>
        <w:t xml:space="preserve">and high number </w:t>
      </w:r>
      <w:r w:rsidR="00D87435">
        <w:rPr>
          <w:rFonts w:cs="Arial"/>
        </w:rPr>
        <w:t>of workers</w:t>
      </w:r>
      <w:r w:rsidR="0009664C">
        <w:rPr>
          <w:rFonts w:cs="Arial"/>
        </w:rPr>
        <w:t xml:space="preserve"> overall</w:t>
      </w:r>
      <w:r w:rsidR="00D87435">
        <w:rPr>
          <w:rFonts w:cs="Arial"/>
        </w:rPr>
        <w:t xml:space="preserve"> in the ind</w:t>
      </w:r>
      <w:r w:rsidRPr="00AD417A">
        <w:rPr>
          <w:rFonts w:cs="Arial"/>
        </w:rPr>
        <w:t>ustry</w:t>
      </w:r>
      <w:r w:rsidR="00D87435">
        <w:rPr>
          <w:rFonts w:cs="Arial"/>
        </w:rPr>
        <w:t>.</w:t>
      </w:r>
    </w:p>
    <w:p w14:paraId="3A1FDBE5" w14:textId="77777777" w:rsidR="00F5463F" w:rsidRDefault="00CA56EB" w:rsidP="00C93734">
      <w:pPr>
        <w:pStyle w:val="Caption"/>
        <w:jc w:val="both"/>
      </w:pPr>
      <w:r>
        <w:t xml:space="preserve">Table </w:t>
      </w:r>
      <w:fldSimple w:instr=" STYLEREF 1 \s  \* MERGEFORMAT ">
        <w:r w:rsidR="00E95E1A">
          <w:rPr>
            <w:noProof/>
          </w:rPr>
          <w:t>6</w:t>
        </w:r>
      </w:fldSimple>
      <w:r>
        <w:t>-</w:t>
      </w:r>
      <w:fldSimple w:instr=" SEQ Table \* ARABIC \s 1  \* MERGEFORMAT ">
        <w:r w:rsidR="00E95E1A">
          <w:rPr>
            <w:noProof/>
          </w:rPr>
          <w:t>4</w:t>
        </w:r>
      </w:fldSimple>
      <w:r>
        <w:tab/>
      </w:r>
      <w:r w:rsidR="00F5463F">
        <w:t xml:space="preserve">Breakdown of Annual Turnover </w:t>
      </w:r>
    </w:p>
    <w:tbl>
      <w:tblPr>
        <w:tblStyle w:val="Atkins14pt"/>
        <w:tblW w:w="3402" w:type="dxa"/>
        <w:tblLayout w:type="fixed"/>
        <w:tblLook w:val="04A0" w:firstRow="1" w:lastRow="0" w:firstColumn="1" w:lastColumn="0" w:noHBand="0" w:noVBand="1"/>
      </w:tblPr>
      <w:tblGrid>
        <w:gridCol w:w="1843"/>
        <w:gridCol w:w="1559"/>
      </w:tblGrid>
      <w:tr w:rsidR="00F5463F" w:rsidRPr="00DC3863" w14:paraId="311B7C0C" w14:textId="77777777" w:rsidTr="00F5473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843" w:type="dxa"/>
            <w:noWrap/>
            <w:hideMark/>
          </w:tcPr>
          <w:p w14:paraId="7343AA71" w14:textId="77777777" w:rsidR="00F5463F" w:rsidRPr="00DC3863" w:rsidRDefault="00F5463F" w:rsidP="00C93734">
            <w:pPr>
              <w:pStyle w:val="TableHeading"/>
              <w:jc w:val="both"/>
              <w:rPr>
                <w:color w:val="394A58"/>
              </w:rPr>
            </w:pPr>
          </w:p>
        </w:tc>
        <w:tc>
          <w:tcPr>
            <w:tcW w:w="1559" w:type="dxa"/>
            <w:noWrap/>
            <w:hideMark/>
          </w:tcPr>
          <w:p w14:paraId="05EEB17B" w14:textId="77777777" w:rsidR="00F5463F" w:rsidRPr="00DC3863" w:rsidRDefault="00F5463F" w:rsidP="00C93734">
            <w:pPr>
              <w:pStyle w:val="TableHeading"/>
              <w:jc w:val="both"/>
              <w:cnfStyle w:val="100000000000" w:firstRow="1" w:lastRow="0" w:firstColumn="0" w:lastColumn="0" w:oddVBand="0" w:evenVBand="0" w:oddHBand="0" w:evenHBand="0" w:firstRowFirstColumn="0" w:firstRowLastColumn="0" w:lastRowFirstColumn="0" w:lastRowLastColumn="0"/>
              <w:rPr>
                <w:color w:val="auto"/>
              </w:rPr>
            </w:pPr>
            <w:r w:rsidRPr="00DC3863">
              <w:rPr>
                <w:color w:val="auto"/>
              </w:rPr>
              <w:t>Chemicals &amp; process industries</w:t>
            </w:r>
          </w:p>
        </w:tc>
      </w:tr>
      <w:tr w:rsidR="00F5463F" w:rsidRPr="00DC3863" w14:paraId="7C9F5246"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672B353" w14:textId="77777777" w:rsidR="00F5463F" w:rsidRPr="00DC3863" w:rsidRDefault="00F5463F" w:rsidP="00C93734">
            <w:pPr>
              <w:pStyle w:val="TableHeading"/>
              <w:ind w:right="202"/>
              <w:jc w:val="both"/>
              <w:rPr>
                <w:b w:val="0"/>
                <w:color w:val="auto"/>
              </w:rPr>
            </w:pPr>
            <w:r w:rsidRPr="00DC3863">
              <w:rPr>
                <w:b w:val="0"/>
                <w:color w:val="auto"/>
              </w:rPr>
              <w:t>Total Purchases</w:t>
            </w:r>
          </w:p>
        </w:tc>
        <w:tc>
          <w:tcPr>
            <w:tcW w:w="1559" w:type="dxa"/>
            <w:noWrap/>
            <w:hideMark/>
          </w:tcPr>
          <w:p w14:paraId="79563E42" w14:textId="77777777" w:rsidR="00F5463F" w:rsidRPr="00DC3863" w:rsidRDefault="00F5463F"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34.6%</w:t>
            </w:r>
          </w:p>
        </w:tc>
      </w:tr>
      <w:tr w:rsidR="00F5463F" w:rsidRPr="00DC3863" w14:paraId="60132DAF"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72441A4" w14:textId="77777777" w:rsidR="00F5463F" w:rsidRPr="00DC3863" w:rsidRDefault="00F5463F" w:rsidP="00C93734">
            <w:pPr>
              <w:pStyle w:val="TableHeading"/>
              <w:ind w:right="202"/>
              <w:jc w:val="both"/>
              <w:rPr>
                <w:b w:val="0"/>
                <w:color w:val="auto"/>
              </w:rPr>
            </w:pPr>
            <w:r w:rsidRPr="00DC3863">
              <w:rPr>
                <w:b w:val="0"/>
                <w:color w:val="auto"/>
              </w:rPr>
              <w:t>Payroll</w:t>
            </w:r>
          </w:p>
        </w:tc>
        <w:tc>
          <w:tcPr>
            <w:tcW w:w="1559" w:type="dxa"/>
            <w:noWrap/>
            <w:hideMark/>
          </w:tcPr>
          <w:p w14:paraId="14F6EDF3" w14:textId="77777777" w:rsidR="00F5463F" w:rsidRPr="00DC3863" w:rsidRDefault="00F5463F"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40.1%</w:t>
            </w:r>
          </w:p>
        </w:tc>
      </w:tr>
      <w:tr w:rsidR="00F5463F" w:rsidRPr="00DC3863" w14:paraId="57552CD5"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ACC8B6F" w14:textId="77777777" w:rsidR="00F5463F" w:rsidRPr="00DC3863" w:rsidRDefault="00F5463F" w:rsidP="00C93734">
            <w:pPr>
              <w:pStyle w:val="TableHeading"/>
              <w:ind w:right="202"/>
              <w:jc w:val="both"/>
              <w:rPr>
                <w:b w:val="0"/>
                <w:color w:val="auto"/>
              </w:rPr>
            </w:pPr>
            <w:r w:rsidRPr="00DC3863">
              <w:rPr>
                <w:b w:val="0"/>
                <w:color w:val="auto"/>
              </w:rPr>
              <w:t>Land property</w:t>
            </w:r>
          </w:p>
        </w:tc>
        <w:tc>
          <w:tcPr>
            <w:tcW w:w="1559" w:type="dxa"/>
            <w:noWrap/>
            <w:hideMark/>
          </w:tcPr>
          <w:p w14:paraId="740DFAA3" w14:textId="77777777" w:rsidR="00F5463F" w:rsidRPr="00DC3863" w:rsidRDefault="00F5463F"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9.9%</w:t>
            </w:r>
          </w:p>
        </w:tc>
      </w:tr>
      <w:tr w:rsidR="00F5463F" w:rsidRPr="00DC3863" w14:paraId="29ECC872"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9A5DDB0" w14:textId="77777777" w:rsidR="00F5463F" w:rsidRPr="00DC3863" w:rsidRDefault="00F5463F" w:rsidP="00C93734">
            <w:pPr>
              <w:pStyle w:val="TableHeading"/>
              <w:ind w:right="202"/>
              <w:jc w:val="both"/>
              <w:rPr>
                <w:b w:val="0"/>
                <w:color w:val="auto"/>
              </w:rPr>
            </w:pPr>
            <w:r w:rsidRPr="00DC3863">
              <w:rPr>
                <w:b w:val="0"/>
                <w:color w:val="auto"/>
              </w:rPr>
              <w:t>Gross Profit</w:t>
            </w:r>
          </w:p>
        </w:tc>
        <w:tc>
          <w:tcPr>
            <w:tcW w:w="1559" w:type="dxa"/>
            <w:noWrap/>
            <w:hideMark/>
          </w:tcPr>
          <w:p w14:paraId="6B36A1DF" w14:textId="77777777" w:rsidR="00F5463F" w:rsidRPr="00DC3863" w:rsidRDefault="00F5463F"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17.9%</w:t>
            </w:r>
          </w:p>
        </w:tc>
      </w:tr>
    </w:tbl>
    <w:p w14:paraId="7BD28E8F" w14:textId="77777777" w:rsidR="00F5463F" w:rsidRPr="002805F3" w:rsidRDefault="00F5463F" w:rsidP="00C93734">
      <w:pPr>
        <w:pStyle w:val="TableSource"/>
        <w:jc w:val="both"/>
      </w:pPr>
      <w:r w:rsidRPr="002805F3">
        <w:t>Source: Hill Taylor and Atkins 2013. Atkins Ref: Survey –A14</w:t>
      </w:r>
    </w:p>
    <w:p w14:paraId="57B3F949" w14:textId="77777777" w:rsidR="00F5463F" w:rsidRDefault="00F5463F" w:rsidP="00C93734">
      <w:pPr>
        <w:jc w:val="both"/>
        <w:rPr>
          <w:rFonts w:cs="Arial"/>
        </w:rPr>
      </w:pPr>
      <w:r>
        <w:rPr>
          <w:rFonts w:cs="Arial"/>
        </w:rPr>
        <w:t xml:space="preserve">A range of supply chain </w:t>
      </w:r>
      <w:r w:rsidR="00D87435">
        <w:rPr>
          <w:rFonts w:cs="Arial"/>
        </w:rPr>
        <w:t>products and services</w:t>
      </w:r>
      <w:r>
        <w:rPr>
          <w:rFonts w:cs="Arial"/>
        </w:rPr>
        <w:t xml:space="preserve"> are important to the sector. These include e</w:t>
      </w:r>
      <w:r w:rsidRPr="00D06F98">
        <w:rPr>
          <w:rFonts w:cs="Arial"/>
        </w:rPr>
        <w:t>nergy &amp; utilities</w:t>
      </w:r>
      <w:r w:rsidR="006F6ACC">
        <w:rPr>
          <w:rFonts w:cs="Arial"/>
        </w:rPr>
        <w:t xml:space="preserve"> (15%)</w:t>
      </w:r>
      <w:r>
        <w:rPr>
          <w:rFonts w:cs="Arial"/>
        </w:rPr>
        <w:t>, f</w:t>
      </w:r>
      <w:r w:rsidRPr="00D06F98">
        <w:rPr>
          <w:rFonts w:cs="Arial"/>
        </w:rPr>
        <w:t>inancial &amp; insurance services</w:t>
      </w:r>
      <w:r w:rsidR="006F6ACC">
        <w:rPr>
          <w:rFonts w:cs="Arial"/>
        </w:rPr>
        <w:t xml:space="preserve"> (14.2%), m</w:t>
      </w:r>
      <w:r w:rsidR="006F6ACC" w:rsidRPr="00D06F98">
        <w:rPr>
          <w:rFonts w:cs="Arial"/>
        </w:rPr>
        <w:t>anufactured components &amp; products</w:t>
      </w:r>
      <w:r w:rsidR="006F6ACC">
        <w:rPr>
          <w:rFonts w:cs="Arial"/>
        </w:rPr>
        <w:t xml:space="preserve"> (11.5%)</w:t>
      </w:r>
      <w:r>
        <w:rPr>
          <w:rFonts w:cs="Arial"/>
        </w:rPr>
        <w:t xml:space="preserve"> and b</w:t>
      </w:r>
      <w:r w:rsidRPr="00D06F98">
        <w:rPr>
          <w:rFonts w:cs="Arial"/>
        </w:rPr>
        <w:t>u</w:t>
      </w:r>
      <w:r w:rsidR="00D87435">
        <w:rPr>
          <w:rFonts w:cs="Arial"/>
        </w:rPr>
        <w:t xml:space="preserve">siness and </w:t>
      </w:r>
      <w:r>
        <w:rPr>
          <w:rFonts w:cs="Arial"/>
        </w:rPr>
        <w:t>professional services</w:t>
      </w:r>
      <w:r w:rsidR="006F6ACC">
        <w:rPr>
          <w:rFonts w:cs="Arial"/>
        </w:rPr>
        <w:t xml:space="preserve"> (10.6%)</w:t>
      </w:r>
      <w:r>
        <w:rPr>
          <w:rFonts w:cs="Arial"/>
        </w:rPr>
        <w:t xml:space="preserve">. This shows the complexity of the supply chain and the range of technical and non-technical activities </w:t>
      </w:r>
      <w:r w:rsidR="00D87435">
        <w:rPr>
          <w:rFonts w:cs="Arial"/>
        </w:rPr>
        <w:t>required to support the efficient operation of the industry</w:t>
      </w:r>
      <w:r>
        <w:rPr>
          <w:rFonts w:cs="Arial"/>
        </w:rPr>
        <w:t>.</w:t>
      </w:r>
      <w:r w:rsidR="00DC7266">
        <w:rPr>
          <w:rFonts w:cs="Arial"/>
        </w:rPr>
        <w:t xml:space="preserve"> It also highlights the importance of </w:t>
      </w:r>
      <w:r w:rsidR="0009664C">
        <w:rPr>
          <w:rFonts w:cs="Arial"/>
        </w:rPr>
        <w:t xml:space="preserve">the </w:t>
      </w:r>
      <w:r w:rsidR="00DC7266">
        <w:rPr>
          <w:rFonts w:cs="Arial"/>
        </w:rPr>
        <w:t>business and professional service</w:t>
      </w:r>
      <w:r w:rsidR="0009664C">
        <w:rPr>
          <w:rFonts w:cs="Arial"/>
        </w:rPr>
        <w:t>s</w:t>
      </w:r>
      <w:r w:rsidR="00DC7266">
        <w:rPr>
          <w:rFonts w:cs="Arial"/>
        </w:rPr>
        <w:t xml:space="preserve"> sector in the local area and the potential for </w:t>
      </w:r>
      <w:r w:rsidR="0009664C">
        <w:rPr>
          <w:rFonts w:cs="Arial"/>
        </w:rPr>
        <w:t>localisation of the supply chain</w:t>
      </w:r>
      <w:r w:rsidR="00DC7266">
        <w:rPr>
          <w:rFonts w:cs="Arial"/>
        </w:rPr>
        <w:t>.</w:t>
      </w:r>
    </w:p>
    <w:p w14:paraId="2E6F50BE" w14:textId="77777777" w:rsidR="006F6ACC" w:rsidRDefault="006F6ACC" w:rsidP="00C93734">
      <w:pPr>
        <w:pStyle w:val="Caption"/>
        <w:jc w:val="both"/>
      </w:pPr>
      <w:r>
        <w:t xml:space="preserve">Table </w:t>
      </w:r>
      <w:fldSimple w:instr=" STYLEREF 1 \s  \* MERGEFORMAT ">
        <w:r w:rsidR="00E95E1A">
          <w:rPr>
            <w:noProof/>
          </w:rPr>
          <w:t>6</w:t>
        </w:r>
      </w:fldSimple>
      <w:r>
        <w:t>-</w:t>
      </w:r>
      <w:fldSimple w:instr=" SEQ Table \* ARABIC \s 1  \* MERGEFORMAT ">
        <w:r w:rsidR="00E95E1A">
          <w:rPr>
            <w:noProof/>
          </w:rPr>
          <w:t>5</w:t>
        </w:r>
      </w:fldSimple>
      <w:r>
        <w:tab/>
      </w:r>
      <w:r w:rsidRPr="006F6ACC">
        <w:t>Types of Goods &amp; Services Purchased</w:t>
      </w:r>
      <w:r>
        <w:t xml:space="preserve"> </w:t>
      </w:r>
    </w:p>
    <w:tbl>
      <w:tblPr>
        <w:tblW w:w="6161" w:type="dxa"/>
        <w:tblInd w:w="93" w:type="dxa"/>
        <w:tblLook w:val="04A0" w:firstRow="1" w:lastRow="0" w:firstColumn="1" w:lastColumn="0" w:noHBand="0" w:noVBand="1"/>
      </w:tblPr>
      <w:tblGrid>
        <w:gridCol w:w="4944"/>
        <w:gridCol w:w="1217"/>
      </w:tblGrid>
      <w:tr w:rsidR="006F6ACC" w:rsidRPr="006F6ACC" w14:paraId="2DD60784" w14:textId="77777777" w:rsidTr="006F6ACC">
        <w:trPr>
          <w:trHeight w:val="270"/>
        </w:trPr>
        <w:tc>
          <w:tcPr>
            <w:tcW w:w="4944" w:type="dxa"/>
            <w:tcBorders>
              <w:top w:val="single" w:sz="8" w:space="0" w:color="000000"/>
              <w:left w:val="single" w:sz="8" w:space="0" w:color="000000"/>
              <w:bottom w:val="single" w:sz="8" w:space="0" w:color="auto"/>
              <w:right w:val="single" w:sz="8" w:space="0" w:color="000000"/>
            </w:tcBorders>
            <w:shd w:val="clear" w:color="000000" w:fill="F0EEEB"/>
            <w:noWrap/>
            <w:hideMark/>
          </w:tcPr>
          <w:p w14:paraId="7F796016" w14:textId="77777777" w:rsidR="006F6ACC" w:rsidRPr="006F6ACC" w:rsidRDefault="006F6ACC" w:rsidP="00C93734">
            <w:pPr>
              <w:spacing w:after="0"/>
              <w:jc w:val="both"/>
              <w:rPr>
                <w:rFonts w:eastAsia="Times New Roman" w:cs="Arial"/>
                <w:b/>
                <w:bCs/>
                <w:color w:val="000000"/>
                <w:szCs w:val="20"/>
                <w:lang w:eastAsia="en-GB"/>
              </w:rPr>
            </w:pPr>
            <w:r w:rsidRPr="006F6ACC">
              <w:rPr>
                <w:rFonts w:eastAsia="Times New Roman" w:cs="Arial"/>
                <w:b/>
                <w:bCs/>
                <w:color w:val="000000"/>
                <w:szCs w:val="20"/>
                <w:lang w:eastAsia="en-GB"/>
              </w:rPr>
              <w:t>Supply Chain Element</w:t>
            </w:r>
          </w:p>
        </w:tc>
        <w:tc>
          <w:tcPr>
            <w:tcW w:w="1217" w:type="dxa"/>
            <w:tcBorders>
              <w:top w:val="single" w:sz="8" w:space="0" w:color="000000"/>
              <w:left w:val="nil"/>
              <w:bottom w:val="single" w:sz="8" w:space="0" w:color="auto"/>
              <w:right w:val="single" w:sz="8" w:space="0" w:color="000000"/>
            </w:tcBorders>
            <w:shd w:val="clear" w:color="000000" w:fill="F0EEEB"/>
            <w:noWrap/>
            <w:hideMark/>
          </w:tcPr>
          <w:p w14:paraId="6E682EBD" w14:textId="77777777" w:rsidR="006F6ACC" w:rsidRPr="006F6ACC" w:rsidRDefault="006F6ACC" w:rsidP="00C93734">
            <w:pPr>
              <w:spacing w:after="0"/>
              <w:jc w:val="both"/>
              <w:rPr>
                <w:rFonts w:eastAsia="Times New Roman" w:cs="Arial"/>
                <w:b/>
                <w:bCs/>
                <w:color w:val="000000"/>
                <w:szCs w:val="20"/>
                <w:lang w:eastAsia="en-GB"/>
              </w:rPr>
            </w:pPr>
            <w:r w:rsidRPr="006F6ACC">
              <w:rPr>
                <w:rFonts w:eastAsia="Times New Roman" w:cs="Arial"/>
                <w:b/>
                <w:bCs/>
                <w:color w:val="000000"/>
                <w:szCs w:val="20"/>
                <w:lang w:eastAsia="en-GB"/>
              </w:rPr>
              <w:t>Chemicals &amp; process industries</w:t>
            </w:r>
          </w:p>
        </w:tc>
      </w:tr>
      <w:tr w:rsidR="006F6ACC" w:rsidRPr="006F6ACC" w14:paraId="4F57D628" w14:textId="77777777" w:rsidTr="006F6AC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06EB1A5D" w14:textId="77777777" w:rsidR="006F6ACC" w:rsidRPr="006F6ACC" w:rsidRDefault="006F6ACC" w:rsidP="00C93734">
            <w:pPr>
              <w:spacing w:after="0"/>
              <w:jc w:val="both"/>
              <w:rPr>
                <w:rFonts w:eastAsia="Times New Roman" w:cs="Arial"/>
                <w:color w:val="000000"/>
                <w:szCs w:val="20"/>
                <w:lang w:eastAsia="en-GB"/>
              </w:rPr>
            </w:pPr>
            <w:r w:rsidRPr="006F6ACC">
              <w:rPr>
                <w:rFonts w:eastAsia="Times New Roman" w:cs="Arial"/>
                <w:color w:val="000000"/>
                <w:szCs w:val="20"/>
                <w:lang w:eastAsia="en-GB"/>
              </w:rPr>
              <w:t>Energy &amp; utilities</w:t>
            </w:r>
          </w:p>
        </w:tc>
        <w:tc>
          <w:tcPr>
            <w:tcW w:w="1217" w:type="dxa"/>
            <w:tcBorders>
              <w:top w:val="nil"/>
              <w:left w:val="nil"/>
              <w:bottom w:val="single" w:sz="8" w:space="0" w:color="000000"/>
              <w:right w:val="single" w:sz="8" w:space="0" w:color="000000"/>
            </w:tcBorders>
            <w:shd w:val="clear" w:color="auto" w:fill="auto"/>
            <w:noWrap/>
            <w:hideMark/>
          </w:tcPr>
          <w:p w14:paraId="045F193C" w14:textId="77777777" w:rsidR="006F6ACC" w:rsidRPr="006F6ACC" w:rsidRDefault="006F6ACC" w:rsidP="00C93734">
            <w:pPr>
              <w:spacing w:after="0"/>
              <w:jc w:val="both"/>
              <w:rPr>
                <w:rFonts w:eastAsia="Times New Roman" w:cs="Arial"/>
                <w:color w:val="000000"/>
                <w:szCs w:val="20"/>
                <w:lang w:eastAsia="en-GB"/>
              </w:rPr>
            </w:pPr>
            <w:r w:rsidRPr="006F6ACC">
              <w:rPr>
                <w:rFonts w:eastAsia="Times New Roman" w:cs="Arial"/>
                <w:color w:val="000000"/>
                <w:szCs w:val="20"/>
                <w:lang w:eastAsia="en-GB"/>
              </w:rPr>
              <w:t>15.0%</w:t>
            </w:r>
          </w:p>
        </w:tc>
      </w:tr>
      <w:tr w:rsidR="006F6ACC" w:rsidRPr="006F6ACC" w14:paraId="64AF3607" w14:textId="77777777" w:rsidTr="006F6AC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77BFA1AE" w14:textId="77777777" w:rsidR="006F6ACC" w:rsidRPr="006F6ACC" w:rsidRDefault="006F6ACC" w:rsidP="00C93734">
            <w:pPr>
              <w:spacing w:after="0"/>
              <w:jc w:val="both"/>
              <w:rPr>
                <w:rFonts w:eastAsia="Times New Roman" w:cs="Arial"/>
                <w:color w:val="000000"/>
                <w:szCs w:val="20"/>
                <w:lang w:eastAsia="en-GB"/>
              </w:rPr>
            </w:pPr>
            <w:r w:rsidRPr="006F6ACC">
              <w:rPr>
                <w:rFonts w:eastAsia="Times New Roman" w:cs="Arial"/>
                <w:color w:val="000000"/>
                <w:szCs w:val="20"/>
                <w:lang w:eastAsia="en-GB"/>
              </w:rPr>
              <w:t>Financial &amp; insurance services</w:t>
            </w:r>
          </w:p>
        </w:tc>
        <w:tc>
          <w:tcPr>
            <w:tcW w:w="1217" w:type="dxa"/>
            <w:tcBorders>
              <w:top w:val="nil"/>
              <w:left w:val="nil"/>
              <w:bottom w:val="single" w:sz="8" w:space="0" w:color="000000"/>
              <w:right w:val="single" w:sz="8" w:space="0" w:color="000000"/>
            </w:tcBorders>
            <w:shd w:val="clear" w:color="auto" w:fill="auto"/>
            <w:noWrap/>
            <w:hideMark/>
          </w:tcPr>
          <w:p w14:paraId="0DAA98A9" w14:textId="77777777" w:rsidR="006F6ACC" w:rsidRPr="006F6ACC" w:rsidRDefault="006F6ACC" w:rsidP="00C93734">
            <w:pPr>
              <w:spacing w:after="0"/>
              <w:jc w:val="both"/>
              <w:rPr>
                <w:rFonts w:eastAsia="Times New Roman" w:cs="Arial"/>
                <w:color w:val="000000"/>
                <w:szCs w:val="20"/>
                <w:lang w:eastAsia="en-GB"/>
              </w:rPr>
            </w:pPr>
            <w:r w:rsidRPr="006F6ACC">
              <w:rPr>
                <w:rFonts w:eastAsia="Times New Roman" w:cs="Arial"/>
                <w:color w:val="000000"/>
                <w:szCs w:val="20"/>
                <w:lang w:eastAsia="en-GB"/>
              </w:rPr>
              <w:t>14.2%</w:t>
            </w:r>
          </w:p>
        </w:tc>
      </w:tr>
      <w:tr w:rsidR="006F6ACC" w:rsidRPr="006F6ACC" w14:paraId="7757B607" w14:textId="77777777" w:rsidTr="006F6AC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30B891F2" w14:textId="77777777" w:rsidR="006F6ACC" w:rsidRPr="006F6ACC" w:rsidRDefault="006F6ACC" w:rsidP="00C93734">
            <w:pPr>
              <w:spacing w:after="0"/>
              <w:jc w:val="both"/>
              <w:rPr>
                <w:rFonts w:eastAsia="Times New Roman" w:cs="Arial"/>
                <w:color w:val="000000"/>
                <w:szCs w:val="20"/>
                <w:lang w:eastAsia="en-GB"/>
              </w:rPr>
            </w:pPr>
            <w:r w:rsidRPr="006F6ACC">
              <w:rPr>
                <w:rFonts w:eastAsia="Times New Roman" w:cs="Arial"/>
                <w:color w:val="000000"/>
                <w:szCs w:val="20"/>
                <w:lang w:eastAsia="en-GB"/>
              </w:rPr>
              <w:t>Manufactured components &amp; products</w:t>
            </w:r>
          </w:p>
        </w:tc>
        <w:tc>
          <w:tcPr>
            <w:tcW w:w="1217" w:type="dxa"/>
            <w:tcBorders>
              <w:top w:val="nil"/>
              <w:left w:val="nil"/>
              <w:bottom w:val="single" w:sz="8" w:space="0" w:color="000000"/>
              <w:right w:val="single" w:sz="8" w:space="0" w:color="000000"/>
            </w:tcBorders>
            <w:shd w:val="clear" w:color="auto" w:fill="auto"/>
            <w:noWrap/>
            <w:hideMark/>
          </w:tcPr>
          <w:p w14:paraId="33C3BDDE" w14:textId="77777777" w:rsidR="006F6ACC" w:rsidRPr="006F6ACC" w:rsidRDefault="006F6ACC" w:rsidP="00C93734">
            <w:pPr>
              <w:spacing w:after="0"/>
              <w:jc w:val="both"/>
              <w:rPr>
                <w:rFonts w:eastAsia="Times New Roman" w:cs="Arial"/>
                <w:color w:val="000000"/>
                <w:szCs w:val="20"/>
                <w:lang w:eastAsia="en-GB"/>
              </w:rPr>
            </w:pPr>
            <w:r w:rsidRPr="006F6ACC">
              <w:rPr>
                <w:rFonts w:eastAsia="Times New Roman" w:cs="Arial"/>
                <w:color w:val="000000"/>
                <w:szCs w:val="20"/>
                <w:lang w:eastAsia="en-GB"/>
              </w:rPr>
              <w:t>11.5%</w:t>
            </w:r>
          </w:p>
        </w:tc>
      </w:tr>
      <w:tr w:rsidR="006F6ACC" w:rsidRPr="006F6ACC" w14:paraId="0652A9BF" w14:textId="77777777" w:rsidTr="006F6AC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7AEF1636" w14:textId="77777777" w:rsidR="006F6ACC" w:rsidRPr="006F6ACC" w:rsidRDefault="006F6ACC" w:rsidP="00C93734">
            <w:pPr>
              <w:spacing w:after="0"/>
              <w:jc w:val="both"/>
              <w:rPr>
                <w:rFonts w:eastAsia="Times New Roman" w:cs="Arial"/>
                <w:color w:val="000000"/>
                <w:szCs w:val="20"/>
                <w:lang w:eastAsia="en-GB"/>
              </w:rPr>
            </w:pPr>
            <w:r w:rsidRPr="006F6ACC">
              <w:rPr>
                <w:rFonts w:eastAsia="Times New Roman" w:cs="Arial"/>
                <w:color w:val="000000"/>
                <w:szCs w:val="20"/>
                <w:lang w:eastAsia="en-GB"/>
              </w:rPr>
              <w:t>Business or professional services;</w:t>
            </w:r>
          </w:p>
        </w:tc>
        <w:tc>
          <w:tcPr>
            <w:tcW w:w="1217" w:type="dxa"/>
            <w:tcBorders>
              <w:top w:val="nil"/>
              <w:left w:val="nil"/>
              <w:bottom w:val="single" w:sz="8" w:space="0" w:color="000000"/>
              <w:right w:val="single" w:sz="8" w:space="0" w:color="000000"/>
            </w:tcBorders>
            <w:shd w:val="clear" w:color="auto" w:fill="auto"/>
            <w:noWrap/>
            <w:hideMark/>
          </w:tcPr>
          <w:p w14:paraId="41341692" w14:textId="77777777" w:rsidR="006F6ACC" w:rsidRPr="006F6ACC" w:rsidRDefault="006F6ACC" w:rsidP="00C93734">
            <w:pPr>
              <w:spacing w:after="0"/>
              <w:jc w:val="both"/>
              <w:rPr>
                <w:rFonts w:eastAsia="Times New Roman" w:cs="Arial"/>
                <w:color w:val="000000"/>
                <w:szCs w:val="20"/>
                <w:lang w:eastAsia="en-GB"/>
              </w:rPr>
            </w:pPr>
            <w:r w:rsidRPr="006F6ACC">
              <w:rPr>
                <w:rFonts w:eastAsia="Times New Roman" w:cs="Arial"/>
                <w:color w:val="000000"/>
                <w:szCs w:val="20"/>
                <w:lang w:eastAsia="en-GB"/>
              </w:rPr>
              <w:t>10.6%</w:t>
            </w:r>
          </w:p>
        </w:tc>
      </w:tr>
      <w:tr w:rsidR="006F6ACC" w:rsidRPr="006F6ACC" w14:paraId="69765709" w14:textId="77777777" w:rsidTr="006F6AC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2C46BB89" w14:textId="77777777" w:rsidR="006F6ACC" w:rsidRPr="006F6ACC" w:rsidRDefault="006F6ACC" w:rsidP="00C93734">
            <w:pPr>
              <w:spacing w:after="0"/>
              <w:jc w:val="both"/>
              <w:rPr>
                <w:rFonts w:eastAsia="Times New Roman" w:cs="Arial"/>
                <w:color w:val="000000"/>
                <w:szCs w:val="20"/>
                <w:lang w:eastAsia="en-GB"/>
              </w:rPr>
            </w:pPr>
            <w:r w:rsidRPr="006F6ACC">
              <w:rPr>
                <w:rFonts w:eastAsia="Times New Roman" w:cs="Arial"/>
                <w:color w:val="000000"/>
                <w:szCs w:val="20"/>
                <w:lang w:eastAsia="en-GB"/>
              </w:rPr>
              <w:t>Logistics, freight service, storage &amp; distribution services</w:t>
            </w:r>
          </w:p>
        </w:tc>
        <w:tc>
          <w:tcPr>
            <w:tcW w:w="1217" w:type="dxa"/>
            <w:tcBorders>
              <w:top w:val="nil"/>
              <w:left w:val="nil"/>
              <w:bottom w:val="single" w:sz="8" w:space="0" w:color="000000"/>
              <w:right w:val="single" w:sz="8" w:space="0" w:color="000000"/>
            </w:tcBorders>
            <w:shd w:val="clear" w:color="auto" w:fill="auto"/>
            <w:noWrap/>
            <w:hideMark/>
          </w:tcPr>
          <w:p w14:paraId="3095449F" w14:textId="77777777" w:rsidR="006F6ACC" w:rsidRPr="006F6ACC" w:rsidRDefault="006F6ACC" w:rsidP="00C93734">
            <w:pPr>
              <w:spacing w:after="0"/>
              <w:jc w:val="both"/>
              <w:rPr>
                <w:rFonts w:eastAsia="Times New Roman" w:cs="Arial"/>
                <w:color w:val="000000"/>
                <w:szCs w:val="20"/>
                <w:lang w:eastAsia="en-GB"/>
              </w:rPr>
            </w:pPr>
            <w:r w:rsidRPr="006F6ACC">
              <w:rPr>
                <w:rFonts w:eastAsia="Times New Roman" w:cs="Arial"/>
                <w:color w:val="000000"/>
                <w:szCs w:val="20"/>
                <w:lang w:eastAsia="en-GB"/>
              </w:rPr>
              <w:t>9.7%</w:t>
            </w:r>
          </w:p>
        </w:tc>
      </w:tr>
      <w:tr w:rsidR="006F6ACC" w:rsidRPr="006F6ACC" w14:paraId="3AA34705" w14:textId="77777777" w:rsidTr="006F6AC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7BF5D4D9" w14:textId="77777777" w:rsidR="006F6ACC" w:rsidRPr="006F6ACC" w:rsidRDefault="006F6ACC" w:rsidP="00C93734">
            <w:pPr>
              <w:spacing w:after="0"/>
              <w:jc w:val="both"/>
              <w:rPr>
                <w:rFonts w:eastAsia="Times New Roman" w:cs="Arial"/>
                <w:color w:val="000000"/>
                <w:szCs w:val="20"/>
                <w:lang w:eastAsia="en-GB"/>
              </w:rPr>
            </w:pPr>
            <w:r w:rsidRPr="006F6ACC">
              <w:rPr>
                <w:rFonts w:eastAsia="Times New Roman" w:cs="Arial"/>
                <w:color w:val="000000"/>
                <w:szCs w:val="20"/>
                <w:lang w:eastAsia="en-GB"/>
              </w:rPr>
              <w:t>Wholesale retail goods</w:t>
            </w:r>
          </w:p>
        </w:tc>
        <w:tc>
          <w:tcPr>
            <w:tcW w:w="1217" w:type="dxa"/>
            <w:tcBorders>
              <w:top w:val="nil"/>
              <w:left w:val="nil"/>
              <w:bottom w:val="single" w:sz="8" w:space="0" w:color="000000"/>
              <w:right w:val="single" w:sz="8" w:space="0" w:color="000000"/>
            </w:tcBorders>
            <w:shd w:val="clear" w:color="auto" w:fill="auto"/>
            <w:noWrap/>
            <w:hideMark/>
          </w:tcPr>
          <w:p w14:paraId="20F38E35" w14:textId="77777777" w:rsidR="006F6ACC" w:rsidRPr="006F6ACC" w:rsidRDefault="006F6ACC" w:rsidP="00C93734">
            <w:pPr>
              <w:spacing w:after="0"/>
              <w:jc w:val="both"/>
              <w:rPr>
                <w:rFonts w:eastAsia="Times New Roman" w:cs="Arial"/>
                <w:color w:val="000000"/>
                <w:szCs w:val="20"/>
                <w:lang w:eastAsia="en-GB"/>
              </w:rPr>
            </w:pPr>
            <w:r w:rsidRPr="006F6ACC">
              <w:rPr>
                <w:rFonts w:eastAsia="Times New Roman" w:cs="Arial"/>
                <w:color w:val="000000"/>
                <w:szCs w:val="20"/>
                <w:lang w:eastAsia="en-GB"/>
              </w:rPr>
              <w:t>8.8%</w:t>
            </w:r>
          </w:p>
        </w:tc>
      </w:tr>
      <w:tr w:rsidR="006F6ACC" w:rsidRPr="006F6ACC" w14:paraId="4A43DA82" w14:textId="77777777" w:rsidTr="006F6AC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24E85466" w14:textId="77777777" w:rsidR="006F6ACC" w:rsidRPr="006F6ACC" w:rsidRDefault="006F6ACC" w:rsidP="00C93734">
            <w:pPr>
              <w:spacing w:after="0"/>
              <w:jc w:val="both"/>
              <w:rPr>
                <w:rFonts w:eastAsia="Times New Roman" w:cs="Arial"/>
                <w:color w:val="000000"/>
                <w:szCs w:val="20"/>
                <w:lang w:eastAsia="en-GB"/>
              </w:rPr>
            </w:pPr>
            <w:r w:rsidRPr="006F6ACC">
              <w:rPr>
                <w:rFonts w:eastAsia="Times New Roman" w:cs="Arial"/>
                <w:color w:val="000000"/>
                <w:szCs w:val="20"/>
                <w:lang w:eastAsia="en-GB"/>
              </w:rPr>
              <w:t>Education &amp; research</w:t>
            </w:r>
          </w:p>
        </w:tc>
        <w:tc>
          <w:tcPr>
            <w:tcW w:w="1217" w:type="dxa"/>
            <w:tcBorders>
              <w:top w:val="nil"/>
              <w:left w:val="nil"/>
              <w:bottom w:val="single" w:sz="8" w:space="0" w:color="000000"/>
              <w:right w:val="single" w:sz="8" w:space="0" w:color="000000"/>
            </w:tcBorders>
            <w:shd w:val="clear" w:color="auto" w:fill="auto"/>
            <w:noWrap/>
            <w:hideMark/>
          </w:tcPr>
          <w:p w14:paraId="7FFA8EC3" w14:textId="77777777" w:rsidR="006F6ACC" w:rsidRPr="006F6ACC" w:rsidRDefault="006F6ACC" w:rsidP="00C93734">
            <w:pPr>
              <w:spacing w:after="0"/>
              <w:jc w:val="both"/>
              <w:rPr>
                <w:rFonts w:eastAsia="Times New Roman" w:cs="Arial"/>
                <w:color w:val="000000"/>
                <w:szCs w:val="20"/>
                <w:lang w:eastAsia="en-GB"/>
              </w:rPr>
            </w:pPr>
            <w:r w:rsidRPr="006F6ACC">
              <w:rPr>
                <w:rFonts w:eastAsia="Times New Roman" w:cs="Arial"/>
                <w:color w:val="000000"/>
                <w:szCs w:val="20"/>
                <w:lang w:eastAsia="en-GB"/>
              </w:rPr>
              <w:t>5.3%</w:t>
            </w:r>
          </w:p>
        </w:tc>
      </w:tr>
      <w:tr w:rsidR="006F6ACC" w:rsidRPr="006F6ACC" w14:paraId="65EDCDD6" w14:textId="77777777" w:rsidTr="006F6AC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282276E2" w14:textId="77777777" w:rsidR="006F6ACC" w:rsidRPr="006F6ACC" w:rsidRDefault="006F6ACC" w:rsidP="00C93734">
            <w:pPr>
              <w:spacing w:after="0"/>
              <w:jc w:val="both"/>
              <w:rPr>
                <w:rFonts w:eastAsia="Times New Roman" w:cs="Arial"/>
                <w:color w:val="000000"/>
                <w:szCs w:val="20"/>
                <w:lang w:eastAsia="en-GB"/>
              </w:rPr>
            </w:pPr>
            <w:r w:rsidRPr="006F6ACC">
              <w:rPr>
                <w:rFonts w:eastAsia="Times New Roman" w:cs="Arial"/>
                <w:color w:val="000000"/>
                <w:szCs w:val="20"/>
                <w:lang w:eastAsia="en-GB"/>
              </w:rPr>
              <w:t>Other transport services</w:t>
            </w:r>
          </w:p>
        </w:tc>
        <w:tc>
          <w:tcPr>
            <w:tcW w:w="1217" w:type="dxa"/>
            <w:tcBorders>
              <w:top w:val="nil"/>
              <w:left w:val="nil"/>
              <w:bottom w:val="single" w:sz="8" w:space="0" w:color="000000"/>
              <w:right w:val="single" w:sz="8" w:space="0" w:color="000000"/>
            </w:tcBorders>
            <w:shd w:val="clear" w:color="auto" w:fill="auto"/>
            <w:noWrap/>
            <w:hideMark/>
          </w:tcPr>
          <w:p w14:paraId="4D3784C8" w14:textId="77777777" w:rsidR="006F6ACC" w:rsidRPr="006F6ACC" w:rsidRDefault="006F6ACC" w:rsidP="00C93734">
            <w:pPr>
              <w:spacing w:after="0"/>
              <w:jc w:val="both"/>
              <w:rPr>
                <w:rFonts w:eastAsia="Times New Roman" w:cs="Arial"/>
                <w:color w:val="000000"/>
                <w:szCs w:val="20"/>
                <w:lang w:eastAsia="en-GB"/>
              </w:rPr>
            </w:pPr>
            <w:r w:rsidRPr="006F6ACC">
              <w:rPr>
                <w:rFonts w:eastAsia="Times New Roman" w:cs="Arial"/>
                <w:color w:val="000000"/>
                <w:szCs w:val="20"/>
                <w:lang w:eastAsia="en-GB"/>
              </w:rPr>
              <w:t>5.3%</w:t>
            </w:r>
          </w:p>
        </w:tc>
      </w:tr>
    </w:tbl>
    <w:p w14:paraId="6EFE7B22" w14:textId="77777777" w:rsidR="006F6ACC" w:rsidRPr="002805F3" w:rsidRDefault="006F6ACC" w:rsidP="00C93734">
      <w:pPr>
        <w:pStyle w:val="TableSource"/>
        <w:jc w:val="both"/>
      </w:pPr>
      <w:r w:rsidRPr="002805F3">
        <w:t>Source: Hill Taylor and Atkins 2013. Atkins Ref: Survey –A1</w:t>
      </w:r>
      <w:r>
        <w:t>5</w:t>
      </w:r>
      <w:r w:rsidRPr="002805F3">
        <w:t>/K3</w:t>
      </w:r>
    </w:p>
    <w:p w14:paraId="33C6B2E0" w14:textId="77777777" w:rsidR="00F5463F" w:rsidRDefault="00F5463F" w:rsidP="00C93734">
      <w:pPr>
        <w:jc w:val="both"/>
        <w:rPr>
          <w:rFonts w:cs="Arial"/>
        </w:rPr>
      </w:pPr>
      <w:r>
        <w:rPr>
          <w:rFonts w:cs="Arial"/>
        </w:rPr>
        <w:t>A low prop</w:t>
      </w:r>
      <w:r w:rsidR="00D87435">
        <w:rPr>
          <w:rFonts w:cs="Arial"/>
        </w:rPr>
        <w:t xml:space="preserve">ortion of customers (28.6%) are based in the region </w:t>
      </w:r>
      <w:r>
        <w:rPr>
          <w:rFonts w:cs="Arial"/>
        </w:rPr>
        <w:t xml:space="preserve">compared with other </w:t>
      </w:r>
      <w:r w:rsidR="00D87435">
        <w:rPr>
          <w:rFonts w:cs="Arial"/>
        </w:rPr>
        <w:t xml:space="preserve">key </w:t>
      </w:r>
      <w:r>
        <w:rPr>
          <w:rFonts w:cs="Arial"/>
        </w:rPr>
        <w:t>sectors</w:t>
      </w:r>
      <w:r w:rsidR="00D87435">
        <w:rPr>
          <w:rFonts w:cs="Arial"/>
        </w:rPr>
        <w:t xml:space="preserve"> reflecting the export nature of the industry</w:t>
      </w:r>
      <w:r>
        <w:rPr>
          <w:rFonts w:cs="Arial"/>
        </w:rPr>
        <w:t xml:space="preserve">. </w:t>
      </w:r>
      <w:r w:rsidR="00D87435">
        <w:rPr>
          <w:rFonts w:cs="Arial"/>
        </w:rPr>
        <w:t>Around 47% of suppliers are based in the region which indicates reasonably strong local linkages with potential for more supply-chain value to be captured.</w:t>
      </w:r>
    </w:p>
    <w:p w14:paraId="68C90806" w14:textId="77777777" w:rsidR="00F5463F" w:rsidRDefault="00F5463F" w:rsidP="00C93734">
      <w:pPr>
        <w:pStyle w:val="Caption"/>
        <w:jc w:val="both"/>
      </w:pPr>
      <w:r>
        <w:t xml:space="preserve">Table </w:t>
      </w:r>
      <w:fldSimple w:instr=" STYLEREF 1 \s  \* MERGEFORMAT ">
        <w:r w:rsidR="00E95E1A">
          <w:rPr>
            <w:noProof/>
          </w:rPr>
          <w:t>6</w:t>
        </w:r>
      </w:fldSimple>
      <w:r>
        <w:t>-</w:t>
      </w:r>
      <w:fldSimple w:instr=" SEQ Table \* ARABIC \s 1  \* MERGEFORMAT ">
        <w:r w:rsidR="00E95E1A">
          <w:rPr>
            <w:noProof/>
          </w:rPr>
          <w:t>6</w:t>
        </w:r>
      </w:fldSimple>
      <w:r>
        <w:tab/>
        <w:t xml:space="preserve">Location of Suppliers &amp; Clients </w:t>
      </w:r>
    </w:p>
    <w:tbl>
      <w:tblPr>
        <w:tblStyle w:val="Atkins14pt"/>
        <w:tblW w:w="4198" w:type="dxa"/>
        <w:tblLook w:val="04A0" w:firstRow="1" w:lastRow="0" w:firstColumn="1" w:lastColumn="0" w:noHBand="0" w:noVBand="1"/>
      </w:tblPr>
      <w:tblGrid>
        <w:gridCol w:w="2127"/>
        <w:gridCol w:w="1102"/>
        <w:gridCol w:w="969"/>
      </w:tblGrid>
      <w:tr w:rsidR="00F5463F" w:rsidRPr="00F5463F" w14:paraId="468B79FD" w14:textId="77777777" w:rsidTr="00F5463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127" w:type="dxa"/>
            <w:vMerge w:val="restart"/>
            <w:noWrap/>
            <w:hideMark/>
          </w:tcPr>
          <w:p w14:paraId="0345C76B" w14:textId="77777777" w:rsidR="00F5463F" w:rsidRPr="00F5463F" w:rsidRDefault="00F5463F" w:rsidP="00C93734">
            <w:pPr>
              <w:jc w:val="both"/>
              <w:rPr>
                <w:color w:val="000000"/>
              </w:rPr>
            </w:pPr>
            <w:r>
              <w:rPr>
                <w:color w:val="000000"/>
              </w:rPr>
              <w:t>Geography</w:t>
            </w:r>
          </w:p>
        </w:tc>
        <w:tc>
          <w:tcPr>
            <w:tcW w:w="2071" w:type="dxa"/>
            <w:gridSpan w:val="2"/>
            <w:noWrap/>
            <w:hideMark/>
          </w:tcPr>
          <w:p w14:paraId="2700034D" w14:textId="77777777" w:rsidR="00F5463F" w:rsidRPr="00F5463F" w:rsidRDefault="00F5463F" w:rsidP="00C93734">
            <w:pPr>
              <w:jc w:val="both"/>
              <w:cnfStyle w:val="100000000000" w:firstRow="1" w:lastRow="0" w:firstColumn="0" w:lastColumn="0" w:oddVBand="0" w:evenVBand="0" w:oddHBand="0" w:evenHBand="0" w:firstRowFirstColumn="0" w:firstRowLastColumn="0" w:lastRowFirstColumn="0" w:lastRowLastColumn="0"/>
              <w:rPr>
                <w:color w:val="000000"/>
              </w:rPr>
            </w:pPr>
            <w:r w:rsidRPr="00F5463F">
              <w:rPr>
                <w:color w:val="000000"/>
              </w:rPr>
              <w:t>Chemicals &amp; process industries</w:t>
            </w:r>
          </w:p>
        </w:tc>
      </w:tr>
      <w:tr w:rsidR="00F5463F" w:rsidRPr="00F5463F" w14:paraId="443B0F92" w14:textId="77777777" w:rsidTr="00F5463F">
        <w:trPr>
          <w:trHeight w:val="300"/>
        </w:trPr>
        <w:tc>
          <w:tcPr>
            <w:cnfStyle w:val="001000000000" w:firstRow="0" w:lastRow="0" w:firstColumn="1" w:lastColumn="0" w:oddVBand="0" w:evenVBand="0" w:oddHBand="0" w:evenHBand="0" w:firstRowFirstColumn="0" w:firstRowLastColumn="0" w:lastRowFirstColumn="0" w:lastRowLastColumn="0"/>
            <w:tcW w:w="2127" w:type="dxa"/>
            <w:vMerge/>
            <w:noWrap/>
            <w:hideMark/>
          </w:tcPr>
          <w:p w14:paraId="6FD3C7A8" w14:textId="77777777" w:rsidR="00F5463F" w:rsidRPr="00F5463F" w:rsidRDefault="00F5463F" w:rsidP="00C93734">
            <w:pPr>
              <w:jc w:val="both"/>
              <w:rPr>
                <w:color w:val="000000"/>
              </w:rPr>
            </w:pPr>
          </w:p>
        </w:tc>
        <w:tc>
          <w:tcPr>
            <w:tcW w:w="1102" w:type="dxa"/>
            <w:shd w:val="clear" w:color="auto" w:fill="E6E4DE" w:themeFill="accent6"/>
            <w:noWrap/>
            <w:hideMark/>
          </w:tcPr>
          <w:p w14:paraId="2A9F75B0" w14:textId="77777777" w:rsidR="00F5463F" w:rsidRPr="00F5463F" w:rsidRDefault="00F5463F"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F5463F">
              <w:rPr>
                <w:b/>
                <w:color w:val="000000"/>
              </w:rPr>
              <w:t>Customers</w:t>
            </w:r>
          </w:p>
        </w:tc>
        <w:tc>
          <w:tcPr>
            <w:tcW w:w="969" w:type="dxa"/>
            <w:shd w:val="clear" w:color="auto" w:fill="E6E4DE" w:themeFill="accent6"/>
            <w:noWrap/>
            <w:hideMark/>
          </w:tcPr>
          <w:p w14:paraId="4272ABF1" w14:textId="77777777" w:rsidR="00F5463F" w:rsidRPr="00F5463F" w:rsidRDefault="00F5463F"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F5463F">
              <w:rPr>
                <w:b/>
                <w:color w:val="000000"/>
              </w:rPr>
              <w:t>Suppliers</w:t>
            </w:r>
          </w:p>
        </w:tc>
      </w:tr>
      <w:tr w:rsidR="00F5463F" w:rsidRPr="00F5463F" w14:paraId="1DE743D6" w14:textId="77777777" w:rsidTr="00F5463F">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8D137C5" w14:textId="77777777" w:rsidR="00F5463F" w:rsidRPr="00F5463F" w:rsidRDefault="00F5463F" w:rsidP="00C93734">
            <w:pPr>
              <w:jc w:val="both"/>
              <w:rPr>
                <w:color w:val="000000"/>
              </w:rPr>
            </w:pPr>
            <w:r w:rsidRPr="00F5463F">
              <w:rPr>
                <w:color w:val="000000"/>
              </w:rPr>
              <w:t>Lincolnshire / Humber</w:t>
            </w:r>
          </w:p>
        </w:tc>
        <w:tc>
          <w:tcPr>
            <w:tcW w:w="1102" w:type="dxa"/>
            <w:noWrap/>
            <w:hideMark/>
          </w:tcPr>
          <w:p w14:paraId="7D555156" w14:textId="77777777" w:rsidR="00F5463F" w:rsidRPr="00F5463F" w:rsidRDefault="00F5463F"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F5463F">
              <w:rPr>
                <w:color w:val="000000"/>
              </w:rPr>
              <w:t>22.4%</w:t>
            </w:r>
          </w:p>
        </w:tc>
        <w:tc>
          <w:tcPr>
            <w:tcW w:w="969" w:type="dxa"/>
            <w:noWrap/>
            <w:hideMark/>
          </w:tcPr>
          <w:p w14:paraId="4D1E491A" w14:textId="77777777" w:rsidR="00F5463F" w:rsidRPr="00F5463F" w:rsidRDefault="00F5463F"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F5463F">
              <w:rPr>
                <w:color w:val="000000"/>
              </w:rPr>
              <w:t>26.5%</w:t>
            </w:r>
          </w:p>
        </w:tc>
      </w:tr>
      <w:tr w:rsidR="00F5463F" w:rsidRPr="00F5463F" w14:paraId="74776114" w14:textId="77777777" w:rsidTr="00F5463F">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C2236F8" w14:textId="77777777" w:rsidR="00F5463F" w:rsidRPr="00F5463F" w:rsidRDefault="00F5463F" w:rsidP="00C93734">
            <w:pPr>
              <w:jc w:val="both"/>
              <w:rPr>
                <w:color w:val="000000"/>
              </w:rPr>
            </w:pPr>
            <w:r w:rsidRPr="00F5463F">
              <w:rPr>
                <w:color w:val="000000"/>
              </w:rPr>
              <w:t>Elsewhere in Yorkshire and Humber</w:t>
            </w:r>
          </w:p>
        </w:tc>
        <w:tc>
          <w:tcPr>
            <w:tcW w:w="1102" w:type="dxa"/>
            <w:noWrap/>
            <w:hideMark/>
          </w:tcPr>
          <w:p w14:paraId="57A393D8" w14:textId="77777777" w:rsidR="00F5463F" w:rsidRPr="00F5463F" w:rsidRDefault="00F5463F"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F5463F">
              <w:rPr>
                <w:color w:val="000000"/>
              </w:rPr>
              <w:t>6.1%</w:t>
            </w:r>
          </w:p>
        </w:tc>
        <w:tc>
          <w:tcPr>
            <w:tcW w:w="969" w:type="dxa"/>
            <w:noWrap/>
            <w:hideMark/>
          </w:tcPr>
          <w:p w14:paraId="396BB7CF" w14:textId="77777777" w:rsidR="00F5463F" w:rsidRPr="00F5463F" w:rsidRDefault="00F5463F"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F5463F">
              <w:rPr>
                <w:color w:val="000000"/>
              </w:rPr>
              <w:t>20.4%</w:t>
            </w:r>
          </w:p>
        </w:tc>
      </w:tr>
      <w:tr w:rsidR="00F5463F" w:rsidRPr="00F5463F" w14:paraId="604DEB8C" w14:textId="77777777" w:rsidTr="00F5463F">
        <w:trPr>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E6E4DE" w:themeFill="accent6"/>
            <w:noWrap/>
            <w:hideMark/>
          </w:tcPr>
          <w:p w14:paraId="22D43726" w14:textId="77777777" w:rsidR="00F5463F" w:rsidRPr="00F5463F" w:rsidRDefault="00F5463F" w:rsidP="00C93734">
            <w:pPr>
              <w:jc w:val="both"/>
              <w:rPr>
                <w:b/>
                <w:color w:val="000000"/>
              </w:rPr>
            </w:pPr>
            <w:r w:rsidRPr="00F5463F">
              <w:rPr>
                <w:b/>
                <w:color w:val="000000"/>
              </w:rPr>
              <w:t>Local Area</w:t>
            </w:r>
          </w:p>
        </w:tc>
        <w:tc>
          <w:tcPr>
            <w:tcW w:w="1102" w:type="dxa"/>
            <w:shd w:val="clear" w:color="auto" w:fill="E6E4DE" w:themeFill="accent6"/>
            <w:noWrap/>
            <w:hideMark/>
          </w:tcPr>
          <w:p w14:paraId="42548273" w14:textId="77777777" w:rsidR="00F5463F" w:rsidRPr="00F5463F" w:rsidRDefault="00F5463F"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F5463F">
              <w:rPr>
                <w:b/>
                <w:color w:val="000000"/>
              </w:rPr>
              <w:t>28.6%</w:t>
            </w:r>
          </w:p>
        </w:tc>
        <w:tc>
          <w:tcPr>
            <w:tcW w:w="969" w:type="dxa"/>
            <w:shd w:val="clear" w:color="auto" w:fill="E6E4DE" w:themeFill="accent6"/>
            <w:noWrap/>
            <w:hideMark/>
          </w:tcPr>
          <w:p w14:paraId="3F1D40DB" w14:textId="77777777" w:rsidR="00F5463F" w:rsidRPr="00F5463F" w:rsidRDefault="00F5463F"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F5463F">
              <w:rPr>
                <w:b/>
                <w:color w:val="000000"/>
              </w:rPr>
              <w:t>46.9%</w:t>
            </w:r>
          </w:p>
        </w:tc>
      </w:tr>
      <w:tr w:rsidR="00F5463F" w:rsidRPr="00F5463F" w14:paraId="56A935DC" w14:textId="77777777" w:rsidTr="00F5463F">
        <w:trPr>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E6E4DE" w:themeFill="accent6"/>
            <w:noWrap/>
            <w:hideMark/>
          </w:tcPr>
          <w:p w14:paraId="28523978" w14:textId="77777777" w:rsidR="00F5463F" w:rsidRPr="00F5463F" w:rsidRDefault="00F5463F" w:rsidP="00C93734">
            <w:pPr>
              <w:jc w:val="both"/>
              <w:rPr>
                <w:b/>
                <w:color w:val="000000"/>
              </w:rPr>
            </w:pPr>
            <w:r w:rsidRPr="00F5463F">
              <w:rPr>
                <w:b/>
                <w:color w:val="000000"/>
              </w:rPr>
              <w:t>UK</w:t>
            </w:r>
          </w:p>
        </w:tc>
        <w:tc>
          <w:tcPr>
            <w:tcW w:w="1102" w:type="dxa"/>
            <w:shd w:val="clear" w:color="auto" w:fill="E6E4DE" w:themeFill="accent6"/>
            <w:noWrap/>
            <w:hideMark/>
          </w:tcPr>
          <w:p w14:paraId="757381BD" w14:textId="77777777" w:rsidR="00F5463F" w:rsidRPr="00F5463F" w:rsidRDefault="00F5463F"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F5463F">
              <w:rPr>
                <w:b/>
                <w:color w:val="000000"/>
              </w:rPr>
              <w:t>63.3%</w:t>
            </w:r>
          </w:p>
        </w:tc>
        <w:tc>
          <w:tcPr>
            <w:tcW w:w="969" w:type="dxa"/>
            <w:shd w:val="clear" w:color="auto" w:fill="E6E4DE" w:themeFill="accent6"/>
            <w:noWrap/>
            <w:hideMark/>
          </w:tcPr>
          <w:p w14:paraId="6B4524FF" w14:textId="77777777" w:rsidR="00F5463F" w:rsidRPr="00F5463F" w:rsidRDefault="00F5463F"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F5463F">
              <w:rPr>
                <w:b/>
                <w:color w:val="000000"/>
              </w:rPr>
              <w:t>79.6%</w:t>
            </w:r>
          </w:p>
        </w:tc>
      </w:tr>
      <w:tr w:rsidR="00F5463F" w:rsidRPr="00F5463F" w14:paraId="2F67AA1C" w14:textId="77777777" w:rsidTr="00F5463F">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4841011" w14:textId="77777777" w:rsidR="00F5463F" w:rsidRPr="00F5463F" w:rsidRDefault="00F5463F" w:rsidP="00C93734">
            <w:pPr>
              <w:jc w:val="both"/>
              <w:rPr>
                <w:color w:val="000000"/>
              </w:rPr>
            </w:pPr>
            <w:r w:rsidRPr="00F5463F">
              <w:rPr>
                <w:color w:val="000000"/>
              </w:rPr>
              <w:t>Europe (other than UK);</w:t>
            </w:r>
          </w:p>
        </w:tc>
        <w:tc>
          <w:tcPr>
            <w:tcW w:w="1102" w:type="dxa"/>
            <w:noWrap/>
            <w:hideMark/>
          </w:tcPr>
          <w:p w14:paraId="4969192B" w14:textId="77777777" w:rsidR="00F5463F" w:rsidRPr="00F5463F" w:rsidRDefault="00F5463F"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F5463F">
              <w:rPr>
                <w:color w:val="000000"/>
              </w:rPr>
              <w:t>10.2%</w:t>
            </w:r>
          </w:p>
        </w:tc>
        <w:tc>
          <w:tcPr>
            <w:tcW w:w="969" w:type="dxa"/>
            <w:noWrap/>
            <w:hideMark/>
          </w:tcPr>
          <w:p w14:paraId="5FF75AEA" w14:textId="77777777" w:rsidR="00F5463F" w:rsidRPr="00F5463F" w:rsidRDefault="00F5463F"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F5463F">
              <w:rPr>
                <w:color w:val="000000"/>
              </w:rPr>
              <w:t>10.2%</w:t>
            </w:r>
          </w:p>
        </w:tc>
      </w:tr>
      <w:tr w:rsidR="00F5463F" w:rsidRPr="00F5463F" w14:paraId="78DB932B" w14:textId="77777777" w:rsidTr="00F5463F">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6F5CB9D" w14:textId="77777777" w:rsidR="00F5463F" w:rsidRPr="00F5463F" w:rsidRDefault="00F5463F" w:rsidP="00C93734">
            <w:pPr>
              <w:jc w:val="both"/>
              <w:rPr>
                <w:color w:val="000000"/>
              </w:rPr>
            </w:pPr>
            <w:r w:rsidRPr="00F5463F">
              <w:rPr>
                <w:color w:val="000000"/>
              </w:rPr>
              <w:t>USA;</w:t>
            </w:r>
          </w:p>
        </w:tc>
        <w:tc>
          <w:tcPr>
            <w:tcW w:w="1102" w:type="dxa"/>
            <w:noWrap/>
            <w:hideMark/>
          </w:tcPr>
          <w:p w14:paraId="0E911EE7" w14:textId="77777777" w:rsidR="00F5463F" w:rsidRPr="00F5463F" w:rsidRDefault="00F5463F"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F5463F">
              <w:rPr>
                <w:color w:val="000000"/>
              </w:rPr>
              <w:t>0.0%</w:t>
            </w:r>
          </w:p>
        </w:tc>
        <w:tc>
          <w:tcPr>
            <w:tcW w:w="969" w:type="dxa"/>
            <w:noWrap/>
            <w:hideMark/>
          </w:tcPr>
          <w:p w14:paraId="705B47BA" w14:textId="77777777" w:rsidR="00F5463F" w:rsidRPr="00F5463F" w:rsidRDefault="00F5463F"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F5463F">
              <w:rPr>
                <w:color w:val="000000"/>
              </w:rPr>
              <w:t>0.0%</w:t>
            </w:r>
          </w:p>
        </w:tc>
      </w:tr>
      <w:tr w:rsidR="00F5463F" w:rsidRPr="00F5463F" w14:paraId="3F7DCD27" w14:textId="77777777" w:rsidTr="00F5463F">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AA9C857" w14:textId="77777777" w:rsidR="00F5463F" w:rsidRPr="00F5463F" w:rsidRDefault="00F5463F" w:rsidP="00C93734">
            <w:pPr>
              <w:jc w:val="both"/>
              <w:rPr>
                <w:color w:val="000000"/>
              </w:rPr>
            </w:pPr>
            <w:r w:rsidRPr="00F5463F">
              <w:rPr>
                <w:color w:val="000000"/>
              </w:rPr>
              <w:t>China</w:t>
            </w:r>
          </w:p>
        </w:tc>
        <w:tc>
          <w:tcPr>
            <w:tcW w:w="1102" w:type="dxa"/>
            <w:noWrap/>
            <w:hideMark/>
          </w:tcPr>
          <w:p w14:paraId="7E7784D9" w14:textId="77777777" w:rsidR="00F5463F" w:rsidRPr="00F5463F" w:rsidRDefault="00F5463F"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F5463F">
              <w:rPr>
                <w:color w:val="000000"/>
              </w:rPr>
              <w:t>0.0%</w:t>
            </w:r>
          </w:p>
        </w:tc>
        <w:tc>
          <w:tcPr>
            <w:tcW w:w="969" w:type="dxa"/>
            <w:noWrap/>
            <w:hideMark/>
          </w:tcPr>
          <w:p w14:paraId="4A307177" w14:textId="77777777" w:rsidR="00F5463F" w:rsidRPr="00F5463F" w:rsidRDefault="00F5463F"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F5463F">
              <w:rPr>
                <w:color w:val="000000"/>
              </w:rPr>
              <w:t>0.0%</w:t>
            </w:r>
          </w:p>
        </w:tc>
      </w:tr>
      <w:tr w:rsidR="00F5463F" w:rsidRPr="00F5463F" w14:paraId="2F25E787" w14:textId="77777777" w:rsidTr="00F5463F">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83432B9" w14:textId="77777777" w:rsidR="00F5463F" w:rsidRPr="00F5463F" w:rsidRDefault="00F5463F" w:rsidP="00C93734">
            <w:pPr>
              <w:jc w:val="both"/>
              <w:rPr>
                <w:color w:val="000000"/>
              </w:rPr>
            </w:pPr>
            <w:r w:rsidRPr="00F5463F">
              <w:rPr>
                <w:color w:val="000000"/>
              </w:rPr>
              <w:t>Far East;</w:t>
            </w:r>
          </w:p>
        </w:tc>
        <w:tc>
          <w:tcPr>
            <w:tcW w:w="1102" w:type="dxa"/>
            <w:noWrap/>
            <w:hideMark/>
          </w:tcPr>
          <w:p w14:paraId="658AD013" w14:textId="77777777" w:rsidR="00F5463F" w:rsidRPr="00F5463F" w:rsidRDefault="00F5463F"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F5463F">
              <w:rPr>
                <w:color w:val="000000"/>
              </w:rPr>
              <w:t>2.0%</w:t>
            </w:r>
          </w:p>
        </w:tc>
        <w:tc>
          <w:tcPr>
            <w:tcW w:w="969" w:type="dxa"/>
            <w:noWrap/>
            <w:hideMark/>
          </w:tcPr>
          <w:p w14:paraId="195D662F" w14:textId="77777777" w:rsidR="00F5463F" w:rsidRPr="00F5463F" w:rsidRDefault="00F5463F"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F5463F">
              <w:rPr>
                <w:color w:val="000000"/>
              </w:rPr>
              <w:t>2.0%</w:t>
            </w:r>
          </w:p>
        </w:tc>
      </w:tr>
      <w:tr w:rsidR="00F5463F" w:rsidRPr="00F5463F" w14:paraId="35CBE5A7" w14:textId="77777777" w:rsidTr="00F5463F">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C2FE056" w14:textId="77777777" w:rsidR="00F5463F" w:rsidRPr="00F5463F" w:rsidRDefault="00F5463F" w:rsidP="00C93734">
            <w:pPr>
              <w:jc w:val="both"/>
              <w:rPr>
                <w:color w:val="000000"/>
              </w:rPr>
            </w:pPr>
            <w:r w:rsidRPr="00F5463F">
              <w:rPr>
                <w:color w:val="000000"/>
              </w:rPr>
              <w:t>Other Worldwide locations</w:t>
            </w:r>
          </w:p>
        </w:tc>
        <w:tc>
          <w:tcPr>
            <w:tcW w:w="1102" w:type="dxa"/>
            <w:noWrap/>
            <w:hideMark/>
          </w:tcPr>
          <w:p w14:paraId="33BE2938" w14:textId="77777777" w:rsidR="00F5463F" w:rsidRPr="00F5463F" w:rsidRDefault="00F5463F"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F5463F">
              <w:rPr>
                <w:color w:val="000000"/>
              </w:rPr>
              <w:t>8.2%</w:t>
            </w:r>
          </w:p>
        </w:tc>
        <w:tc>
          <w:tcPr>
            <w:tcW w:w="969" w:type="dxa"/>
            <w:noWrap/>
            <w:hideMark/>
          </w:tcPr>
          <w:p w14:paraId="21402B5A" w14:textId="77777777" w:rsidR="00F5463F" w:rsidRPr="00F5463F" w:rsidRDefault="00F5463F"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F5463F">
              <w:rPr>
                <w:color w:val="000000"/>
              </w:rPr>
              <w:t>8.2%</w:t>
            </w:r>
          </w:p>
        </w:tc>
      </w:tr>
    </w:tbl>
    <w:p w14:paraId="6A35F5DB" w14:textId="77777777" w:rsidR="00F5463F" w:rsidRPr="002805F3" w:rsidRDefault="00F5463F" w:rsidP="00C93734">
      <w:pPr>
        <w:pStyle w:val="TableSource"/>
        <w:jc w:val="both"/>
      </w:pPr>
      <w:r w:rsidRPr="002805F3">
        <w:t>Source: Hill Taylor and Atkins 2013. Atkins Ref: Survey –A17/K3</w:t>
      </w:r>
    </w:p>
    <w:p w14:paraId="3325C99F" w14:textId="77777777" w:rsidR="00F5463F" w:rsidRPr="00F103FE" w:rsidRDefault="00F5463F" w:rsidP="00C93734">
      <w:pPr>
        <w:jc w:val="both"/>
        <w:rPr>
          <w:rFonts w:cs="Arial"/>
          <w:b/>
        </w:rPr>
      </w:pPr>
      <w:r w:rsidRPr="00F103FE">
        <w:rPr>
          <w:rFonts w:cs="Arial"/>
          <w:b/>
        </w:rPr>
        <w:t>Skills</w:t>
      </w:r>
    </w:p>
    <w:p w14:paraId="4BB4A44A" w14:textId="77777777" w:rsidR="00F5463F" w:rsidRDefault="00F5463F" w:rsidP="00C93734">
      <w:pPr>
        <w:jc w:val="both"/>
        <w:rPr>
          <w:rFonts w:cs="Arial"/>
        </w:rPr>
      </w:pPr>
      <w:r>
        <w:rPr>
          <w:rFonts w:cs="Arial"/>
        </w:rPr>
        <w:t xml:space="preserve">A </w:t>
      </w:r>
      <w:r w:rsidR="0080042F">
        <w:rPr>
          <w:rFonts w:cs="Arial"/>
        </w:rPr>
        <w:t>significant</w:t>
      </w:r>
      <w:r>
        <w:rPr>
          <w:rFonts w:cs="Arial"/>
        </w:rPr>
        <w:t xml:space="preserve"> proportion of firms</w:t>
      </w:r>
      <w:r w:rsidR="0080042F">
        <w:rPr>
          <w:rFonts w:cs="Arial"/>
        </w:rPr>
        <w:t xml:space="preserve"> (28.6%)</w:t>
      </w:r>
      <w:r>
        <w:rPr>
          <w:rFonts w:cs="Arial"/>
        </w:rPr>
        <w:t xml:space="preserve"> identified skills shortages </w:t>
      </w:r>
      <w:r w:rsidR="0080042F">
        <w:rPr>
          <w:rFonts w:cs="Arial"/>
        </w:rPr>
        <w:t>with some firms highlighting the challenge of attracting appropriately skilled personnel to the area.</w:t>
      </w:r>
    </w:p>
    <w:p w14:paraId="6C0F8851" w14:textId="77777777" w:rsidR="00F5463F" w:rsidRPr="00F103FE" w:rsidRDefault="00F5463F" w:rsidP="00C93734">
      <w:pPr>
        <w:jc w:val="both"/>
        <w:rPr>
          <w:rFonts w:cs="Arial"/>
          <w:b/>
        </w:rPr>
      </w:pPr>
      <w:r w:rsidRPr="00F103FE">
        <w:rPr>
          <w:rFonts w:cs="Arial"/>
          <w:b/>
        </w:rPr>
        <w:t>Future Prospects</w:t>
      </w:r>
    </w:p>
    <w:p w14:paraId="2AED78AC" w14:textId="77777777" w:rsidR="00F5463F" w:rsidRDefault="00F72C3E" w:rsidP="00C93734">
      <w:pPr>
        <w:jc w:val="both"/>
        <w:rPr>
          <w:rFonts w:cs="Arial"/>
        </w:rPr>
      </w:pPr>
      <w:r>
        <w:rPr>
          <w:rFonts w:cs="Arial"/>
        </w:rPr>
        <w:t>Despite wider economic challenges</w:t>
      </w:r>
      <w:r w:rsidR="00F5463F">
        <w:rPr>
          <w:rFonts w:cs="Arial"/>
        </w:rPr>
        <w:t xml:space="preserve"> over the past 3 </w:t>
      </w:r>
      <w:r w:rsidR="00FB6120">
        <w:rPr>
          <w:rFonts w:cs="Arial"/>
        </w:rPr>
        <w:t>years a high proportion of chemical and p</w:t>
      </w:r>
      <w:r w:rsidR="00F5463F">
        <w:rPr>
          <w:rFonts w:cs="Arial"/>
        </w:rPr>
        <w:t xml:space="preserve">rocess </w:t>
      </w:r>
      <w:r w:rsidR="0009664C">
        <w:rPr>
          <w:rFonts w:cs="Arial"/>
        </w:rPr>
        <w:t>firms</w:t>
      </w:r>
      <w:r w:rsidR="00F5463F">
        <w:rPr>
          <w:rFonts w:cs="Arial"/>
        </w:rPr>
        <w:t xml:space="preserve"> ha</w:t>
      </w:r>
      <w:r w:rsidR="0009664C">
        <w:rPr>
          <w:rFonts w:cs="Arial"/>
        </w:rPr>
        <w:t>ve</w:t>
      </w:r>
      <w:r w:rsidR="00F5463F">
        <w:rPr>
          <w:rFonts w:cs="Arial"/>
        </w:rPr>
        <w:t xml:space="preserve"> increased the size of </w:t>
      </w:r>
      <w:r w:rsidR="0009664C">
        <w:rPr>
          <w:rFonts w:cs="Arial"/>
        </w:rPr>
        <w:t xml:space="preserve">their </w:t>
      </w:r>
      <w:r w:rsidR="00F5463F">
        <w:rPr>
          <w:rFonts w:cs="Arial"/>
        </w:rPr>
        <w:t>workforce</w:t>
      </w:r>
      <w:r w:rsidR="004C0C57">
        <w:rPr>
          <w:rFonts w:cs="Arial"/>
        </w:rPr>
        <w:t xml:space="preserve"> (42.9%)</w:t>
      </w:r>
      <w:r w:rsidR="00F5463F">
        <w:rPr>
          <w:rFonts w:cs="Arial"/>
        </w:rPr>
        <w:t xml:space="preserve">. This was confirmed to some extent </w:t>
      </w:r>
      <w:r w:rsidR="0009664C">
        <w:rPr>
          <w:rFonts w:cs="Arial"/>
        </w:rPr>
        <w:t>in interviews with firms, who had seen</w:t>
      </w:r>
      <w:r w:rsidR="00F5463F">
        <w:rPr>
          <w:rFonts w:cs="Arial"/>
        </w:rPr>
        <w:t xml:space="preserve"> small increases in the size of the workforce. However, prior to three years ago many had seen a </w:t>
      </w:r>
      <w:r>
        <w:rPr>
          <w:rFonts w:cs="Arial"/>
        </w:rPr>
        <w:t>significant</w:t>
      </w:r>
      <w:r w:rsidR="00F5463F">
        <w:rPr>
          <w:rFonts w:cs="Arial"/>
        </w:rPr>
        <w:t xml:space="preserve"> drop in employment as demand for output had </w:t>
      </w:r>
      <w:r>
        <w:rPr>
          <w:rFonts w:cs="Arial"/>
        </w:rPr>
        <w:t>declined with some</w:t>
      </w:r>
      <w:r w:rsidR="00F5463F">
        <w:rPr>
          <w:rFonts w:cs="Arial"/>
        </w:rPr>
        <w:t xml:space="preserve"> companies</w:t>
      </w:r>
      <w:r>
        <w:rPr>
          <w:rFonts w:cs="Arial"/>
        </w:rPr>
        <w:t xml:space="preserve"> having to restructure</w:t>
      </w:r>
      <w:r w:rsidR="00F5463F">
        <w:rPr>
          <w:rFonts w:cs="Arial"/>
        </w:rPr>
        <w:t>.</w:t>
      </w:r>
    </w:p>
    <w:p w14:paraId="733B3207" w14:textId="77777777" w:rsidR="00F5463F" w:rsidRDefault="00F5463F" w:rsidP="00C93734">
      <w:pPr>
        <w:pStyle w:val="Caption"/>
        <w:jc w:val="both"/>
      </w:pPr>
      <w:r>
        <w:t xml:space="preserve">Table </w:t>
      </w:r>
      <w:fldSimple w:instr=" STYLEREF 1 \s  \* MERGEFORMAT ">
        <w:r w:rsidR="00E95E1A">
          <w:rPr>
            <w:noProof/>
          </w:rPr>
          <w:t>6</w:t>
        </w:r>
      </w:fldSimple>
      <w:r>
        <w:t>-</w:t>
      </w:r>
      <w:fldSimple w:instr=" SEQ Table \* ARABIC \s 1  \* MERGEFORMAT ">
        <w:r w:rsidR="00E95E1A">
          <w:rPr>
            <w:noProof/>
          </w:rPr>
          <w:t>7</w:t>
        </w:r>
      </w:fldSimple>
      <w:r>
        <w:tab/>
        <w:t>Size of Workforce</w:t>
      </w:r>
    </w:p>
    <w:tbl>
      <w:tblPr>
        <w:tblStyle w:val="Atkins14pt"/>
        <w:tblW w:w="3107" w:type="dxa"/>
        <w:tblLayout w:type="fixed"/>
        <w:tblLook w:val="04A0" w:firstRow="1" w:lastRow="0" w:firstColumn="1" w:lastColumn="0" w:noHBand="0" w:noVBand="1"/>
      </w:tblPr>
      <w:tblGrid>
        <w:gridCol w:w="1474"/>
        <w:gridCol w:w="1633"/>
      </w:tblGrid>
      <w:tr w:rsidR="006E52FE" w:rsidRPr="002805F3" w14:paraId="15BA9BEF" w14:textId="77777777" w:rsidTr="006E52F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74" w:type="dxa"/>
            <w:noWrap/>
            <w:hideMark/>
          </w:tcPr>
          <w:p w14:paraId="40FB24B0" w14:textId="77777777" w:rsidR="006E52FE" w:rsidRPr="00DC3863" w:rsidRDefault="006E52FE" w:rsidP="00C93734">
            <w:pPr>
              <w:jc w:val="both"/>
              <w:rPr>
                <w:color w:val="000000"/>
              </w:rPr>
            </w:pPr>
            <w:r w:rsidRPr="00DC3863">
              <w:rPr>
                <w:color w:val="000000"/>
              </w:rPr>
              <w:t>Movement</w:t>
            </w:r>
          </w:p>
        </w:tc>
        <w:tc>
          <w:tcPr>
            <w:tcW w:w="1633" w:type="dxa"/>
            <w:noWrap/>
            <w:hideMark/>
          </w:tcPr>
          <w:p w14:paraId="7DBB4E5F" w14:textId="77777777" w:rsidR="006E52FE" w:rsidRPr="00DC3863" w:rsidRDefault="006E52FE" w:rsidP="00C93734">
            <w:pPr>
              <w:jc w:val="both"/>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Chemicals &amp; process industries</w:t>
            </w:r>
          </w:p>
        </w:tc>
      </w:tr>
      <w:tr w:rsidR="006E52FE" w:rsidRPr="002805F3" w14:paraId="787D6DE5" w14:textId="77777777" w:rsidTr="006E52FE">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32FCD865" w14:textId="77777777" w:rsidR="006E52FE" w:rsidRPr="00DC3863" w:rsidRDefault="006E52FE" w:rsidP="00C93734">
            <w:pPr>
              <w:spacing w:after="120"/>
              <w:jc w:val="both"/>
              <w:rPr>
                <w:color w:val="000000"/>
              </w:rPr>
            </w:pPr>
            <w:r w:rsidRPr="00DC3863">
              <w:rPr>
                <w:color w:val="000000"/>
              </w:rPr>
              <w:t>Increased</w:t>
            </w:r>
          </w:p>
        </w:tc>
        <w:tc>
          <w:tcPr>
            <w:tcW w:w="1633" w:type="dxa"/>
            <w:noWrap/>
            <w:hideMark/>
          </w:tcPr>
          <w:p w14:paraId="290679DA" w14:textId="77777777" w:rsidR="006E52FE" w:rsidRPr="00DC3863" w:rsidRDefault="006E52FE"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42.9%</w:t>
            </w:r>
          </w:p>
        </w:tc>
      </w:tr>
      <w:tr w:rsidR="006E52FE" w:rsidRPr="002805F3" w14:paraId="2317E501" w14:textId="77777777" w:rsidTr="006E52FE">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7EEDD1E3" w14:textId="77777777" w:rsidR="006E52FE" w:rsidRPr="00DC3863" w:rsidRDefault="006E52FE" w:rsidP="00C93734">
            <w:pPr>
              <w:spacing w:after="120"/>
              <w:jc w:val="both"/>
              <w:rPr>
                <w:color w:val="000000"/>
              </w:rPr>
            </w:pPr>
            <w:r w:rsidRPr="00DC3863">
              <w:rPr>
                <w:color w:val="000000"/>
              </w:rPr>
              <w:t>Decreased</w:t>
            </w:r>
          </w:p>
        </w:tc>
        <w:tc>
          <w:tcPr>
            <w:tcW w:w="1633" w:type="dxa"/>
            <w:noWrap/>
            <w:hideMark/>
          </w:tcPr>
          <w:p w14:paraId="049A00A8" w14:textId="77777777" w:rsidR="006E52FE" w:rsidRPr="00DC3863" w:rsidRDefault="006E52FE"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14.3%</w:t>
            </w:r>
          </w:p>
        </w:tc>
      </w:tr>
      <w:tr w:rsidR="006E52FE" w:rsidRPr="002805F3" w14:paraId="1612FA4F" w14:textId="77777777" w:rsidTr="006E52FE">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66B92523" w14:textId="77777777" w:rsidR="006E52FE" w:rsidRPr="00DC3863" w:rsidRDefault="006E52FE" w:rsidP="00C93734">
            <w:pPr>
              <w:spacing w:after="120"/>
              <w:jc w:val="both"/>
              <w:rPr>
                <w:color w:val="000000"/>
              </w:rPr>
            </w:pPr>
            <w:r w:rsidRPr="00DC3863">
              <w:rPr>
                <w:color w:val="000000"/>
              </w:rPr>
              <w:t>Remained stable</w:t>
            </w:r>
          </w:p>
        </w:tc>
        <w:tc>
          <w:tcPr>
            <w:tcW w:w="1633" w:type="dxa"/>
            <w:noWrap/>
            <w:hideMark/>
          </w:tcPr>
          <w:p w14:paraId="67D29E62" w14:textId="77777777" w:rsidR="006E52FE" w:rsidRPr="00DC3863" w:rsidRDefault="006E52FE"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42.9%</w:t>
            </w:r>
          </w:p>
        </w:tc>
      </w:tr>
    </w:tbl>
    <w:p w14:paraId="711960F8" w14:textId="77777777" w:rsidR="00F5463F" w:rsidRDefault="00F5463F" w:rsidP="00C93734">
      <w:pPr>
        <w:pStyle w:val="TableSource"/>
        <w:jc w:val="both"/>
      </w:pPr>
      <w:r w:rsidRPr="002805F3">
        <w:t>Source: Hill Taylor and Atkins 2013. Atkins Ref: Survey –A20</w:t>
      </w:r>
    </w:p>
    <w:p w14:paraId="75A9F3BD" w14:textId="77777777" w:rsidR="00F5463F" w:rsidRDefault="00F5463F" w:rsidP="00C93734">
      <w:pPr>
        <w:jc w:val="both"/>
        <w:rPr>
          <w:rFonts w:cs="Arial"/>
        </w:rPr>
      </w:pPr>
      <w:r>
        <w:rPr>
          <w:rFonts w:cs="Arial"/>
        </w:rPr>
        <w:t xml:space="preserve">Looking forward, this optimism remains with 57.1% of firms </w:t>
      </w:r>
      <w:r w:rsidR="00F72C3E">
        <w:rPr>
          <w:rFonts w:cs="Arial"/>
        </w:rPr>
        <w:t>intending</w:t>
      </w:r>
      <w:r>
        <w:rPr>
          <w:rFonts w:cs="Arial"/>
        </w:rPr>
        <w:t xml:space="preserve"> to invest in the future. This was confirmed with companies identifying that an upturn in commercial activity had taken place, but </w:t>
      </w:r>
      <w:r w:rsidR="0009664C">
        <w:rPr>
          <w:rFonts w:cs="Arial"/>
        </w:rPr>
        <w:t xml:space="preserve">had </w:t>
      </w:r>
      <w:r>
        <w:rPr>
          <w:rFonts w:cs="Arial"/>
        </w:rPr>
        <w:t xml:space="preserve">not </w:t>
      </w:r>
      <w:r w:rsidR="00F72C3E">
        <w:rPr>
          <w:rFonts w:cs="Arial"/>
        </w:rPr>
        <w:t>yet reach</w:t>
      </w:r>
      <w:r w:rsidR="0009664C">
        <w:rPr>
          <w:rFonts w:cs="Arial"/>
        </w:rPr>
        <w:t>ed</w:t>
      </w:r>
      <w:r w:rsidR="00F72C3E">
        <w:rPr>
          <w:rFonts w:cs="Arial"/>
        </w:rPr>
        <w:t xml:space="preserve"> </w:t>
      </w:r>
      <w:r>
        <w:rPr>
          <w:rFonts w:cs="Arial"/>
        </w:rPr>
        <w:t>pre-recession</w:t>
      </w:r>
      <w:r w:rsidR="00F72C3E">
        <w:rPr>
          <w:rFonts w:cs="Arial"/>
        </w:rPr>
        <w:t xml:space="preserve"> levels</w:t>
      </w:r>
      <w:r>
        <w:rPr>
          <w:rFonts w:cs="Arial"/>
        </w:rPr>
        <w:t>.</w:t>
      </w:r>
    </w:p>
    <w:p w14:paraId="13F89E5C" w14:textId="77777777" w:rsidR="00F5463F" w:rsidRDefault="00F5463F" w:rsidP="00C93734">
      <w:pPr>
        <w:jc w:val="both"/>
        <w:rPr>
          <w:rFonts w:cs="Arial"/>
        </w:rPr>
      </w:pPr>
      <w:r>
        <w:t xml:space="preserve">Very few companies had sought to move (5%) and a high proportion (90.5%) </w:t>
      </w:r>
      <w:r w:rsidR="00F72C3E">
        <w:t>consider</w:t>
      </w:r>
      <w:r>
        <w:t xml:space="preserve"> that their location was good and competitive. Access to the road network was seen as the </w:t>
      </w:r>
      <w:r w:rsidR="00F72C3E">
        <w:t>one of the most important</w:t>
      </w:r>
      <w:r>
        <w:t xml:space="preserve"> </w:t>
      </w:r>
      <w:r w:rsidR="00F72C3E">
        <w:t>factors that gives the area a locational advantage.</w:t>
      </w:r>
      <w:r>
        <w:t xml:space="preserve"> </w:t>
      </w:r>
    </w:p>
    <w:p w14:paraId="43DFFD46" w14:textId="77777777" w:rsidR="002F7137" w:rsidRDefault="002F7137" w:rsidP="00C93734">
      <w:pPr>
        <w:pStyle w:val="Heading3"/>
        <w:numPr>
          <w:ilvl w:val="2"/>
          <w:numId w:val="5"/>
        </w:numPr>
        <w:jc w:val="both"/>
      </w:pPr>
      <w:r>
        <w:t>Economic Linkages &amp; Supply Chain</w:t>
      </w:r>
    </w:p>
    <w:p w14:paraId="030435B5" w14:textId="77777777" w:rsidR="00067569" w:rsidRDefault="00C74C63" w:rsidP="00C93734">
      <w:pPr>
        <w:spacing w:after="120"/>
        <w:jc w:val="both"/>
      </w:pPr>
      <w:r>
        <w:t xml:space="preserve">Despite an industry with global </w:t>
      </w:r>
      <w:r w:rsidR="00FB6120">
        <w:t>reach</w:t>
      </w:r>
      <w:r w:rsidR="007E2D4C">
        <w:t xml:space="preserve">, the </w:t>
      </w:r>
      <w:r>
        <w:t>sector</w:t>
      </w:r>
      <w:r w:rsidR="007E2D4C">
        <w:t xml:space="preserve"> is </w:t>
      </w:r>
      <w:r w:rsidR="00865982">
        <w:t>well connected</w:t>
      </w:r>
      <w:r>
        <w:t xml:space="preserve"> within the local economy.  Examples are provided below: </w:t>
      </w:r>
      <w:r w:rsidR="00865982">
        <w:t xml:space="preserve"> </w:t>
      </w:r>
    </w:p>
    <w:p w14:paraId="538D1AF9" w14:textId="77777777" w:rsidR="00C74C63" w:rsidRPr="00C74C63" w:rsidRDefault="00865982" w:rsidP="00C93734">
      <w:pPr>
        <w:spacing w:after="120"/>
        <w:jc w:val="both"/>
        <w:rPr>
          <w:b/>
        </w:rPr>
      </w:pPr>
      <w:r w:rsidRPr="00C74C63">
        <w:rPr>
          <w:b/>
        </w:rPr>
        <w:t>Manufacturing</w:t>
      </w:r>
    </w:p>
    <w:p w14:paraId="6750A177" w14:textId="77777777" w:rsidR="00737761" w:rsidRDefault="00C74C63" w:rsidP="00C93734">
      <w:pPr>
        <w:spacing w:after="120"/>
        <w:jc w:val="both"/>
      </w:pPr>
      <w:r>
        <w:t xml:space="preserve">A </w:t>
      </w:r>
      <w:r w:rsidR="00737761">
        <w:t>wide variety of products and chemical</w:t>
      </w:r>
      <w:r>
        <w:t>s</w:t>
      </w:r>
      <w:r w:rsidR="00737761">
        <w:t xml:space="preserve"> are manufactured in the local </w:t>
      </w:r>
      <w:r>
        <w:t>area. These include:</w:t>
      </w:r>
    </w:p>
    <w:p w14:paraId="1B4F4F5D" w14:textId="77777777" w:rsidR="008D7250" w:rsidRDefault="00737761">
      <w:pPr>
        <w:pStyle w:val="ListParagraph"/>
        <w:numPr>
          <w:ilvl w:val="0"/>
          <w:numId w:val="76"/>
        </w:numPr>
        <w:spacing w:after="120"/>
        <w:jc w:val="both"/>
      </w:pPr>
      <w:r>
        <w:t>Pharmaceuticals &amp; chemical manufacturer Novartis</w:t>
      </w:r>
      <w:r w:rsidR="00D25450">
        <w:t>,</w:t>
      </w:r>
      <w:r>
        <w:t xml:space="preserve"> which has recently expanded operation</w:t>
      </w:r>
      <w:r w:rsidR="00FB6120">
        <w:t>s.</w:t>
      </w:r>
      <w:r>
        <w:t xml:space="preserve"> </w:t>
      </w:r>
    </w:p>
    <w:p w14:paraId="4CA4634C" w14:textId="77777777" w:rsidR="008D7250" w:rsidRDefault="00737761">
      <w:pPr>
        <w:pStyle w:val="ListParagraph"/>
        <w:numPr>
          <w:ilvl w:val="0"/>
          <w:numId w:val="76"/>
        </w:numPr>
        <w:spacing w:after="120"/>
        <w:jc w:val="both"/>
      </w:pPr>
      <w:r>
        <w:t>BASF</w:t>
      </w:r>
      <w:r w:rsidR="00D25450">
        <w:t>,</w:t>
      </w:r>
      <w:r>
        <w:t xml:space="preserve"> which manufactures performance products </w:t>
      </w:r>
      <w:r w:rsidRPr="00737761">
        <w:t>used to enhance industrial processing in industries such as papermaking, mining, oil extraction, wastewater treatment and textile processing</w:t>
      </w:r>
      <w:r>
        <w:t xml:space="preserve">. </w:t>
      </w:r>
    </w:p>
    <w:p w14:paraId="59824382" w14:textId="77777777" w:rsidR="008D7250" w:rsidRDefault="00737761">
      <w:pPr>
        <w:pStyle w:val="ListParagraph"/>
        <w:numPr>
          <w:ilvl w:val="0"/>
          <w:numId w:val="76"/>
        </w:numPr>
        <w:spacing w:after="120"/>
        <w:jc w:val="both"/>
      </w:pPr>
      <w:r>
        <w:t>Cristal</w:t>
      </w:r>
      <w:r w:rsidR="00D25450">
        <w:t>,</w:t>
      </w:r>
      <w:r>
        <w:t xml:space="preserve"> which produces titanium </w:t>
      </w:r>
      <w:r w:rsidR="005F3B05">
        <w:t>di</w:t>
      </w:r>
      <w:r>
        <w:t xml:space="preserve">oxide at its site near Stallingborough. </w:t>
      </w:r>
      <w:r w:rsidR="00D25450">
        <w:t>Another site</w:t>
      </w:r>
      <w:r>
        <w:t>, Huntsman Tioxide</w:t>
      </w:r>
      <w:r w:rsidR="00D25450">
        <w:t>,</w:t>
      </w:r>
      <w:r>
        <w:t xml:space="preserve"> closed in 2009 because of </w:t>
      </w:r>
      <w:r w:rsidRPr="00737761">
        <w:t xml:space="preserve">ageing </w:t>
      </w:r>
      <w:r w:rsidR="005F3B05">
        <w:t>processes</w:t>
      </w:r>
      <w:r w:rsidR="00D25450">
        <w:t xml:space="preserve"> and </w:t>
      </w:r>
      <w:r w:rsidRPr="00737761">
        <w:t xml:space="preserve">infrastructure and the </w:t>
      </w:r>
      <w:r w:rsidR="00FB6120">
        <w:t>challenging</w:t>
      </w:r>
      <w:r w:rsidRPr="00737761">
        <w:t xml:space="preserve"> economic </w:t>
      </w:r>
      <w:r w:rsidR="00FB6120">
        <w:t>conditions</w:t>
      </w:r>
      <w:r>
        <w:t>.</w:t>
      </w:r>
      <w:r w:rsidR="00DC7266">
        <w:t xml:space="preserve"> This creates issues for the re-use of sites due to potential contamination issues and cleanup operation costs</w:t>
      </w:r>
    </w:p>
    <w:p w14:paraId="7564B774" w14:textId="77777777" w:rsidR="00C74C63" w:rsidRPr="00C74C63" w:rsidRDefault="00C74C63" w:rsidP="00C93734">
      <w:pPr>
        <w:spacing w:after="120"/>
        <w:jc w:val="both"/>
        <w:rPr>
          <w:b/>
        </w:rPr>
      </w:pPr>
      <w:r w:rsidRPr="00C74C63">
        <w:rPr>
          <w:b/>
        </w:rPr>
        <w:t>Refineries</w:t>
      </w:r>
    </w:p>
    <w:p w14:paraId="33DEC631" w14:textId="77777777" w:rsidR="00737761" w:rsidRDefault="00865982" w:rsidP="00C93734">
      <w:pPr>
        <w:spacing w:after="120"/>
        <w:jc w:val="both"/>
      </w:pPr>
      <w:r w:rsidRPr="00865982">
        <w:t xml:space="preserve">Although the two main refineries </w:t>
      </w:r>
      <w:r w:rsidR="00C74C63">
        <w:t>serving</w:t>
      </w:r>
      <w:r w:rsidRPr="00865982">
        <w:t xml:space="preserve"> the local area are in North Lincolnshire, they provide an important source of employment for </w:t>
      </w:r>
      <w:r w:rsidR="00C74C63">
        <w:t>NEL residents</w:t>
      </w:r>
      <w:r w:rsidRPr="00865982">
        <w:t xml:space="preserve"> and are vital </w:t>
      </w:r>
      <w:r w:rsidR="00C74C63">
        <w:t>to the future of the sector</w:t>
      </w:r>
      <w:r w:rsidRPr="00865982">
        <w:t>.</w:t>
      </w:r>
      <w:r w:rsidR="00737761">
        <w:t xml:space="preserve"> There is a strong belief that the manufacturing and refinery operations have long futures in the local area </w:t>
      </w:r>
      <w:r w:rsidR="00C74C63">
        <w:t>given</w:t>
      </w:r>
      <w:r w:rsidR="00737761">
        <w:t xml:space="preserve"> the cost involved</w:t>
      </w:r>
      <w:r w:rsidR="00C74C63">
        <w:t xml:space="preserve"> in shutting down sites. </w:t>
      </w:r>
      <w:r w:rsidR="0009664C">
        <w:t>Competition,</w:t>
      </w:r>
      <w:r w:rsidR="00737761">
        <w:t xml:space="preserve">, cost reduction measures and </w:t>
      </w:r>
      <w:r w:rsidR="00C74C63">
        <w:t>wider economic and regulatory</w:t>
      </w:r>
      <w:r w:rsidR="00737761">
        <w:t xml:space="preserve"> factors </w:t>
      </w:r>
      <w:r w:rsidR="00C35854">
        <w:t xml:space="preserve">may </w:t>
      </w:r>
      <w:r w:rsidR="005D63BF">
        <w:t xml:space="preserve">however </w:t>
      </w:r>
      <w:r w:rsidR="00C35854">
        <w:t>impact site viability in the long-term.</w:t>
      </w:r>
      <w:r w:rsidR="00FB6120">
        <w:t xml:space="preserve"> This competition will largely be driven by the availability of affordable energy.</w:t>
      </w:r>
    </w:p>
    <w:p w14:paraId="046612C2" w14:textId="77777777" w:rsidR="00C74C63" w:rsidRPr="00C74C63" w:rsidRDefault="00865982" w:rsidP="00C93734">
      <w:pPr>
        <w:spacing w:after="120"/>
        <w:jc w:val="both"/>
        <w:rPr>
          <w:b/>
        </w:rPr>
      </w:pPr>
      <w:r w:rsidRPr="00C74C63">
        <w:rPr>
          <w:b/>
        </w:rPr>
        <w:t>Biofuel</w:t>
      </w:r>
    </w:p>
    <w:p w14:paraId="5AEA3E7E" w14:textId="77777777" w:rsidR="00C35854" w:rsidRDefault="00C35854" w:rsidP="00C93734">
      <w:pPr>
        <w:spacing w:after="120"/>
        <w:jc w:val="both"/>
      </w:pPr>
      <w:r>
        <w:t xml:space="preserve">A range of biofuel assets already exist although there is potential for </w:t>
      </w:r>
      <w:r w:rsidR="00C74C63">
        <w:t>further growth and investment</w:t>
      </w:r>
      <w:r>
        <w:t xml:space="preserve">. This is dependent on </w:t>
      </w:r>
      <w:r w:rsidR="005D63BF">
        <w:t>future government support</w:t>
      </w:r>
      <w:r>
        <w:t xml:space="preserve"> for the industry. </w:t>
      </w:r>
      <w:r w:rsidR="00C74C63">
        <w:t>Additional</w:t>
      </w:r>
      <w:r>
        <w:t xml:space="preserve"> facilities and </w:t>
      </w:r>
      <w:r w:rsidR="00C74C63">
        <w:t xml:space="preserve">appropriate </w:t>
      </w:r>
      <w:r>
        <w:t>logistics</w:t>
      </w:r>
      <w:r w:rsidR="00C74C63">
        <w:t xml:space="preserve"> solutions will need to be provided </w:t>
      </w:r>
      <w:r>
        <w:t>if there is a rapid increase in the demand for biofuels.</w:t>
      </w:r>
    </w:p>
    <w:p w14:paraId="676C5371" w14:textId="77777777" w:rsidR="00C74C63" w:rsidRPr="00C74C63" w:rsidRDefault="00C74C63" w:rsidP="00C93734">
      <w:pPr>
        <w:spacing w:after="120"/>
        <w:jc w:val="both"/>
        <w:rPr>
          <w:b/>
        </w:rPr>
      </w:pPr>
      <w:r w:rsidRPr="00C74C63">
        <w:rPr>
          <w:b/>
        </w:rPr>
        <w:t>Specialist Engineering</w:t>
      </w:r>
    </w:p>
    <w:p w14:paraId="41CA16ED" w14:textId="77777777" w:rsidR="006923F2" w:rsidRDefault="006462AE" w:rsidP="00C93734">
      <w:pPr>
        <w:spacing w:after="120"/>
        <w:jc w:val="both"/>
      </w:pPr>
      <w:r>
        <w:t>A range of s</w:t>
      </w:r>
      <w:r w:rsidR="00865982">
        <w:t xml:space="preserve">pecialist </w:t>
      </w:r>
      <w:r>
        <w:t>e</w:t>
      </w:r>
      <w:r w:rsidR="00865982">
        <w:t>ngineering</w:t>
      </w:r>
      <w:r>
        <w:t xml:space="preserve"> firms </w:t>
      </w:r>
      <w:r w:rsidR="00C74C63">
        <w:t>are based in the area in order to support the chemicals and processing sector.  These include:</w:t>
      </w:r>
    </w:p>
    <w:p w14:paraId="00DE6C20" w14:textId="77777777" w:rsidR="00F07D45" w:rsidRDefault="006462AE" w:rsidP="00C93734">
      <w:pPr>
        <w:pStyle w:val="ListParagraph"/>
        <w:numPr>
          <w:ilvl w:val="1"/>
          <w:numId w:val="30"/>
        </w:numPr>
        <w:spacing w:after="120"/>
        <w:jc w:val="both"/>
      </w:pPr>
      <w:r>
        <w:t xml:space="preserve">Jacobs LES </w:t>
      </w:r>
      <w:r w:rsidR="005D63BF">
        <w:t>L</w:t>
      </w:r>
      <w:r>
        <w:t>td</w:t>
      </w:r>
      <w:r w:rsidR="005D63BF">
        <w:t xml:space="preserve">., a </w:t>
      </w:r>
      <w:r>
        <w:t xml:space="preserve">mechanical and electrical engineering firm which provides input across design, installation and manufacture. </w:t>
      </w:r>
    </w:p>
    <w:p w14:paraId="6FE6BBEC" w14:textId="77777777" w:rsidR="00F07D45" w:rsidRDefault="006923F2" w:rsidP="00C93734">
      <w:pPr>
        <w:pStyle w:val="ListParagraph"/>
        <w:numPr>
          <w:ilvl w:val="1"/>
          <w:numId w:val="30"/>
        </w:numPr>
        <w:spacing w:after="120"/>
        <w:jc w:val="both"/>
      </w:pPr>
      <w:r w:rsidRPr="006923F2">
        <w:t>Bilfinger Industrial Services</w:t>
      </w:r>
      <w:r w:rsidR="005D63BF">
        <w:t>,</w:t>
      </w:r>
      <w:r w:rsidRPr="006923F2">
        <w:t xml:space="preserve"> </w:t>
      </w:r>
      <w:r w:rsidR="005D63BF">
        <w:t>who</w:t>
      </w:r>
      <w:r w:rsidR="005D63BF" w:rsidRPr="006923F2">
        <w:t xml:space="preserve"> </w:t>
      </w:r>
      <w:r w:rsidRPr="006923F2">
        <w:t>pr</w:t>
      </w:r>
      <w:r>
        <w:t xml:space="preserve">ovide a wide range of services including </w:t>
      </w:r>
      <w:r w:rsidR="005D63BF">
        <w:t>p</w:t>
      </w:r>
      <w:r w:rsidRPr="006923F2">
        <w:t xml:space="preserve">rofessional </w:t>
      </w:r>
      <w:r w:rsidR="005D63BF">
        <w:t>e</w:t>
      </w:r>
      <w:r w:rsidRPr="006923F2">
        <w:t xml:space="preserve">ngineering, </w:t>
      </w:r>
      <w:r w:rsidR="005D63BF">
        <w:t>pr</w:t>
      </w:r>
      <w:r w:rsidRPr="006923F2">
        <w:t xml:space="preserve">oject </w:t>
      </w:r>
      <w:r w:rsidR="005D63BF">
        <w:t>m</w:t>
      </w:r>
      <w:r w:rsidRPr="006923F2">
        <w:t xml:space="preserve">anagement, </w:t>
      </w:r>
      <w:r w:rsidR="005D63BF">
        <w:t>e</w:t>
      </w:r>
      <w:r w:rsidRPr="006923F2">
        <w:t xml:space="preserve">ngineering </w:t>
      </w:r>
      <w:r w:rsidR="005D63BF">
        <w:t>d</w:t>
      </w:r>
      <w:r w:rsidRPr="006923F2">
        <w:t xml:space="preserve">esign and </w:t>
      </w:r>
      <w:r w:rsidR="005D63BF">
        <w:t>c</w:t>
      </w:r>
      <w:r w:rsidRPr="006923F2">
        <w:t xml:space="preserve">onstruction </w:t>
      </w:r>
      <w:r w:rsidR="005D63BF">
        <w:t>s</w:t>
      </w:r>
      <w:r w:rsidRPr="006923F2">
        <w:t xml:space="preserve">ervices </w:t>
      </w:r>
    </w:p>
    <w:p w14:paraId="01C444B3" w14:textId="77777777" w:rsidR="006923F2" w:rsidRDefault="006923F2" w:rsidP="00C93734">
      <w:pPr>
        <w:pStyle w:val="ListParagraph"/>
        <w:numPr>
          <w:ilvl w:val="1"/>
          <w:numId w:val="30"/>
        </w:numPr>
        <w:spacing w:after="120"/>
        <w:jc w:val="both"/>
      </w:pPr>
      <w:r w:rsidRPr="006923F2">
        <w:t>Redhall Jex</w:t>
      </w:r>
      <w:r w:rsidR="005D63BF">
        <w:t>,</w:t>
      </w:r>
      <w:r w:rsidRPr="006923F2">
        <w:t xml:space="preserve"> </w:t>
      </w:r>
      <w:r w:rsidR="005D63BF">
        <w:t>who</w:t>
      </w:r>
      <w:r w:rsidR="005D63BF" w:rsidRPr="006923F2">
        <w:t xml:space="preserve"> </w:t>
      </w:r>
      <w:r w:rsidRPr="006923F2">
        <w:t xml:space="preserve">support </w:t>
      </w:r>
      <w:r>
        <w:t xml:space="preserve">pharmaceutical </w:t>
      </w:r>
      <w:r w:rsidRPr="006923F2">
        <w:t>and other manufacturing productio</w:t>
      </w:r>
      <w:r w:rsidR="005D63BF">
        <w:t>n processes.</w:t>
      </w:r>
      <w:r w:rsidRPr="006923F2">
        <w:t xml:space="preserve"> </w:t>
      </w:r>
    </w:p>
    <w:p w14:paraId="618C3EB3" w14:textId="77777777" w:rsidR="00C74C63" w:rsidRPr="00C74C63" w:rsidRDefault="00865982" w:rsidP="00C93734">
      <w:pPr>
        <w:spacing w:after="200" w:line="276" w:lineRule="auto"/>
        <w:jc w:val="both"/>
        <w:rPr>
          <w:b/>
        </w:rPr>
      </w:pPr>
      <w:r w:rsidRPr="00C74C63">
        <w:rPr>
          <w:b/>
        </w:rPr>
        <w:t>Storage</w:t>
      </w:r>
    </w:p>
    <w:p w14:paraId="5C4E314B" w14:textId="77777777" w:rsidR="006923F2" w:rsidRDefault="006923F2" w:rsidP="00C93734">
      <w:pPr>
        <w:spacing w:after="120"/>
        <w:jc w:val="both"/>
      </w:pPr>
      <w:r>
        <w:t xml:space="preserve">The storage of materials and chemicals is important for the importing and exporting of </w:t>
      </w:r>
      <w:r w:rsidR="00C74C63">
        <w:t>products</w:t>
      </w:r>
      <w:r>
        <w:t xml:space="preserve"> and liquids. Many companies based in or near Immingham docks are able to support the local industry and support the delivery of bulk liquids and chemicals to site or market. Firms such as Simon Storage play an important role in delivering this.</w:t>
      </w:r>
    </w:p>
    <w:p w14:paraId="3EC5FA0A" w14:textId="77777777" w:rsidR="000D0DE4" w:rsidRPr="00754915" w:rsidRDefault="00C74C63" w:rsidP="00C93734">
      <w:pPr>
        <w:spacing w:after="120"/>
        <w:jc w:val="both"/>
      </w:pPr>
      <w:r>
        <w:t>There are also clear linkages with other key sectors including:</w:t>
      </w:r>
    </w:p>
    <w:p w14:paraId="4C162BC5" w14:textId="77777777" w:rsidR="000D0DE4" w:rsidRPr="00754915" w:rsidRDefault="000D0DE4" w:rsidP="00C93734">
      <w:pPr>
        <w:pStyle w:val="ListParagraph"/>
        <w:numPr>
          <w:ilvl w:val="0"/>
          <w:numId w:val="29"/>
        </w:numPr>
        <w:spacing w:after="120"/>
        <w:jc w:val="both"/>
      </w:pPr>
      <w:r w:rsidRPr="00754915">
        <w:t>C</w:t>
      </w:r>
      <w:r w:rsidR="00FA5072" w:rsidRPr="00754915">
        <w:t>ompa</w:t>
      </w:r>
      <w:r w:rsidRPr="00754915">
        <w:t xml:space="preserve">nies involved in biotechnology that use </w:t>
      </w:r>
      <w:r w:rsidR="00FA5072" w:rsidRPr="00754915">
        <w:t>fish waste in biotech research</w:t>
      </w:r>
      <w:r w:rsidRPr="00754915">
        <w:t xml:space="preserve"> or extract</w:t>
      </w:r>
      <w:r w:rsidR="00FA5072" w:rsidRPr="00754915">
        <w:t xml:space="preserve"> Omega-3 oils from fish</w:t>
      </w:r>
      <w:r w:rsidRPr="00754915">
        <w:t>.</w:t>
      </w:r>
    </w:p>
    <w:p w14:paraId="099A121D" w14:textId="77777777" w:rsidR="00FA5072" w:rsidRPr="00754915" w:rsidRDefault="000D0DE4" w:rsidP="00C93734">
      <w:pPr>
        <w:pStyle w:val="ListParagraph"/>
        <w:numPr>
          <w:ilvl w:val="0"/>
          <w:numId w:val="29"/>
        </w:numPr>
        <w:spacing w:after="120"/>
        <w:jc w:val="both"/>
      </w:pPr>
      <w:r w:rsidRPr="00754915">
        <w:t>The growing spread of renewable technologies</w:t>
      </w:r>
      <w:r w:rsidR="008425C0">
        <w:t>,</w:t>
      </w:r>
      <w:r w:rsidRPr="00754915">
        <w:t xml:space="preserve"> particularly wind and biofuel</w:t>
      </w:r>
      <w:r w:rsidR="008469CF">
        <w:t>,</w:t>
      </w:r>
      <w:r w:rsidRPr="00754915">
        <w:t xml:space="preserve"> </w:t>
      </w:r>
      <w:r w:rsidR="008469CF">
        <w:t>allows for mutual support between the sectors</w:t>
      </w:r>
      <w:r w:rsidRPr="00754915">
        <w:t>. This includes shared political interests, training centres and skills and</w:t>
      </w:r>
      <w:r w:rsidR="00754915">
        <w:t xml:space="preserve"> </w:t>
      </w:r>
      <w:r w:rsidRPr="00754915">
        <w:t xml:space="preserve">occupations. </w:t>
      </w:r>
    </w:p>
    <w:p w14:paraId="76B5AB70" w14:textId="77777777" w:rsidR="002F7137" w:rsidRDefault="002F7137" w:rsidP="00C93734">
      <w:pPr>
        <w:pStyle w:val="Heading3"/>
        <w:numPr>
          <w:ilvl w:val="2"/>
          <w:numId w:val="5"/>
        </w:numPr>
        <w:jc w:val="both"/>
      </w:pPr>
      <w:r>
        <w:t>Local Strengths</w:t>
      </w:r>
    </w:p>
    <w:p w14:paraId="327EDDC7" w14:textId="77777777" w:rsidR="00A03E4E" w:rsidRDefault="00A03E4E" w:rsidP="00C93734">
      <w:pPr>
        <w:jc w:val="both"/>
      </w:pPr>
      <w:r>
        <w:t>Across the Humber area</w:t>
      </w:r>
      <w:r w:rsidR="00F92457">
        <w:t xml:space="preserve"> the</w:t>
      </w:r>
      <w:r>
        <w:t xml:space="preserve"> chemicals, process and energy generation sectors have seen investment exceeding £1bn in the last decade.</w:t>
      </w:r>
      <w:r w:rsidR="00C74C63">
        <w:t xml:space="preserve"> </w:t>
      </w:r>
      <w:r w:rsidR="00754915">
        <w:t>The industry</w:t>
      </w:r>
      <w:r w:rsidR="00E510E4">
        <w:t xml:space="preserve"> has a range of </w:t>
      </w:r>
      <w:r w:rsidR="00620A82">
        <w:t xml:space="preserve">key sub-sectors which demonstrate particular strength.  These are highlighted in the </w:t>
      </w:r>
      <w:r w:rsidR="00DF4291">
        <w:t xml:space="preserve">Table </w:t>
      </w:r>
      <w:r w:rsidR="00DF4291">
        <w:rPr>
          <w:noProof/>
        </w:rPr>
        <w:t>5</w:t>
      </w:r>
      <w:r w:rsidR="00DF4291">
        <w:t>-</w:t>
      </w:r>
      <w:r w:rsidR="00DF4291">
        <w:rPr>
          <w:noProof/>
        </w:rPr>
        <w:t>8</w:t>
      </w:r>
      <w:r w:rsidR="00620A82">
        <w:t>.</w:t>
      </w:r>
    </w:p>
    <w:p w14:paraId="480ED8F5" w14:textId="77777777" w:rsidR="005D590A" w:rsidRDefault="005D590A" w:rsidP="00C93734">
      <w:pPr>
        <w:pStyle w:val="Caption"/>
        <w:jc w:val="both"/>
      </w:pPr>
      <w:bookmarkStart w:id="584" w:name="_Ref391920794"/>
      <w:bookmarkStart w:id="585" w:name="_Toc383159696"/>
      <w:r>
        <w:t xml:space="preserve">Table </w:t>
      </w:r>
      <w:fldSimple w:instr=" STYLEREF 1 \s  \* MERGEFORMAT ">
        <w:r w:rsidR="00E95E1A">
          <w:rPr>
            <w:noProof/>
          </w:rPr>
          <w:t>6</w:t>
        </w:r>
      </w:fldSimple>
      <w:r>
        <w:t>-</w:t>
      </w:r>
      <w:fldSimple w:instr=" SEQ Table \* ARABIC \s 1  \* MERGEFORMAT ">
        <w:r w:rsidR="00E95E1A">
          <w:rPr>
            <w:noProof/>
          </w:rPr>
          <w:t>8</w:t>
        </w:r>
      </w:fldSimple>
      <w:bookmarkEnd w:id="584"/>
      <w:r>
        <w:tab/>
      </w:r>
      <w:r w:rsidR="001B70DF">
        <w:t xml:space="preserve">Employment </w:t>
      </w:r>
      <w:r>
        <w:t>LQ Analysis</w:t>
      </w:r>
      <w:bookmarkEnd w:id="585"/>
      <w:r w:rsidR="00620A82">
        <w:t xml:space="preserve"> – Chemicals and Process Sector</w:t>
      </w:r>
    </w:p>
    <w:tbl>
      <w:tblPr>
        <w:tblStyle w:val="Atkins14pt"/>
        <w:tblW w:w="9087" w:type="dxa"/>
        <w:tblLook w:val="04A0" w:firstRow="1" w:lastRow="0" w:firstColumn="1" w:lastColumn="0" w:noHBand="0" w:noVBand="1"/>
      </w:tblPr>
      <w:tblGrid>
        <w:gridCol w:w="7840"/>
        <w:gridCol w:w="1247"/>
      </w:tblGrid>
      <w:tr w:rsidR="000D0DE4" w:rsidRPr="000D0DE4" w14:paraId="38EAC91A" w14:textId="77777777" w:rsidTr="00754915">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7840" w:type="dxa"/>
            <w:noWrap/>
            <w:hideMark/>
          </w:tcPr>
          <w:p w14:paraId="7CA61BA6" w14:textId="77777777" w:rsidR="000D0DE4" w:rsidRPr="000D0DE4" w:rsidRDefault="000D0DE4" w:rsidP="00C93734">
            <w:pPr>
              <w:spacing w:after="0"/>
              <w:jc w:val="both"/>
              <w:rPr>
                <w:rFonts w:eastAsia="Times New Roman"/>
                <w:color w:val="000000"/>
              </w:rPr>
            </w:pPr>
            <w:r w:rsidRPr="000D0DE4">
              <w:rPr>
                <w:rFonts w:eastAsia="Times New Roman"/>
                <w:color w:val="000000"/>
              </w:rPr>
              <w:t>Industry</w:t>
            </w:r>
          </w:p>
        </w:tc>
        <w:tc>
          <w:tcPr>
            <w:tcW w:w="1247" w:type="dxa"/>
            <w:noWrap/>
            <w:hideMark/>
          </w:tcPr>
          <w:p w14:paraId="0B7F97AF" w14:textId="77777777" w:rsidR="000D0DE4" w:rsidRPr="000D0DE4" w:rsidRDefault="000D0DE4"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0D0DE4">
              <w:rPr>
                <w:rFonts w:eastAsia="Times New Roman"/>
                <w:color w:val="000000"/>
              </w:rPr>
              <w:t>North East Lincolnshire</w:t>
            </w:r>
          </w:p>
        </w:tc>
      </w:tr>
      <w:tr w:rsidR="000D0DE4" w:rsidRPr="000D0DE4" w14:paraId="0BF0AEB2" w14:textId="77777777" w:rsidTr="00754915">
        <w:trPr>
          <w:trHeight w:val="255"/>
        </w:trPr>
        <w:tc>
          <w:tcPr>
            <w:cnfStyle w:val="001000000000" w:firstRow="0" w:lastRow="0" w:firstColumn="1" w:lastColumn="0" w:oddVBand="0" w:evenVBand="0" w:oddHBand="0" w:evenHBand="0" w:firstRowFirstColumn="0" w:firstRowLastColumn="0" w:lastRowFirstColumn="0" w:lastRowLastColumn="0"/>
            <w:tcW w:w="7840" w:type="dxa"/>
            <w:noWrap/>
            <w:hideMark/>
          </w:tcPr>
          <w:p w14:paraId="2231AA96" w14:textId="77777777" w:rsidR="000D0DE4" w:rsidRPr="000D0DE4" w:rsidRDefault="000D0DE4" w:rsidP="00C93734">
            <w:pPr>
              <w:spacing w:after="0"/>
              <w:jc w:val="both"/>
              <w:rPr>
                <w:rFonts w:eastAsia="Times New Roman"/>
                <w:color w:val="000000"/>
              </w:rPr>
            </w:pPr>
            <w:r w:rsidRPr="000D0DE4">
              <w:rPr>
                <w:rFonts w:eastAsia="Times New Roman"/>
                <w:color w:val="000000"/>
              </w:rPr>
              <w:t>20120 : Manufacture of dyes and pigments</w:t>
            </w:r>
          </w:p>
        </w:tc>
        <w:tc>
          <w:tcPr>
            <w:tcW w:w="1247" w:type="dxa"/>
            <w:noWrap/>
            <w:hideMark/>
          </w:tcPr>
          <w:p w14:paraId="666A028C" w14:textId="77777777" w:rsidR="000D0DE4" w:rsidRPr="000D0DE4" w:rsidRDefault="000D0DE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D0DE4">
              <w:rPr>
                <w:rFonts w:eastAsia="Times New Roman"/>
                <w:color w:val="000000"/>
              </w:rPr>
              <w:t>74.7</w:t>
            </w:r>
          </w:p>
        </w:tc>
      </w:tr>
      <w:tr w:rsidR="000D0DE4" w:rsidRPr="000D0DE4" w14:paraId="032EA3AE" w14:textId="77777777" w:rsidTr="00754915">
        <w:trPr>
          <w:trHeight w:val="255"/>
        </w:trPr>
        <w:tc>
          <w:tcPr>
            <w:cnfStyle w:val="001000000000" w:firstRow="0" w:lastRow="0" w:firstColumn="1" w:lastColumn="0" w:oddVBand="0" w:evenVBand="0" w:oddHBand="0" w:evenHBand="0" w:firstRowFirstColumn="0" w:firstRowLastColumn="0" w:lastRowFirstColumn="0" w:lastRowLastColumn="0"/>
            <w:tcW w:w="7840" w:type="dxa"/>
            <w:noWrap/>
            <w:hideMark/>
          </w:tcPr>
          <w:p w14:paraId="2B6AA37B" w14:textId="77777777" w:rsidR="000D0DE4" w:rsidRPr="000D0DE4" w:rsidRDefault="000D0DE4" w:rsidP="00C93734">
            <w:pPr>
              <w:spacing w:after="0"/>
              <w:jc w:val="both"/>
              <w:rPr>
                <w:rFonts w:eastAsia="Times New Roman"/>
                <w:color w:val="000000"/>
              </w:rPr>
            </w:pPr>
            <w:r w:rsidRPr="000D0DE4">
              <w:rPr>
                <w:rFonts w:eastAsia="Times New Roman"/>
                <w:color w:val="000000"/>
              </w:rPr>
              <w:t>20150 : Manufacture of fertilisers and nitrogen compounds</w:t>
            </w:r>
          </w:p>
        </w:tc>
        <w:tc>
          <w:tcPr>
            <w:tcW w:w="1247" w:type="dxa"/>
            <w:noWrap/>
            <w:hideMark/>
          </w:tcPr>
          <w:p w14:paraId="350E5DBB" w14:textId="77777777" w:rsidR="000D0DE4" w:rsidRPr="000D0DE4" w:rsidRDefault="000D0DE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D0DE4">
              <w:rPr>
                <w:rFonts w:eastAsia="Times New Roman"/>
                <w:color w:val="000000"/>
              </w:rPr>
              <w:t>32.2</w:t>
            </w:r>
          </w:p>
        </w:tc>
      </w:tr>
      <w:tr w:rsidR="000D0DE4" w:rsidRPr="000D0DE4" w14:paraId="5CDE00AE" w14:textId="77777777" w:rsidTr="00754915">
        <w:trPr>
          <w:trHeight w:val="255"/>
        </w:trPr>
        <w:tc>
          <w:tcPr>
            <w:cnfStyle w:val="001000000000" w:firstRow="0" w:lastRow="0" w:firstColumn="1" w:lastColumn="0" w:oddVBand="0" w:evenVBand="0" w:oddHBand="0" w:evenHBand="0" w:firstRowFirstColumn="0" w:firstRowLastColumn="0" w:lastRowFirstColumn="0" w:lastRowLastColumn="0"/>
            <w:tcW w:w="7840" w:type="dxa"/>
            <w:noWrap/>
            <w:hideMark/>
          </w:tcPr>
          <w:p w14:paraId="2F4A0E66" w14:textId="77777777" w:rsidR="000D0DE4" w:rsidRPr="000D0DE4" w:rsidRDefault="000D0DE4" w:rsidP="00C93734">
            <w:pPr>
              <w:spacing w:after="0"/>
              <w:jc w:val="both"/>
              <w:rPr>
                <w:rFonts w:eastAsia="Times New Roman"/>
                <w:color w:val="000000"/>
              </w:rPr>
            </w:pPr>
            <w:r w:rsidRPr="000D0DE4">
              <w:rPr>
                <w:rFonts w:eastAsia="Times New Roman"/>
                <w:color w:val="000000"/>
              </w:rPr>
              <w:t>20140 : Manufacture of other organic basic chemicals</w:t>
            </w:r>
          </w:p>
        </w:tc>
        <w:tc>
          <w:tcPr>
            <w:tcW w:w="1247" w:type="dxa"/>
            <w:noWrap/>
            <w:hideMark/>
          </w:tcPr>
          <w:p w14:paraId="47171DC6" w14:textId="77777777" w:rsidR="000D0DE4" w:rsidRPr="000D0DE4" w:rsidRDefault="000D0DE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D0DE4">
              <w:rPr>
                <w:rFonts w:eastAsia="Times New Roman"/>
                <w:color w:val="000000"/>
              </w:rPr>
              <w:t>21.9</w:t>
            </w:r>
          </w:p>
        </w:tc>
      </w:tr>
      <w:tr w:rsidR="000D0DE4" w:rsidRPr="000D0DE4" w14:paraId="1E618755" w14:textId="77777777" w:rsidTr="00754915">
        <w:trPr>
          <w:trHeight w:val="255"/>
        </w:trPr>
        <w:tc>
          <w:tcPr>
            <w:cnfStyle w:val="001000000000" w:firstRow="0" w:lastRow="0" w:firstColumn="1" w:lastColumn="0" w:oddVBand="0" w:evenVBand="0" w:oddHBand="0" w:evenHBand="0" w:firstRowFirstColumn="0" w:firstRowLastColumn="0" w:lastRowFirstColumn="0" w:lastRowLastColumn="0"/>
            <w:tcW w:w="7840" w:type="dxa"/>
            <w:noWrap/>
            <w:hideMark/>
          </w:tcPr>
          <w:p w14:paraId="4BCD058D" w14:textId="77777777" w:rsidR="000D0DE4" w:rsidRPr="000D0DE4" w:rsidRDefault="000D0DE4" w:rsidP="00C93734">
            <w:pPr>
              <w:spacing w:after="0"/>
              <w:jc w:val="both"/>
              <w:rPr>
                <w:rFonts w:eastAsia="Times New Roman"/>
                <w:color w:val="000000"/>
              </w:rPr>
            </w:pPr>
            <w:r w:rsidRPr="000D0DE4">
              <w:rPr>
                <w:rFonts w:eastAsia="Times New Roman"/>
                <w:color w:val="000000"/>
              </w:rPr>
              <w:t>20160 : Manufacture of plastics in primary forms</w:t>
            </w:r>
          </w:p>
        </w:tc>
        <w:tc>
          <w:tcPr>
            <w:tcW w:w="1247" w:type="dxa"/>
            <w:noWrap/>
            <w:hideMark/>
          </w:tcPr>
          <w:p w14:paraId="135AD31C" w14:textId="77777777" w:rsidR="000D0DE4" w:rsidRPr="000D0DE4" w:rsidRDefault="000D0DE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D0DE4">
              <w:rPr>
                <w:rFonts w:eastAsia="Times New Roman"/>
                <w:color w:val="000000"/>
              </w:rPr>
              <w:t>10.3</w:t>
            </w:r>
          </w:p>
        </w:tc>
      </w:tr>
      <w:tr w:rsidR="000D0DE4" w:rsidRPr="000D0DE4" w14:paraId="6E9E6C72" w14:textId="77777777" w:rsidTr="00754915">
        <w:trPr>
          <w:trHeight w:val="255"/>
        </w:trPr>
        <w:tc>
          <w:tcPr>
            <w:cnfStyle w:val="001000000000" w:firstRow="0" w:lastRow="0" w:firstColumn="1" w:lastColumn="0" w:oddVBand="0" w:evenVBand="0" w:oddHBand="0" w:evenHBand="0" w:firstRowFirstColumn="0" w:firstRowLastColumn="0" w:lastRowFirstColumn="0" w:lastRowLastColumn="0"/>
            <w:tcW w:w="7840" w:type="dxa"/>
            <w:noWrap/>
            <w:hideMark/>
          </w:tcPr>
          <w:p w14:paraId="1E917729" w14:textId="77777777" w:rsidR="000D0DE4" w:rsidRPr="000D0DE4" w:rsidRDefault="000D0DE4" w:rsidP="00C93734">
            <w:pPr>
              <w:spacing w:after="0"/>
              <w:jc w:val="both"/>
              <w:rPr>
                <w:rFonts w:eastAsia="Times New Roman"/>
                <w:color w:val="000000"/>
              </w:rPr>
            </w:pPr>
            <w:r w:rsidRPr="000D0DE4">
              <w:rPr>
                <w:rFonts w:eastAsia="Times New Roman"/>
                <w:color w:val="000000"/>
              </w:rPr>
              <w:t>19201 : Mineral oil refining</w:t>
            </w:r>
          </w:p>
        </w:tc>
        <w:tc>
          <w:tcPr>
            <w:tcW w:w="1247" w:type="dxa"/>
            <w:noWrap/>
            <w:hideMark/>
          </w:tcPr>
          <w:p w14:paraId="4D952AF9" w14:textId="77777777" w:rsidR="000D0DE4" w:rsidRPr="000D0DE4" w:rsidRDefault="000D0DE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D0DE4">
              <w:rPr>
                <w:rFonts w:eastAsia="Times New Roman"/>
                <w:color w:val="000000"/>
              </w:rPr>
              <w:t>9.3</w:t>
            </w:r>
          </w:p>
        </w:tc>
      </w:tr>
      <w:tr w:rsidR="000D0DE4" w:rsidRPr="000D0DE4" w14:paraId="1D1D597E" w14:textId="77777777" w:rsidTr="00754915">
        <w:trPr>
          <w:trHeight w:val="255"/>
        </w:trPr>
        <w:tc>
          <w:tcPr>
            <w:cnfStyle w:val="001000000000" w:firstRow="0" w:lastRow="0" w:firstColumn="1" w:lastColumn="0" w:oddVBand="0" w:evenVBand="0" w:oddHBand="0" w:evenHBand="0" w:firstRowFirstColumn="0" w:firstRowLastColumn="0" w:lastRowFirstColumn="0" w:lastRowLastColumn="0"/>
            <w:tcW w:w="7840" w:type="dxa"/>
            <w:noWrap/>
            <w:hideMark/>
          </w:tcPr>
          <w:p w14:paraId="4EB33106" w14:textId="77777777" w:rsidR="000D0DE4" w:rsidRPr="000D0DE4" w:rsidRDefault="000D0DE4" w:rsidP="00C93734">
            <w:pPr>
              <w:spacing w:after="0"/>
              <w:jc w:val="both"/>
              <w:rPr>
                <w:rFonts w:eastAsia="Times New Roman"/>
                <w:color w:val="000000"/>
              </w:rPr>
            </w:pPr>
            <w:r w:rsidRPr="000D0DE4">
              <w:rPr>
                <w:rFonts w:eastAsia="Times New Roman"/>
                <w:color w:val="000000"/>
              </w:rPr>
              <w:t>22190 : Manufacture of other rubber products</w:t>
            </w:r>
          </w:p>
        </w:tc>
        <w:tc>
          <w:tcPr>
            <w:tcW w:w="1247" w:type="dxa"/>
            <w:noWrap/>
            <w:hideMark/>
          </w:tcPr>
          <w:p w14:paraId="4B6C8454" w14:textId="77777777" w:rsidR="000D0DE4" w:rsidRPr="000D0DE4" w:rsidRDefault="000D0DE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D0DE4">
              <w:rPr>
                <w:rFonts w:eastAsia="Times New Roman"/>
                <w:color w:val="000000"/>
              </w:rPr>
              <w:t>6.2</w:t>
            </w:r>
          </w:p>
        </w:tc>
      </w:tr>
    </w:tbl>
    <w:p w14:paraId="09FEFB7C" w14:textId="77777777" w:rsidR="00F847E6" w:rsidRDefault="00E95E1A" w:rsidP="00E95E1A">
      <w:pPr>
        <w:pStyle w:val="TableSource"/>
      </w:pPr>
      <w:r>
        <w:t>Source: BRES 2013</w:t>
      </w:r>
    </w:p>
    <w:p w14:paraId="16028D2E" w14:textId="77777777" w:rsidR="002F7137" w:rsidRDefault="000B2322" w:rsidP="00C93734">
      <w:pPr>
        <w:pStyle w:val="Heading3"/>
        <w:numPr>
          <w:ilvl w:val="2"/>
          <w:numId w:val="5"/>
        </w:numPr>
        <w:jc w:val="both"/>
      </w:pPr>
      <w:r>
        <w:t>Ec</w:t>
      </w:r>
      <w:r w:rsidR="002F7137">
        <w:t xml:space="preserve">onomic Trends </w:t>
      </w:r>
    </w:p>
    <w:p w14:paraId="7AEEDBF9" w14:textId="77777777" w:rsidR="000B2322" w:rsidRDefault="00F92457" w:rsidP="00C93734">
      <w:pPr>
        <w:jc w:val="both"/>
      </w:pPr>
      <w:r>
        <w:t>The recession has seen</w:t>
      </w:r>
      <w:r w:rsidR="00AC3A78">
        <w:t xml:space="preserve"> the loss of</w:t>
      </w:r>
      <w:r>
        <w:t xml:space="preserve"> </w:t>
      </w:r>
      <w:r w:rsidR="000B2322">
        <w:t>some high profile firm</w:t>
      </w:r>
      <w:r w:rsidR="00AC3A78">
        <w:t xml:space="preserve">s </w:t>
      </w:r>
      <w:r w:rsidR="000B2322">
        <w:t xml:space="preserve">in the local area. This is </w:t>
      </w:r>
      <w:r w:rsidR="00620A82">
        <w:t xml:space="preserve">partly </w:t>
      </w:r>
      <w:r>
        <w:t xml:space="preserve">demonstrated </w:t>
      </w:r>
      <w:r w:rsidR="00620A82">
        <w:t>in the graphs bel</w:t>
      </w:r>
      <w:r w:rsidR="00D848F8">
        <w:t>ow</w:t>
      </w:r>
      <w:r>
        <w:t>,</w:t>
      </w:r>
      <w:r w:rsidR="00D848F8">
        <w:t xml:space="preserve"> </w:t>
      </w:r>
      <w:r>
        <w:t xml:space="preserve">highlighting reduced levels </w:t>
      </w:r>
      <w:r w:rsidR="00D848F8">
        <w:t>of employment</w:t>
      </w:r>
      <w:r>
        <w:t xml:space="preserve"> during the period 2009-2012</w:t>
      </w:r>
      <w:r w:rsidR="00D848F8">
        <w:t xml:space="preserve"> and </w:t>
      </w:r>
      <w:r>
        <w:t xml:space="preserve">growth in the </w:t>
      </w:r>
      <w:r w:rsidR="00AC3A78">
        <w:t xml:space="preserve">total </w:t>
      </w:r>
      <w:r>
        <w:t xml:space="preserve">number of firms stalling between 2009 and 2011. </w:t>
      </w:r>
    </w:p>
    <w:p w14:paraId="3879DD7D" w14:textId="77777777" w:rsidR="000D0DE4" w:rsidRDefault="005D590A" w:rsidP="00C93734">
      <w:pPr>
        <w:pStyle w:val="Caption"/>
        <w:jc w:val="both"/>
        <w:rPr>
          <w:noProof/>
          <w:lang w:eastAsia="en-GB"/>
        </w:rPr>
      </w:pPr>
      <w:bookmarkStart w:id="586" w:name="_Toc383159672"/>
      <w:r>
        <w:rPr>
          <w:noProof/>
          <w:lang w:eastAsia="en-GB"/>
        </w:rPr>
        <w:t xml:space="preserve">Figure </w:t>
      </w:r>
      <w:fldSimple w:instr=" STYLEREF 1 \s  \* MERGEFORMAT ">
        <w:r w:rsidR="00E95E1A">
          <w:rPr>
            <w:noProof/>
            <w:lang w:eastAsia="en-GB"/>
          </w:rPr>
          <w:t>6</w:t>
        </w:r>
      </w:fldSimple>
      <w:r>
        <w:rPr>
          <w:noProof/>
          <w:lang w:eastAsia="en-GB"/>
        </w:rPr>
        <w:t>-</w:t>
      </w:r>
      <w:fldSimple w:instr=" SEQ Figure \* ARABIC \s 1  \* MERGEFORMAT ">
        <w:r w:rsidR="00E95E1A">
          <w:rPr>
            <w:noProof/>
            <w:lang w:eastAsia="en-GB"/>
          </w:rPr>
          <w:t>1</w:t>
        </w:r>
      </w:fldSimple>
      <w:r>
        <w:rPr>
          <w:noProof/>
          <w:lang w:eastAsia="en-GB"/>
        </w:rPr>
        <w:tab/>
        <w:t xml:space="preserve">Chemicals and Process Industries Firm Trends (2009 </w:t>
      </w:r>
      <w:r w:rsidR="009D5E00">
        <w:rPr>
          <w:noProof/>
          <w:lang w:eastAsia="en-GB"/>
        </w:rPr>
        <w:t>–</w:t>
      </w:r>
      <w:r>
        <w:rPr>
          <w:noProof/>
          <w:lang w:eastAsia="en-GB"/>
        </w:rPr>
        <w:t xml:space="preserve"> 2013)</w:t>
      </w:r>
      <w:bookmarkEnd w:id="586"/>
    </w:p>
    <w:p w14:paraId="3632CBF8" w14:textId="77777777" w:rsidR="005D590A" w:rsidRPr="005D590A" w:rsidRDefault="00BA1CE7" w:rsidP="00C93734">
      <w:pPr>
        <w:jc w:val="both"/>
        <w:rPr>
          <w:lang w:eastAsia="en-GB"/>
        </w:rPr>
      </w:pPr>
      <w:r>
        <w:rPr>
          <w:noProof/>
          <w:lang w:eastAsia="en-GB"/>
        </w:rPr>
        <w:drawing>
          <wp:inline distT="0" distB="0" distL="0" distR="0" wp14:anchorId="1BF70DBF" wp14:editId="6FD72A81">
            <wp:extent cx="6049926" cy="2923953"/>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5C7AE7A" w14:textId="77777777" w:rsidR="00ED4C3F" w:rsidRDefault="001B70DF" w:rsidP="001B70DF">
      <w:pPr>
        <w:pStyle w:val="TableSource"/>
      </w:pPr>
      <w:r>
        <w:t xml:space="preserve">Source: IDBR 2013 </w:t>
      </w:r>
    </w:p>
    <w:p w14:paraId="687D5FCD" w14:textId="77777777" w:rsidR="000D0DE4" w:rsidRDefault="00ED4C3F" w:rsidP="00C93734">
      <w:pPr>
        <w:pStyle w:val="Caption"/>
        <w:jc w:val="both"/>
        <w:rPr>
          <w:noProof/>
          <w:lang w:eastAsia="en-GB"/>
        </w:rPr>
      </w:pPr>
      <w:bookmarkStart w:id="587" w:name="_Toc383159673"/>
      <w:r>
        <w:rPr>
          <w:noProof/>
          <w:lang w:eastAsia="en-GB"/>
        </w:rPr>
        <w:t xml:space="preserve">Figure </w:t>
      </w:r>
      <w:fldSimple w:instr=" STYLEREF 1 \s  \* MERGEFORMAT ">
        <w:r w:rsidR="00E95E1A">
          <w:rPr>
            <w:noProof/>
            <w:lang w:eastAsia="en-GB"/>
          </w:rPr>
          <w:t>6</w:t>
        </w:r>
      </w:fldSimple>
      <w:r>
        <w:rPr>
          <w:noProof/>
          <w:lang w:eastAsia="en-GB"/>
        </w:rPr>
        <w:t>-</w:t>
      </w:r>
      <w:fldSimple w:instr=" SEQ Figure \* ARABIC \s 1  \* MERGEFORMAT ">
        <w:r w:rsidR="00E95E1A">
          <w:rPr>
            <w:noProof/>
            <w:lang w:eastAsia="en-GB"/>
          </w:rPr>
          <w:t>2</w:t>
        </w:r>
      </w:fldSimple>
      <w:r>
        <w:rPr>
          <w:noProof/>
          <w:lang w:eastAsia="en-GB"/>
        </w:rPr>
        <w:tab/>
        <w:t xml:space="preserve">Chemicals and Process Industries Employment Trends (2009 </w:t>
      </w:r>
      <w:r w:rsidR="009D5E00">
        <w:rPr>
          <w:noProof/>
          <w:lang w:eastAsia="en-GB"/>
        </w:rPr>
        <w:t>–</w:t>
      </w:r>
      <w:r>
        <w:rPr>
          <w:noProof/>
          <w:lang w:eastAsia="en-GB"/>
        </w:rPr>
        <w:t xml:space="preserve"> 2013)</w:t>
      </w:r>
      <w:r w:rsidR="00BA1CE7">
        <w:rPr>
          <w:noProof/>
          <w:lang w:eastAsia="en-GB"/>
        </w:rPr>
        <w:drawing>
          <wp:inline distT="0" distB="0" distL="0" distR="0" wp14:anchorId="2C869A10" wp14:editId="42D133C0">
            <wp:extent cx="5922335" cy="3327990"/>
            <wp:effectExtent l="0" t="0" r="0" b="0"/>
            <wp:docPr id="2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bookmarkEnd w:id="587"/>
    </w:p>
    <w:p w14:paraId="2CD12160" w14:textId="77777777" w:rsidR="001B70DF" w:rsidRPr="001B70DF" w:rsidRDefault="001B70DF" w:rsidP="001B70DF">
      <w:pPr>
        <w:pStyle w:val="TableSource"/>
        <w:rPr>
          <w:lang w:eastAsia="en-GB"/>
        </w:rPr>
      </w:pPr>
      <w:r>
        <w:rPr>
          <w:lang w:eastAsia="en-GB"/>
        </w:rPr>
        <w:t xml:space="preserve">Source: IDBR 2013 </w:t>
      </w:r>
    </w:p>
    <w:p w14:paraId="6DFA3AE9" w14:textId="77777777" w:rsidR="002F7137" w:rsidRDefault="002F7137" w:rsidP="00C93734">
      <w:pPr>
        <w:pStyle w:val="Heading3"/>
        <w:numPr>
          <w:ilvl w:val="2"/>
          <w:numId w:val="5"/>
        </w:numPr>
        <w:jc w:val="both"/>
      </w:pPr>
      <w:r w:rsidRPr="004A7709">
        <w:t xml:space="preserve">Competition </w:t>
      </w:r>
    </w:p>
    <w:p w14:paraId="33B2F116" w14:textId="77777777" w:rsidR="002F7137" w:rsidRDefault="00F92457" w:rsidP="00C93734">
      <w:pPr>
        <w:jc w:val="both"/>
      </w:pPr>
      <w:r>
        <w:t>Several</w:t>
      </w:r>
      <w:r w:rsidR="00F07D45">
        <w:t xml:space="preserve"> areas in the UK are </w:t>
      </w:r>
      <w:r>
        <w:t>aiming to</w:t>
      </w:r>
      <w:r w:rsidR="00620A82">
        <w:t xml:space="preserve"> expand their</w:t>
      </w:r>
      <w:r w:rsidR="006D4A7D">
        <w:t xml:space="preserve"> </w:t>
      </w:r>
      <w:r w:rsidR="00F07D45">
        <w:t>chemicals and process</w:t>
      </w:r>
      <w:r w:rsidR="00620A82">
        <w:t xml:space="preserve"> sectors.</w:t>
      </w:r>
      <w:r>
        <w:t xml:space="preserve">  </w:t>
      </w:r>
      <w:r w:rsidR="00620A82">
        <w:t>Some of the key competing locations are identified below.</w:t>
      </w:r>
    </w:p>
    <w:p w14:paraId="72D796F5" w14:textId="77777777" w:rsidR="006D4A7D" w:rsidRDefault="006D4A7D" w:rsidP="00C93734">
      <w:pPr>
        <w:pStyle w:val="ListParagraph"/>
        <w:numPr>
          <w:ilvl w:val="0"/>
          <w:numId w:val="31"/>
        </w:numPr>
        <w:jc w:val="both"/>
      </w:pPr>
      <w:r>
        <w:t xml:space="preserve">Teesside – </w:t>
      </w:r>
      <w:r w:rsidR="00022D94">
        <w:t>This area is one of the major competitors for the Humber chemicals industry</w:t>
      </w:r>
      <w:r w:rsidR="00620A82">
        <w:t>.  It benefits from</w:t>
      </w:r>
      <w:r w:rsidR="00022D94">
        <w:t xml:space="preserve"> </w:t>
      </w:r>
      <w:r w:rsidR="00620A82">
        <w:t xml:space="preserve">having key </w:t>
      </w:r>
      <w:r w:rsidR="00022D94">
        <w:t>facilities (</w:t>
      </w:r>
      <w:r w:rsidR="00F92457">
        <w:t xml:space="preserve"> the</w:t>
      </w:r>
      <w:r w:rsidR="00022D94">
        <w:t xml:space="preserve"> </w:t>
      </w:r>
      <w:r w:rsidR="00F92457">
        <w:t>d</w:t>
      </w:r>
      <w:r w:rsidR="00022D94">
        <w:t>eep water port at Tees Port</w:t>
      </w:r>
      <w:r w:rsidR="00F92457">
        <w:t>, for example</w:t>
      </w:r>
      <w:r w:rsidR="00022D94">
        <w:t xml:space="preserve">) and available land (e.g. Tesside Advanced Manufacturing Park has 11 hectares available). The area </w:t>
      </w:r>
      <w:r w:rsidR="00032BD7">
        <w:t xml:space="preserve">also </w:t>
      </w:r>
      <w:r w:rsidR="00022D94">
        <w:t>has 1,400 companies directly involved or in the supply chain</w:t>
      </w:r>
      <w:r w:rsidR="00032BD7">
        <w:t xml:space="preserve">, </w:t>
      </w:r>
      <w:r w:rsidR="00022D94" w:rsidRPr="00032BD7">
        <w:rPr>
          <w:rFonts w:cs="Arial"/>
          <w:color w:val="1B4551"/>
          <w:szCs w:val="20"/>
          <w:shd w:val="clear" w:color="auto" w:fill="FFFFFF"/>
        </w:rPr>
        <w:t xml:space="preserve">the CATS pipeline bringing in gas from the North Sea, </w:t>
      </w:r>
      <w:r w:rsidR="00032BD7" w:rsidRPr="00032BD7">
        <w:rPr>
          <w:rFonts w:cs="Arial"/>
          <w:color w:val="1B4551"/>
          <w:szCs w:val="20"/>
          <w:shd w:val="clear" w:color="auto" w:fill="FFFFFF"/>
        </w:rPr>
        <w:t>and enterprise zones seeking to attract firms.</w:t>
      </w:r>
    </w:p>
    <w:p w14:paraId="53C71729" w14:textId="77777777" w:rsidR="006D4A7D" w:rsidRDefault="006D4A7D" w:rsidP="00C93734">
      <w:pPr>
        <w:pStyle w:val="ListParagraph"/>
        <w:numPr>
          <w:ilvl w:val="0"/>
          <w:numId w:val="31"/>
        </w:numPr>
        <w:jc w:val="both"/>
      </w:pPr>
      <w:r>
        <w:t xml:space="preserve">Grangemouth/Falkirk – </w:t>
      </w:r>
      <w:r w:rsidR="00022D94">
        <w:t>Based mainly around the large refinery site at Grangemouth</w:t>
      </w:r>
      <w:r w:rsidR="00F92457">
        <w:t>,</w:t>
      </w:r>
      <w:r w:rsidR="00022D94">
        <w:t xml:space="preserve"> which </w:t>
      </w:r>
      <w:r w:rsidR="00022D94" w:rsidRPr="00022D94">
        <w:t>represents one third of the Scottish chemicals industry</w:t>
      </w:r>
      <w:r w:rsidR="009D5E00">
        <w:t>’</w:t>
      </w:r>
      <w:r w:rsidR="00022D94" w:rsidRPr="00022D94">
        <w:t>s turnover</w:t>
      </w:r>
      <w:r w:rsidR="00022D94">
        <w:t xml:space="preserve"> (a</w:t>
      </w:r>
      <w:r w:rsidR="00022D94" w:rsidRPr="00022D94">
        <w:t>round £3billion of the total £9billion turnover</w:t>
      </w:r>
      <w:r w:rsidR="00022D94">
        <w:t xml:space="preserve">). The refinery site has recently been threatened with closure although developments are occurring including chemical manufacturing at KemFine, exploration at BP, a dye plant investment at FujiFilm and petro-chemicals and bio-fuels at the Ineos refinery. The local area also has a number of employment land sites specific to chemicals businesses (e.g. Earls Gate Park and Grangemouth Technology Park). </w:t>
      </w:r>
    </w:p>
    <w:p w14:paraId="17D057F0" w14:textId="77777777" w:rsidR="00022D94" w:rsidRDefault="006D4A7D" w:rsidP="00C93734">
      <w:pPr>
        <w:pStyle w:val="ListParagraph"/>
        <w:numPr>
          <w:ilvl w:val="0"/>
          <w:numId w:val="31"/>
        </w:numPr>
        <w:jc w:val="both"/>
      </w:pPr>
      <w:r>
        <w:t xml:space="preserve">North West (based mainly around Runcorn &amp; Widnes) </w:t>
      </w:r>
      <w:r w:rsidR="00022D94">
        <w:t>–</w:t>
      </w:r>
      <w:r>
        <w:t xml:space="preserve"> </w:t>
      </w:r>
      <w:r w:rsidR="00022D94">
        <w:t xml:space="preserve">The </w:t>
      </w:r>
      <w:r>
        <w:t xml:space="preserve">North West is </w:t>
      </w:r>
      <w:r w:rsidR="00022D94">
        <w:t xml:space="preserve">another strong </w:t>
      </w:r>
      <w:r>
        <w:t xml:space="preserve">chemical manufacturing region </w:t>
      </w:r>
      <w:r w:rsidR="00022D94">
        <w:t xml:space="preserve">with around 650 businesses operating </w:t>
      </w:r>
      <w:r>
        <w:t>in the sector</w:t>
      </w:r>
      <w:r w:rsidR="00AC4B5C">
        <w:t>,</w:t>
      </w:r>
      <w:r w:rsidR="00022D94">
        <w:t xml:space="preserve"> </w:t>
      </w:r>
      <w:r>
        <w:t>employing 50,000 people</w:t>
      </w:r>
      <w:r w:rsidR="00022D94">
        <w:t xml:space="preserve"> </w:t>
      </w:r>
      <w:r w:rsidR="00AC4B5C">
        <w:t>and contributing</w:t>
      </w:r>
      <w:r>
        <w:t xml:space="preserve"> £3bn to the regional economy</w:t>
      </w:r>
      <w:r w:rsidR="00AC4B5C">
        <w:t xml:space="preserve"> annually</w:t>
      </w:r>
      <w:r>
        <w:t>.</w:t>
      </w:r>
      <w:r w:rsidR="00022D94">
        <w:t xml:space="preserve"> </w:t>
      </w:r>
      <w:r w:rsidR="00AC4B5C">
        <w:t>Organisations supporting the sector</w:t>
      </w:r>
      <w:r w:rsidR="00022D94">
        <w:t xml:space="preserve"> include Chemicals North West. </w:t>
      </w:r>
    </w:p>
    <w:p w14:paraId="2ECA5613" w14:textId="77777777" w:rsidR="0010073E" w:rsidRDefault="00620A82" w:rsidP="00C93734">
      <w:pPr>
        <w:jc w:val="both"/>
      </w:pPr>
      <w:r>
        <w:t>A view highlighted by some</w:t>
      </w:r>
      <w:r w:rsidR="0010073E" w:rsidRPr="0010073E">
        <w:t xml:space="preserve"> </w:t>
      </w:r>
      <w:r>
        <w:t>business and stakeholder consultees</w:t>
      </w:r>
      <w:r w:rsidR="0010073E" w:rsidRPr="0010073E">
        <w:t xml:space="preserve"> </w:t>
      </w:r>
      <w:r>
        <w:t>was</w:t>
      </w:r>
      <w:r w:rsidR="0010073E" w:rsidRPr="0010073E">
        <w:t xml:space="preserve"> that although </w:t>
      </w:r>
      <w:r w:rsidR="00AC4B5C">
        <w:t>NEL</w:t>
      </w:r>
      <w:r w:rsidR="0010073E" w:rsidRPr="0010073E">
        <w:t xml:space="preserve"> </w:t>
      </w:r>
      <w:r>
        <w:t>has</w:t>
      </w:r>
      <w:r w:rsidR="0010073E" w:rsidRPr="0010073E">
        <w:t xml:space="preserve"> strong prospects over the short to medium term, over the long term there is less certainty with economic pressures likely to drive industry consolidation or movement to low cost areas. The capacity expansion under way in dev</w:t>
      </w:r>
      <w:r>
        <w:t xml:space="preserve">eloping countries is considered by some to </w:t>
      </w:r>
      <w:r w:rsidR="00AC4B5C">
        <w:t xml:space="preserve">be likely to </w:t>
      </w:r>
      <w:r>
        <w:t xml:space="preserve">result </w:t>
      </w:r>
      <w:r w:rsidR="0010073E" w:rsidRPr="0010073E">
        <w:t xml:space="preserve">in significant overcapacity </w:t>
      </w:r>
      <w:r w:rsidR="0010073E">
        <w:t xml:space="preserve">and perhaps the </w:t>
      </w:r>
      <w:r w:rsidR="0010073E" w:rsidRPr="0010073E">
        <w:t xml:space="preserve">introduction of protectionist measures to support local industry. Furthermore, new plants </w:t>
      </w:r>
      <w:r w:rsidR="0010073E">
        <w:t>will be able to produce at a lower cost and therefore</w:t>
      </w:r>
      <w:r>
        <w:t xml:space="preserve"> be more profitable.  Such trends</w:t>
      </w:r>
      <w:r w:rsidR="0010073E">
        <w:t xml:space="preserve"> could </w:t>
      </w:r>
      <w:r>
        <w:t>threaten the viability of older facilities in the UK.</w:t>
      </w:r>
    </w:p>
    <w:p w14:paraId="2354E01C" w14:textId="77777777" w:rsidR="002F7137" w:rsidRDefault="002F7137" w:rsidP="00C93734">
      <w:pPr>
        <w:pStyle w:val="Heading3"/>
        <w:numPr>
          <w:ilvl w:val="2"/>
          <w:numId w:val="5"/>
        </w:numPr>
        <w:jc w:val="both"/>
      </w:pPr>
      <w:r>
        <w:t>Prospects for sector</w:t>
      </w:r>
    </w:p>
    <w:p w14:paraId="0A265769" w14:textId="77777777" w:rsidR="009D12C7" w:rsidRPr="00DF1A3A" w:rsidRDefault="009D12C7" w:rsidP="00C93734">
      <w:pPr>
        <w:jc w:val="both"/>
      </w:pPr>
      <w:r w:rsidRPr="00DF1A3A">
        <w:t xml:space="preserve">The sector is highly innovative, efficient and valuable to the national economy. There are a range of </w:t>
      </w:r>
      <w:r w:rsidR="0010073E" w:rsidRPr="00DF1A3A">
        <w:t xml:space="preserve">factors </w:t>
      </w:r>
      <w:r w:rsidRPr="00DF1A3A">
        <w:t xml:space="preserve">which were identified as </w:t>
      </w:r>
      <w:r w:rsidR="0010073E" w:rsidRPr="00DF1A3A">
        <w:t xml:space="preserve">being important to </w:t>
      </w:r>
      <w:r w:rsidRPr="00DF1A3A">
        <w:t>support future growth, including:</w:t>
      </w:r>
    </w:p>
    <w:p w14:paraId="7BF40453" w14:textId="77777777" w:rsidR="008D7250" w:rsidRDefault="0010073E">
      <w:pPr>
        <w:pStyle w:val="ListParagraph"/>
        <w:numPr>
          <w:ilvl w:val="0"/>
          <w:numId w:val="73"/>
        </w:numPr>
        <w:jc w:val="both"/>
      </w:pPr>
      <w:r>
        <w:t xml:space="preserve">Resilience – Although like other industries the chemical industry felt an impact from the recent global recession, it was felt that locally there was strong resilience and </w:t>
      </w:r>
      <w:r w:rsidR="007621D2">
        <w:t xml:space="preserve">diversification in response </w:t>
      </w:r>
      <w:r>
        <w:t xml:space="preserve">to changes in demand. </w:t>
      </w:r>
      <w:r w:rsidR="007621D2">
        <w:t xml:space="preserve">For example, many logistics firms noted a shift in transported products from chemicals to fuel. </w:t>
      </w:r>
    </w:p>
    <w:p w14:paraId="5B56D24C" w14:textId="77777777" w:rsidR="008D7250" w:rsidRDefault="00DF1A3A">
      <w:pPr>
        <w:pStyle w:val="ListParagraph"/>
        <w:numPr>
          <w:ilvl w:val="0"/>
          <w:numId w:val="73"/>
        </w:numPr>
        <w:jc w:val="both"/>
      </w:pPr>
      <w:r>
        <w:t xml:space="preserve">Political engagement – It is felt that the industry </w:t>
      </w:r>
      <w:r w:rsidR="00CC4823">
        <w:t xml:space="preserve">could </w:t>
      </w:r>
      <w:r>
        <w:t xml:space="preserve">be better represented locally and nationally to support the growth ambitions of firms and </w:t>
      </w:r>
      <w:r w:rsidR="00D25450">
        <w:t>the sector’s</w:t>
      </w:r>
      <w:r>
        <w:t xml:space="preserve"> future sustainability. There is a feeling that the HCF needs to be </w:t>
      </w:r>
      <w:r w:rsidR="00CC4823">
        <w:t xml:space="preserve">more </w:t>
      </w:r>
      <w:r w:rsidR="00D25450">
        <w:t xml:space="preserve">active </w:t>
      </w:r>
      <w:r>
        <w:t xml:space="preserve">in local economic development at a LEP level and contributing to national dialogue around the future economic growth of the sector. This </w:t>
      </w:r>
      <w:r w:rsidR="00D25450">
        <w:t xml:space="preserve">dialogue would provide </w:t>
      </w:r>
      <w:r>
        <w:t xml:space="preserve">an opportunity for not only the HCF </w:t>
      </w:r>
      <w:r w:rsidR="00A9638B">
        <w:t>but</w:t>
      </w:r>
      <w:r>
        <w:t xml:space="preserve"> </w:t>
      </w:r>
      <w:r w:rsidR="00CC4823">
        <w:t xml:space="preserve">for </w:t>
      </w:r>
      <w:r w:rsidR="00A9638B">
        <w:t>other stakeholders</w:t>
      </w:r>
      <w:r>
        <w:t xml:space="preserve"> such as local authorities, businesses and politicians to </w:t>
      </w:r>
      <w:r w:rsidR="00D25450">
        <w:t xml:space="preserve">promote </w:t>
      </w:r>
      <w:r>
        <w:t>future growth</w:t>
      </w:r>
      <w:r w:rsidR="00D25450">
        <w:t>,</w:t>
      </w:r>
      <w:r w:rsidR="0027627F">
        <w:t xml:space="preserve"> particularly around subjects like the adoption of biomass </w:t>
      </w:r>
      <w:r w:rsidR="00A9638B">
        <w:t>technologies</w:t>
      </w:r>
      <w:r>
        <w:t>.</w:t>
      </w:r>
    </w:p>
    <w:p w14:paraId="2CCE880D" w14:textId="77777777" w:rsidR="008D7250" w:rsidRDefault="006E52FE">
      <w:pPr>
        <w:pStyle w:val="ListParagraph"/>
        <w:numPr>
          <w:ilvl w:val="0"/>
          <w:numId w:val="73"/>
        </w:numPr>
        <w:jc w:val="both"/>
      </w:pPr>
      <w:r>
        <w:t xml:space="preserve">Specialisation – Looking at future growth of the industry abroad, there is a feeling that many firms could specialise further to focus on speciality chemicals or blended chemical products. A move towards specialisation would </w:t>
      </w:r>
      <w:r w:rsidR="00CC4823">
        <w:t>improve access to</w:t>
      </w:r>
      <w:r>
        <w:t xml:space="preserve"> strong speciality markets, add value to processes and increase the need for technical capability in activities around bio</w:t>
      </w:r>
      <w:r w:rsidR="00CC4823">
        <w:t>-</w:t>
      </w:r>
      <w:r>
        <w:t xml:space="preserve"> and nanotechnology.</w:t>
      </w:r>
    </w:p>
    <w:p w14:paraId="0A46176B" w14:textId="77777777" w:rsidR="008D7250" w:rsidRDefault="00F2195F">
      <w:pPr>
        <w:pStyle w:val="ListParagraph"/>
        <w:numPr>
          <w:ilvl w:val="0"/>
          <w:numId w:val="73"/>
        </w:numPr>
        <w:jc w:val="both"/>
      </w:pPr>
      <w:r>
        <w:t xml:space="preserve">Transport </w:t>
      </w:r>
      <w:r w:rsidR="00CC4823">
        <w:t>i</w:t>
      </w:r>
      <w:r>
        <w:t xml:space="preserve">nfrastructure – It is felt that the local area has the transport infrastructure to support the future growth, specialism development and delivery of added-value products. Few </w:t>
      </w:r>
      <w:r w:rsidR="00BD0179">
        <w:t xml:space="preserve">major constraints were identified although relatively minor improvements were </w:t>
      </w:r>
      <w:r w:rsidR="00CC4823">
        <w:t xml:space="preserve">highlighted </w:t>
      </w:r>
      <w:r w:rsidR="00BD0179">
        <w:t xml:space="preserve">as being required </w:t>
      </w:r>
      <w:r>
        <w:t xml:space="preserve">(e.g. </w:t>
      </w:r>
      <w:r w:rsidR="00BD0179">
        <w:t xml:space="preserve">better </w:t>
      </w:r>
      <w:r>
        <w:t>access roads</w:t>
      </w:r>
      <w:r w:rsidR="00BD0179">
        <w:t xml:space="preserve"> and</w:t>
      </w:r>
      <w:r>
        <w:t xml:space="preserve"> roundabout</w:t>
      </w:r>
      <w:r w:rsidR="00BD0179">
        <w:t xml:space="preserve"> functioning and capacity).</w:t>
      </w:r>
    </w:p>
    <w:p w14:paraId="3DFD1C4B" w14:textId="77777777" w:rsidR="008D7250" w:rsidRDefault="0027627F">
      <w:pPr>
        <w:pStyle w:val="ListParagraph"/>
        <w:numPr>
          <w:ilvl w:val="0"/>
          <w:numId w:val="73"/>
        </w:numPr>
        <w:jc w:val="both"/>
        <w:rPr>
          <w:rFonts w:cs="Arial"/>
        </w:rPr>
      </w:pPr>
      <w:r>
        <w:t xml:space="preserve">Biomass </w:t>
      </w:r>
      <w:r w:rsidR="00CC4823">
        <w:t>–</w:t>
      </w:r>
      <w:r>
        <w:t xml:space="preserve"> </w:t>
      </w:r>
      <w:r w:rsidR="00CC4823">
        <w:t>T</w:t>
      </w:r>
      <w:r>
        <w:t xml:space="preserve">Ports will need to be responsive both to changes in different types of energy supplies needed and to possible changes in the geographical pattern of demand for fuel, including with the development of (existing and new) power stations fuelled by biomass. </w:t>
      </w:r>
      <w:r w:rsidRPr="007621D2">
        <w:rPr>
          <w:rFonts w:cs="Arial"/>
        </w:rPr>
        <w:t xml:space="preserve">There is potential for biomass from energy crop projects to create more jobs throughout the </w:t>
      </w:r>
      <w:r w:rsidRPr="00CC4823">
        <w:rPr>
          <w:rFonts w:cs="Arial"/>
        </w:rPr>
        <w:t xml:space="preserve">supply chain, particularly given the proximity to crop areas in Lincolnshire. </w:t>
      </w:r>
    </w:p>
    <w:p w14:paraId="32333A78" w14:textId="77777777" w:rsidR="002F7137" w:rsidRDefault="002F7137" w:rsidP="00C93734">
      <w:pPr>
        <w:pStyle w:val="Heading3"/>
        <w:numPr>
          <w:ilvl w:val="2"/>
          <w:numId w:val="5"/>
        </w:numPr>
        <w:jc w:val="both"/>
      </w:pPr>
      <w:r>
        <w:t xml:space="preserve">Challenges </w:t>
      </w:r>
    </w:p>
    <w:p w14:paraId="7256E389" w14:textId="77777777" w:rsidR="0010073E" w:rsidRDefault="00CC4823" w:rsidP="00C93734">
      <w:pPr>
        <w:jc w:val="both"/>
        <w:rPr>
          <w:rFonts w:cs="Arial"/>
        </w:rPr>
      </w:pPr>
      <w:r>
        <w:t>Businesses face challenges in</w:t>
      </w:r>
      <w:r w:rsidR="00BD0179">
        <w:rPr>
          <w:rFonts w:cs="Arial"/>
        </w:rPr>
        <w:t xml:space="preserve"> </w:t>
      </w:r>
      <w:r>
        <w:rPr>
          <w:rFonts w:cs="Arial"/>
        </w:rPr>
        <w:t>recruiting</w:t>
      </w:r>
      <w:r w:rsidR="00BD0179">
        <w:rPr>
          <w:rFonts w:cs="Arial"/>
        </w:rPr>
        <w:t xml:space="preserve"> appropriately trained and qualified personnel</w:t>
      </w:r>
      <w:r>
        <w:rPr>
          <w:rFonts w:cs="Arial"/>
        </w:rPr>
        <w:t>,</w:t>
      </w:r>
      <w:r w:rsidR="00BD0179">
        <w:rPr>
          <w:rFonts w:cs="Arial"/>
        </w:rPr>
        <w:t xml:space="preserve"> particularly in the context of increasing specialisation within the sector.  Linkages with local and regional higher education institutions could also be strengthened according to some consultees.</w:t>
      </w:r>
      <w:r w:rsidR="004F6ADB">
        <w:rPr>
          <w:rFonts w:cs="Arial"/>
        </w:rPr>
        <w:t xml:space="preserve"> </w:t>
      </w:r>
      <w:r w:rsidR="008812E5">
        <w:t xml:space="preserve">Supporting </w:t>
      </w:r>
      <w:r>
        <w:t>NEL</w:t>
      </w:r>
      <w:r w:rsidR="008812E5">
        <w:t xml:space="preserve"> and the Humber area in building linkages and matching supply </w:t>
      </w:r>
      <w:r w:rsidR="00A21ACC">
        <w:t xml:space="preserve">of skilled labour </w:t>
      </w:r>
      <w:r w:rsidR="008812E5">
        <w:t>with demand is an important step in addressing the skills and recruitment challenge.</w:t>
      </w:r>
    </w:p>
    <w:p w14:paraId="0A63E5BA" w14:textId="77777777" w:rsidR="0010073E" w:rsidRDefault="00BD0179" w:rsidP="00C93734">
      <w:pPr>
        <w:autoSpaceDE w:val="0"/>
        <w:autoSpaceDN w:val="0"/>
        <w:adjustRightInd w:val="0"/>
        <w:jc w:val="both"/>
        <w:rPr>
          <w:rFonts w:cs="Arial"/>
          <w:szCs w:val="20"/>
        </w:rPr>
      </w:pPr>
      <w:r>
        <w:rPr>
          <w:rFonts w:cs="Arial"/>
          <w:szCs w:val="20"/>
        </w:rPr>
        <w:t xml:space="preserve">Onerous </w:t>
      </w:r>
      <w:r w:rsidR="004F6ADB">
        <w:rPr>
          <w:rFonts w:cs="Arial"/>
          <w:szCs w:val="20"/>
        </w:rPr>
        <w:t xml:space="preserve">environmental legislation is seen as </w:t>
      </w:r>
      <w:r w:rsidR="00A9638B">
        <w:rPr>
          <w:rFonts w:cs="Arial"/>
          <w:szCs w:val="20"/>
        </w:rPr>
        <w:t>an added cost which</w:t>
      </w:r>
      <w:r>
        <w:rPr>
          <w:rFonts w:cs="Arial"/>
          <w:szCs w:val="20"/>
        </w:rPr>
        <w:t xml:space="preserve"> can restrict</w:t>
      </w:r>
      <w:r w:rsidR="00A9638B">
        <w:rPr>
          <w:rFonts w:cs="Arial"/>
          <w:szCs w:val="20"/>
        </w:rPr>
        <w:t xml:space="preserve"> investment in activities. </w:t>
      </w:r>
      <w:r w:rsidR="00A21ACC">
        <w:rPr>
          <w:rFonts w:cs="Arial"/>
          <w:szCs w:val="20"/>
        </w:rPr>
        <w:t xml:space="preserve">The new </w:t>
      </w:r>
      <w:r w:rsidR="0010073E">
        <w:rPr>
          <w:rFonts w:cs="Arial"/>
          <w:szCs w:val="20"/>
        </w:rPr>
        <w:t>EU strategy</w:t>
      </w:r>
      <w:r w:rsidR="004F6ADB">
        <w:rPr>
          <w:rFonts w:cs="Arial"/>
          <w:szCs w:val="20"/>
        </w:rPr>
        <w:t xml:space="preserve"> </w:t>
      </w:r>
      <w:r w:rsidR="00A21ACC">
        <w:rPr>
          <w:rFonts w:cs="Arial"/>
          <w:szCs w:val="20"/>
        </w:rPr>
        <w:t xml:space="preserve">regarding </w:t>
      </w:r>
      <w:r w:rsidR="004F6ADB">
        <w:rPr>
          <w:rFonts w:cs="Arial"/>
          <w:szCs w:val="20"/>
        </w:rPr>
        <w:t xml:space="preserve">legislation </w:t>
      </w:r>
      <w:r w:rsidR="00A21ACC">
        <w:rPr>
          <w:rFonts w:cs="Arial"/>
          <w:szCs w:val="20"/>
        </w:rPr>
        <w:t>concerning s</w:t>
      </w:r>
      <w:r w:rsidR="004F6ADB">
        <w:rPr>
          <w:rFonts w:cs="Arial"/>
          <w:szCs w:val="20"/>
        </w:rPr>
        <w:t xml:space="preserve">ulphur </w:t>
      </w:r>
      <w:r w:rsidR="00A21ACC">
        <w:rPr>
          <w:rFonts w:cs="Arial"/>
          <w:szCs w:val="20"/>
        </w:rPr>
        <w:t>d</w:t>
      </w:r>
      <w:r w:rsidR="004F6ADB">
        <w:rPr>
          <w:rFonts w:cs="Arial"/>
          <w:szCs w:val="20"/>
        </w:rPr>
        <w:t xml:space="preserve">ioxide emissions </w:t>
      </w:r>
      <w:r w:rsidR="00A9638B">
        <w:rPr>
          <w:rFonts w:cs="Arial"/>
          <w:szCs w:val="20"/>
        </w:rPr>
        <w:t xml:space="preserve">is seen as </w:t>
      </w:r>
      <w:r w:rsidR="00A21ACC">
        <w:rPr>
          <w:rFonts w:cs="Arial"/>
          <w:szCs w:val="20"/>
        </w:rPr>
        <w:t>having stimulated investment in plant facilities</w:t>
      </w:r>
      <w:r w:rsidR="00A9638B">
        <w:rPr>
          <w:rFonts w:cs="Arial"/>
          <w:szCs w:val="20"/>
        </w:rPr>
        <w:t xml:space="preserve">. It was felt that working </w:t>
      </w:r>
      <w:r>
        <w:rPr>
          <w:rFonts w:cs="Arial"/>
          <w:szCs w:val="20"/>
        </w:rPr>
        <w:t>more closely</w:t>
      </w:r>
      <w:r w:rsidR="00A9638B">
        <w:rPr>
          <w:rFonts w:cs="Arial"/>
          <w:szCs w:val="20"/>
        </w:rPr>
        <w:t xml:space="preserve"> with public bodies (</w:t>
      </w:r>
      <w:r w:rsidR="00A21ACC">
        <w:rPr>
          <w:rFonts w:cs="Arial"/>
          <w:szCs w:val="20"/>
        </w:rPr>
        <w:t>such as</w:t>
      </w:r>
      <w:r w:rsidR="00A9638B">
        <w:rPr>
          <w:rFonts w:cs="Arial"/>
          <w:szCs w:val="20"/>
        </w:rPr>
        <w:t xml:space="preserve"> local authorities and DEFRA) could </w:t>
      </w:r>
      <w:r>
        <w:rPr>
          <w:rFonts w:cs="Arial"/>
          <w:szCs w:val="20"/>
        </w:rPr>
        <w:t xml:space="preserve">help plan for and mitigate the </w:t>
      </w:r>
      <w:r w:rsidR="00A21ACC">
        <w:rPr>
          <w:rFonts w:cs="Arial"/>
          <w:szCs w:val="20"/>
        </w:rPr>
        <w:t xml:space="preserve">potential impacts associated with </w:t>
      </w:r>
      <w:r>
        <w:rPr>
          <w:rFonts w:cs="Arial"/>
          <w:szCs w:val="20"/>
        </w:rPr>
        <w:t>forthcoming environmental legislation.</w:t>
      </w:r>
    </w:p>
    <w:p w14:paraId="3570B3DD" w14:textId="77777777" w:rsidR="0010073E" w:rsidRDefault="00A9638B" w:rsidP="00C93734">
      <w:pPr>
        <w:jc w:val="both"/>
        <w:rPr>
          <w:rFonts w:cs="Arial"/>
        </w:rPr>
      </w:pPr>
      <w:r>
        <w:rPr>
          <w:rFonts w:cs="Arial"/>
        </w:rPr>
        <w:t xml:space="preserve">It is felt that some </w:t>
      </w:r>
      <w:r w:rsidR="00BD0179">
        <w:rPr>
          <w:rFonts w:cs="Arial"/>
        </w:rPr>
        <w:t>competing</w:t>
      </w:r>
      <w:r>
        <w:rPr>
          <w:rFonts w:cs="Arial"/>
        </w:rPr>
        <w:t xml:space="preserve"> areas </w:t>
      </w:r>
      <w:r w:rsidR="00BD0179">
        <w:rPr>
          <w:rFonts w:cs="Arial"/>
        </w:rPr>
        <w:t>such as</w:t>
      </w:r>
      <w:r>
        <w:rPr>
          <w:rFonts w:cs="Arial"/>
        </w:rPr>
        <w:t xml:space="preserve"> Teesside are better placed and more proactive in responding to future challenges</w:t>
      </w:r>
      <w:r w:rsidR="00A21ACC">
        <w:rPr>
          <w:rFonts w:cs="Arial"/>
        </w:rPr>
        <w:t>:</w:t>
      </w:r>
      <w:r w:rsidR="008812E5">
        <w:rPr>
          <w:rFonts w:cs="Arial"/>
        </w:rPr>
        <w:t xml:space="preserve"> seeking funding to develop the</w:t>
      </w:r>
      <w:r>
        <w:rPr>
          <w:rFonts w:cs="Arial"/>
        </w:rPr>
        <w:t xml:space="preserve"> local </w:t>
      </w:r>
      <w:r w:rsidR="0010073E">
        <w:rPr>
          <w:rFonts w:cs="Arial"/>
        </w:rPr>
        <w:t xml:space="preserve">skills </w:t>
      </w:r>
      <w:r w:rsidR="008812E5">
        <w:rPr>
          <w:rFonts w:cs="Arial"/>
        </w:rPr>
        <w:t>base</w:t>
      </w:r>
      <w:r w:rsidR="00A21ACC">
        <w:rPr>
          <w:rFonts w:cs="Arial"/>
        </w:rPr>
        <w:t>, for example.</w:t>
      </w:r>
    </w:p>
    <w:p w14:paraId="3FB0EDF7" w14:textId="77777777" w:rsidR="00113414" w:rsidRDefault="00A21ACC" w:rsidP="00C93734">
      <w:pPr>
        <w:jc w:val="both"/>
      </w:pPr>
      <w:r>
        <w:rPr>
          <w:rFonts w:cs="Arial"/>
        </w:rPr>
        <w:t xml:space="preserve">Some consultees expressed uncertainty regarding the future of bio-energy in the UK. </w:t>
      </w:r>
      <w:r w:rsidR="00A9638B">
        <w:rPr>
          <w:rFonts w:cs="Arial"/>
        </w:rPr>
        <w:t>It is currently felt that the government is favouring the retrofitting of existing power stations</w:t>
      </w:r>
      <w:r w:rsidR="00CC0906">
        <w:rPr>
          <w:rFonts w:cs="Arial"/>
        </w:rPr>
        <w:t xml:space="preserve"> for bio</w:t>
      </w:r>
      <w:r w:rsidR="006467B5">
        <w:rPr>
          <w:rFonts w:cs="Arial"/>
        </w:rPr>
        <w:t>mass</w:t>
      </w:r>
      <w:r w:rsidR="00CC0906">
        <w:rPr>
          <w:rFonts w:cs="Arial"/>
        </w:rPr>
        <w:t xml:space="preserve"> </w:t>
      </w:r>
      <w:r w:rsidR="00A9638B">
        <w:rPr>
          <w:rFonts w:cs="Arial"/>
        </w:rPr>
        <w:t xml:space="preserve">rather than the building of new plants. This has had implications for some planned developments and may </w:t>
      </w:r>
      <w:r>
        <w:rPr>
          <w:rFonts w:cs="Arial"/>
        </w:rPr>
        <w:t>alter supply chain requirements</w:t>
      </w:r>
      <w:r w:rsidR="00A9638B">
        <w:rPr>
          <w:rFonts w:cs="Arial"/>
        </w:rPr>
        <w:t>.</w:t>
      </w:r>
      <w:r w:rsidR="00113414" w:rsidRPr="00113414">
        <w:t xml:space="preserve"> </w:t>
      </w:r>
      <w:r w:rsidR="00113414">
        <w:t xml:space="preserve">Although the Port of Immingham is well placed to develop biofuel activities, there is some uncertainty over the potential scale of bioenergy and biomass in the area. </w:t>
      </w:r>
      <w:r w:rsidR="00113414" w:rsidRPr="00FF796C">
        <w:t>Companies involved in bioenergy and biomass projects in the area include Greenergy</w:t>
      </w:r>
      <w:r>
        <w:t xml:space="preserve">, </w:t>
      </w:r>
      <w:r w:rsidR="00113414" w:rsidRPr="00FF796C">
        <w:t>Total</w:t>
      </w:r>
      <w:r>
        <w:t xml:space="preserve">, </w:t>
      </w:r>
      <w:r w:rsidR="00113414" w:rsidRPr="00FF796C">
        <w:t>Vireol</w:t>
      </w:r>
      <w:r>
        <w:t>,</w:t>
      </w:r>
      <w:r w:rsidR="00113414" w:rsidRPr="00FF796C">
        <w:t xml:space="preserve"> Abengoa Bioenergy</w:t>
      </w:r>
      <w:r>
        <w:t>,</w:t>
      </w:r>
      <w:r w:rsidR="00113414" w:rsidRPr="00FF796C">
        <w:t xml:space="preserve"> Helius/RWE Innogy</w:t>
      </w:r>
      <w:r>
        <w:t>,</w:t>
      </w:r>
      <w:r w:rsidR="00113414" w:rsidRPr="00FF796C">
        <w:t xml:space="preserve"> Siemens and Encycle.</w:t>
      </w:r>
      <w:r w:rsidR="00113414">
        <w:t xml:space="preserve"> However, there is a feeling that lack of government </w:t>
      </w:r>
      <w:r w:rsidR="006467B5">
        <w:t>subsidy mechanisms</w:t>
      </w:r>
      <w:r w:rsidR="00113414">
        <w:t xml:space="preserve"> and </w:t>
      </w:r>
      <w:r w:rsidR="0031349F">
        <w:t>delays</w:t>
      </w:r>
      <w:r w:rsidR="00113414">
        <w:t xml:space="preserve"> in key projects (e.g. </w:t>
      </w:r>
      <w:r>
        <w:t xml:space="preserve">the </w:t>
      </w:r>
      <w:r w:rsidR="00113414">
        <w:t xml:space="preserve">conversion of Drax) has left investors undecided as to how </w:t>
      </w:r>
      <w:r>
        <w:t>the sector will</w:t>
      </w:r>
      <w:r w:rsidR="00113414">
        <w:t xml:space="preserve"> develop.</w:t>
      </w:r>
    </w:p>
    <w:p w14:paraId="01A5FDEB" w14:textId="77777777" w:rsidR="00740B7D" w:rsidRPr="00740B7D" w:rsidRDefault="00A9638B" w:rsidP="00C93734">
      <w:pPr>
        <w:jc w:val="both"/>
        <w:rPr>
          <w:rFonts w:cs="Arial"/>
        </w:rPr>
      </w:pPr>
      <w:r>
        <w:rPr>
          <w:rFonts w:cs="Arial"/>
        </w:rPr>
        <w:t xml:space="preserve">It is felt that there is a need for </w:t>
      </w:r>
      <w:r w:rsidR="00AF195E">
        <w:rPr>
          <w:rFonts w:cs="Arial"/>
        </w:rPr>
        <w:t>l</w:t>
      </w:r>
      <w:r w:rsidR="009D5E00">
        <w:rPr>
          <w:rFonts w:cs="Arial"/>
        </w:rPr>
        <w:t>iquefied</w:t>
      </w:r>
      <w:r w:rsidR="00A21ACC">
        <w:rPr>
          <w:rFonts w:cs="Arial"/>
        </w:rPr>
        <w:t xml:space="preserve"> natural gas </w:t>
      </w:r>
      <w:r w:rsidR="008812E5">
        <w:rPr>
          <w:rFonts w:cs="Arial"/>
        </w:rPr>
        <w:t>facilities in the local area</w:t>
      </w:r>
      <w:r>
        <w:rPr>
          <w:rFonts w:cs="Arial"/>
        </w:rPr>
        <w:t>, although spac</w:t>
      </w:r>
      <w:r w:rsidR="00CC0906">
        <w:rPr>
          <w:rFonts w:cs="Arial"/>
        </w:rPr>
        <w:t>e constraints may restrict this</w:t>
      </w:r>
      <w:r w:rsidR="004651D3" w:rsidRPr="004651D3">
        <w:rPr>
          <w:rFonts w:cs="Arial"/>
        </w:rPr>
        <w:t>.</w:t>
      </w:r>
      <w:r w:rsidR="00740B7D">
        <w:rPr>
          <w:rFonts w:cs="Arial"/>
        </w:rPr>
        <w:t xml:space="preserve"> A number of considerations are needed in </w:t>
      </w:r>
      <w:r w:rsidR="00740B7D" w:rsidRPr="00740B7D">
        <w:rPr>
          <w:rFonts w:cs="Arial"/>
        </w:rPr>
        <w:t xml:space="preserve">developing a site, including where to locate the facilities (proximity to other products and chemicals, logistics, etc.) and the potential need for </w:t>
      </w:r>
      <w:r w:rsidR="009D12C7" w:rsidRPr="00740B7D">
        <w:rPr>
          <w:rFonts w:cs="Arial"/>
        </w:rPr>
        <w:t xml:space="preserve">changes to existing facilities, </w:t>
      </w:r>
      <w:r w:rsidR="00A21ACC">
        <w:rPr>
          <w:rFonts w:cs="Arial"/>
        </w:rPr>
        <w:t>such as the installation of</w:t>
      </w:r>
      <w:r w:rsidR="009D12C7" w:rsidRPr="00740B7D">
        <w:rPr>
          <w:rFonts w:cs="Arial"/>
        </w:rPr>
        <w:t xml:space="preserve"> </w:t>
      </w:r>
      <w:r w:rsidR="00740B7D" w:rsidRPr="00740B7D">
        <w:rPr>
          <w:rFonts w:cs="Arial"/>
        </w:rPr>
        <w:t>new pipelines</w:t>
      </w:r>
      <w:r w:rsidR="00A21ACC">
        <w:rPr>
          <w:rFonts w:cs="Arial"/>
        </w:rPr>
        <w:t xml:space="preserve"> and the </w:t>
      </w:r>
      <w:r w:rsidR="009D12C7" w:rsidRPr="00740B7D">
        <w:rPr>
          <w:rFonts w:cs="Arial"/>
        </w:rPr>
        <w:t>expansion</w:t>
      </w:r>
      <w:r w:rsidR="00740B7D" w:rsidRPr="00740B7D">
        <w:rPr>
          <w:rFonts w:cs="Arial"/>
        </w:rPr>
        <w:t xml:space="preserve"> of site facilities</w:t>
      </w:r>
      <w:r w:rsidR="009D12C7" w:rsidRPr="00740B7D">
        <w:rPr>
          <w:rFonts w:cs="Arial"/>
        </w:rPr>
        <w:t>.</w:t>
      </w:r>
      <w:r w:rsidR="00740B7D" w:rsidRPr="00740B7D">
        <w:rPr>
          <w:rFonts w:cs="Arial"/>
        </w:rPr>
        <w:t xml:space="preserve"> </w:t>
      </w:r>
    </w:p>
    <w:p w14:paraId="580AC409" w14:textId="77777777" w:rsidR="006059F8" w:rsidRPr="00C50CF5" w:rsidRDefault="00CF5511" w:rsidP="00C93734">
      <w:pPr>
        <w:jc w:val="both"/>
      </w:pPr>
      <w:r>
        <w:t xml:space="preserve">Distance in supply chains is increasingly becoming important as there are </w:t>
      </w:r>
      <w:r w:rsidR="006059F8" w:rsidRPr="00C50CF5">
        <w:t xml:space="preserve">hazards associated with storage </w:t>
      </w:r>
      <w:r>
        <w:t>a</w:t>
      </w:r>
      <w:r w:rsidR="006059F8" w:rsidRPr="00C50CF5">
        <w:t xml:space="preserve">nd transport. </w:t>
      </w:r>
      <w:r>
        <w:t xml:space="preserve">As a </w:t>
      </w:r>
      <w:r w:rsidR="00194283">
        <w:t>sector where safety is critical and therefore subject to significant</w:t>
      </w:r>
      <w:r>
        <w:t xml:space="preserve"> regulat</w:t>
      </w:r>
      <w:r w:rsidR="00194283">
        <w:t>ion</w:t>
      </w:r>
      <w:r>
        <w:t xml:space="preserve"> there is a need to consider the geographical and logistical implications of new developments. This can add time and cost to decision making. As a consequence reducing </w:t>
      </w:r>
      <w:r w:rsidR="00194283">
        <w:t>decision-</w:t>
      </w:r>
      <w:r>
        <w:t>making time and working proactively with planning departments can support development.</w:t>
      </w:r>
      <w:r w:rsidR="006059F8" w:rsidRPr="00C50CF5">
        <w:t xml:space="preserve"> </w:t>
      </w:r>
    </w:p>
    <w:p w14:paraId="300F78CB" w14:textId="77777777" w:rsidR="003F5D42" w:rsidRPr="003F5D42" w:rsidRDefault="003F5D42" w:rsidP="00C93734">
      <w:pPr>
        <w:pStyle w:val="Heading2"/>
        <w:jc w:val="both"/>
        <w:sectPr w:rsidR="003F5D42" w:rsidRPr="003F5D42" w:rsidSect="004D3BDB">
          <w:headerReference w:type="default" r:id="rId63"/>
          <w:footerReference w:type="default" r:id="rId64"/>
          <w:headerReference w:type="first" r:id="rId65"/>
          <w:footerReference w:type="first" r:id="rId66"/>
          <w:pgSz w:w="11906" w:h="16838" w:code="9"/>
          <w:pgMar w:top="964" w:right="1134" w:bottom="964" w:left="1134" w:header="510" w:footer="340" w:gutter="0"/>
          <w:cols w:space="708"/>
          <w:docGrid w:linePitch="360"/>
        </w:sectPr>
      </w:pPr>
    </w:p>
    <w:p w14:paraId="5C99DBC9" w14:textId="77777777" w:rsidR="004D3BDB" w:rsidRDefault="004D3BDB" w:rsidP="00C93734">
      <w:pPr>
        <w:pStyle w:val="IntroHeading"/>
        <w:sectPr w:rsidR="004D3BDB" w:rsidSect="004D3BDB">
          <w:headerReference w:type="first" r:id="rId67"/>
          <w:pgSz w:w="11906" w:h="16838" w:code="9"/>
          <w:pgMar w:top="964" w:right="1134" w:bottom="964" w:left="1134" w:header="510" w:footer="340" w:gutter="0"/>
          <w:cols w:space="708"/>
          <w:titlePg/>
          <w:docGrid w:linePitch="360"/>
        </w:sectPr>
      </w:pPr>
      <w:bookmarkStart w:id="588" w:name="_Toc384034551"/>
      <w:bookmarkStart w:id="589" w:name="_Toc395103926"/>
      <w:r>
        <w:t>Renewables</w:t>
      </w:r>
      <w:bookmarkStart w:id="590" w:name="_Toc384034552"/>
      <w:bookmarkEnd w:id="588"/>
      <w:r w:rsidR="007D52CD">
        <w:t xml:space="preserve"> </w:t>
      </w:r>
      <w:r>
        <w:t>&amp; Energy</w:t>
      </w:r>
      <w:bookmarkEnd w:id="589"/>
      <w:bookmarkEnd w:id="590"/>
    </w:p>
    <w:p w14:paraId="15919845" w14:textId="77777777" w:rsidR="008A6B1E" w:rsidRDefault="00FB70B5" w:rsidP="00C93734">
      <w:pPr>
        <w:pStyle w:val="Heading1"/>
        <w:jc w:val="both"/>
      </w:pPr>
      <w:bookmarkStart w:id="591" w:name="_Ref391910842"/>
      <w:bookmarkStart w:id="592" w:name="_Toc395103927"/>
      <w:r>
        <w:t>R</w:t>
      </w:r>
      <w:r w:rsidR="00B877A8">
        <w:t>enewable</w:t>
      </w:r>
      <w:r w:rsidR="008A6B1E">
        <w:t xml:space="preserve">s </w:t>
      </w:r>
      <w:r w:rsidR="003243EA">
        <w:t>&amp;</w:t>
      </w:r>
      <w:r w:rsidR="00B877A8">
        <w:t xml:space="preserve"> Energy</w:t>
      </w:r>
      <w:bookmarkEnd w:id="591"/>
      <w:bookmarkEnd w:id="592"/>
    </w:p>
    <w:p w14:paraId="0D8B5846" w14:textId="77777777" w:rsidR="006059F8" w:rsidRDefault="00194283" w:rsidP="00C93734">
      <w:pPr>
        <w:jc w:val="both"/>
      </w:pPr>
      <w:r>
        <w:t>NEL</w:t>
      </w:r>
      <w:r w:rsidR="004B1F92">
        <w:t xml:space="preserve"> </w:t>
      </w:r>
      <w:r w:rsidR="00AE7C10">
        <w:t>forms</w:t>
      </w:r>
      <w:r w:rsidR="004B1F92">
        <w:t xml:space="preserve"> an important part </w:t>
      </w:r>
      <w:r w:rsidR="00CC0906">
        <w:t xml:space="preserve">of </w:t>
      </w:r>
      <w:r w:rsidR="00DC7266">
        <w:t xml:space="preserve">what is referred </w:t>
      </w:r>
      <w:r w:rsidR="00D25450">
        <w:t xml:space="preserve">to </w:t>
      </w:r>
      <w:r w:rsidR="00DC7266">
        <w:t xml:space="preserve">by the Humber LEP as the </w:t>
      </w:r>
      <w:r w:rsidR="006059F8">
        <w:t>‘</w:t>
      </w:r>
      <w:r w:rsidR="006059F8" w:rsidRPr="002E08E1">
        <w:t>Energy Estuary</w:t>
      </w:r>
      <w:r w:rsidR="006059F8">
        <w:t>’</w:t>
      </w:r>
      <w:r w:rsidR="004B1F92">
        <w:t>:</w:t>
      </w:r>
    </w:p>
    <w:p w14:paraId="35C63AAA" w14:textId="77777777" w:rsidR="006059F8" w:rsidRDefault="006059F8" w:rsidP="00C93734">
      <w:pPr>
        <w:jc w:val="both"/>
      </w:pPr>
      <w:r w:rsidRPr="00F61BB5">
        <w:rPr>
          <w:i/>
        </w:rPr>
        <w:t>“Predicted as the region to produce the energy of the future, the Humber Estuary and surrounding regions are already home to influential energy leaders E.ON, Centrica, Renewable Energy Systems</w:t>
      </w:r>
      <w:r w:rsidR="00CC0906">
        <w:rPr>
          <w:i/>
        </w:rPr>
        <w:t>, DONG Energy, Vestas</w:t>
      </w:r>
      <w:r w:rsidRPr="00F61BB5">
        <w:rPr>
          <w:i/>
        </w:rPr>
        <w:t xml:space="preserve"> and Siemens. With investments in wind, tidal, biofuels and renewable energy, the region is building on its credentials in chemicals, offshore and marine engineering and exploring opportunities to capitalise on the global demand for sustainable </w:t>
      </w:r>
      <w:r w:rsidR="00F61BB5">
        <w:rPr>
          <w:i/>
        </w:rPr>
        <w:t>energy”</w:t>
      </w:r>
      <w:r w:rsidRPr="00380AB4">
        <w:t>.</w:t>
      </w:r>
      <w:r w:rsidRPr="00380AB4">
        <w:rPr>
          <w:vertAlign w:val="superscript"/>
        </w:rPr>
        <w:footnoteReference w:id="19"/>
      </w:r>
    </w:p>
    <w:p w14:paraId="10C55F4E" w14:textId="77777777" w:rsidR="00CC0906" w:rsidRDefault="00194283" w:rsidP="00C93734">
      <w:pPr>
        <w:jc w:val="both"/>
      </w:pPr>
      <w:r>
        <w:t>NEL</w:t>
      </w:r>
      <w:r w:rsidR="00380AB4" w:rsidRPr="005556BF">
        <w:t xml:space="preserve"> plays an important part in driving forward the renewable energy economy.</w:t>
      </w:r>
      <w:r w:rsidR="009306B4">
        <w:t xml:space="preserve"> </w:t>
      </w:r>
      <w:r w:rsidR="009306B4" w:rsidRPr="002E08E1">
        <w:t xml:space="preserve">The Humber has been designated a Centre for Offshore Renewable Engineering by the </w:t>
      </w:r>
      <w:r>
        <w:t>g</w:t>
      </w:r>
      <w:r w:rsidRPr="002E08E1">
        <w:t xml:space="preserve">overnment </w:t>
      </w:r>
      <w:r w:rsidR="009306B4" w:rsidRPr="002E08E1">
        <w:t xml:space="preserve">and </w:t>
      </w:r>
      <w:r w:rsidR="00920CBC">
        <w:t xml:space="preserve">is seeing an </w:t>
      </w:r>
      <w:r>
        <w:t>increasing</w:t>
      </w:r>
      <w:r w:rsidR="009306B4" w:rsidRPr="002E08E1">
        <w:t xml:space="preserve"> number </w:t>
      </w:r>
      <w:r w:rsidR="00920CBC">
        <w:t xml:space="preserve">of firms </w:t>
      </w:r>
      <w:r w:rsidR="009306B4" w:rsidRPr="002E08E1">
        <w:t xml:space="preserve">and range of offshore wind energy activities. </w:t>
      </w:r>
      <w:r w:rsidR="004E0980">
        <w:t xml:space="preserve">In the Humber there </w:t>
      </w:r>
      <w:r w:rsidR="009306B4" w:rsidRPr="002E08E1">
        <w:t xml:space="preserve">are 484ha of Enterprise Zone (EZ) sites </w:t>
      </w:r>
      <w:r w:rsidR="004E0980">
        <w:t xml:space="preserve">(11 Ha in </w:t>
      </w:r>
      <w:r w:rsidR="00D25450">
        <w:t>NEL</w:t>
      </w:r>
      <w:r w:rsidR="004E0980">
        <w:t xml:space="preserve">) </w:t>
      </w:r>
      <w:r w:rsidR="009306B4" w:rsidRPr="002E08E1">
        <w:t xml:space="preserve">fronting or close to the </w:t>
      </w:r>
      <w:r>
        <w:t>e</w:t>
      </w:r>
      <w:r w:rsidRPr="002E08E1">
        <w:t>stuary</w:t>
      </w:r>
      <w:r w:rsidR="009306B4" w:rsidRPr="002E08E1">
        <w:t>.</w:t>
      </w:r>
      <w:r w:rsidR="004E0980">
        <w:t xml:space="preserve"> </w:t>
      </w:r>
      <w:r w:rsidR="00CC0906">
        <w:t xml:space="preserve">An </w:t>
      </w:r>
      <w:r w:rsidR="004E0980">
        <w:t xml:space="preserve">enterprise zone </w:t>
      </w:r>
      <w:r w:rsidR="00DC7266">
        <w:t xml:space="preserve">is available </w:t>
      </w:r>
      <w:r w:rsidR="004E0980">
        <w:t xml:space="preserve">on the </w:t>
      </w:r>
      <w:r>
        <w:t>north wall</w:t>
      </w:r>
      <w:r w:rsidR="004E0980">
        <w:t xml:space="preserve"> of the Port of Grimsby </w:t>
      </w:r>
      <w:r w:rsidR="00920CBC">
        <w:t xml:space="preserve">for </w:t>
      </w:r>
      <w:r w:rsidR="00920CBC" w:rsidRPr="00920CBC">
        <w:t xml:space="preserve">operations and maintenance (O&amp;M) </w:t>
      </w:r>
      <w:r w:rsidR="00CC0906">
        <w:t>activities.  Whilst this designation offers attractive incentives to investors, the site remains constrained</w:t>
      </w:r>
      <w:r w:rsidR="00D25450">
        <w:t xml:space="preserve"> by challenges regarding the port’s condition and facilities, </w:t>
      </w:r>
      <w:r w:rsidR="00CC0906">
        <w:t xml:space="preserve">and commercial viability is questionable without further public sector intervention.  </w:t>
      </w:r>
    </w:p>
    <w:p w14:paraId="7EE5FB1D" w14:textId="77777777" w:rsidR="00920CBC" w:rsidRDefault="004B1F92" w:rsidP="00C93734">
      <w:pPr>
        <w:jc w:val="both"/>
        <w:rPr>
          <w:rFonts w:cs="Arial"/>
        </w:rPr>
      </w:pPr>
      <w:r>
        <w:rPr>
          <w:rFonts w:cs="Arial"/>
        </w:rPr>
        <w:t>With considerable potential to grow, t</w:t>
      </w:r>
      <w:r w:rsidR="00920CBC">
        <w:rPr>
          <w:rFonts w:cs="Arial"/>
        </w:rPr>
        <w:t xml:space="preserve">he </w:t>
      </w:r>
      <w:r w:rsidR="00194283">
        <w:rPr>
          <w:rFonts w:cs="Arial"/>
        </w:rPr>
        <w:t xml:space="preserve">on- and offshore wind industries are likely to form the core of the </w:t>
      </w:r>
      <w:r w:rsidR="00920CBC">
        <w:rPr>
          <w:rFonts w:cs="Arial"/>
        </w:rPr>
        <w:t xml:space="preserve">renewables </w:t>
      </w:r>
      <w:r w:rsidR="00194283">
        <w:rPr>
          <w:rFonts w:cs="Arial"/>
        </w:rPr>
        <w:t xml:space="preserve">sector </w:t>
      </w:r>
      <w:r w:rsidR="00920CBC">
        <w:rPr>
          <w:rFonts w:cs="Arial"/>
        </w:rPr>
        <w:t xml:space="preserve">in </w:t>
      </w:r>
      <w:r w:rsidR="00194283">
        <w:rPr>
          <w:rFonts w:cs="Arial"/>
        </w:rPr>
        <w:t>NEL</w:t>
      </w:r>
      <w:r w:rsidR="00EE2268">
        <w:rPr>
          <w:rFonts w:cs="Arial"/>
        </w:rPr>
        <w:t xml:space="preserve">. However, there are wider strengths in biomass, geothermal and solar </w:t>
      </w:r>
      <w:r w:rsidR="00194283">
        <w:rPr>
          <w:rFonts w:cs="Arial"/>
        </w:rPr>
        <w:t xml:space="preserve">energy </w:t>
      </w:r>
      <w:r w:rsidR="00EE2268">
        <w:rPr>
          <w:rFonts w:cs="Arial"/>
        </w:rPr>
        <w:t>which add to the wider renewable sector;</w:t>
      </w:r>
    </w:p>
    <w:p w14:paraId="57DF8830" w14:textId="77777777" w:rsidR="00920CBC" w:rsidRPr="005204C0" w:rsidRDefault="00920CBC" w:rsidP="00C93734">
      <w:pPr>
        <w:pStyle w:val="ListParagraph"/>
        <w:numPr>
          <w:ilvl w:val="0"/>
          <w:numId w:val="32"/>
        </w:numPr>
        <w:spacing w:after="0"/>
        <w:jc w:val="both"/>
        <w:outlineLvl w:val="9"/>
        <w:rPr>
          <w:rFonts w:cs="Arial"/>
        </w:rPr>
      </w:pPr>
      <w:r w:rsidRPr="005204C0">
        <w:rPr>
          <w:rFonts w:cs="Arial"/>
        </w:rPr>
        <w:t xml:space="preserve">Onshore </w:t>
      </w:r>
      <w:r w:rsidR="00194283">
        <w:rPr>
          <w:rFonts w:cs="Arial"/>
        </w:rPr>
        <w:t>w</w:t>
      </w:r>
      <w:r w:rsidR="00194283" w:rsidRPr="005204C0">
        <w:rPr>
          <w:rFonts w:cs="Arial"/>
        </w:rPr>
        <w:t xml:space="preserve">ind </w:t>
      </w:r>
      <w:r w:rsidRPr="005204C0">
        <w:rPr>
          <w:rFonts w:cs="Arial"/>
        </w:rPr>
        <w:t xml:space="preserve">– Since the UK’s first commercial </w:t>
      </w:r>
      <w:r w:rsidR="00F81FCB">
        <w:rPr>
          <w:rFonts w:cs="Arial"/>
        </w:rPr>
        <w:t>windfarm</w:t>
      </w:r>
      <w:r w:rsidRPr="005204C0">
        <w:rPr>
          <w:rFonts w:cs="Arial"/>
        </w:rPr>
        <w:t xml:space="preserve"> was built in Cornwall in 1991 onshore wind energy has established itself and is now the UK’s largest source of renewable energy generation. In the</w:t>
      </w:r>
      <w:r w:rsidR="00DC7266">
        <w:rPr>
          <w:rFonts w:cs="Arial"/>
        </w:rPr>
        <w:t xml:space="preserve"> wider</w:t>
      </w:r>
      <w:r w:rsidRPr="005204C0">
        <w:rPr>
          <w:rFonts w:cs="Arial"/>
        </w:rPr>
        <w:t xml:space="preserve"> </w:t>
      </w:r>
      <w:r w:rsidR="00DC7266">
        <w:rPr>
          <w:rFonts w:cs="Arial"/>
        </w:rPr>
        <w:t xml:space="preserve">North Lincolnshire </w:t>
      </w:r>
      <w:r w:rsidRPr="005204C0">
        <w:rPr>
          <w:rFonts w:cs="Arial"/>
        </w:rPr>
        <w:t xml:space="preserve">area there </w:t>
      </w:r>
      <w:r w:rsidR="00EE2268">
        <w:rPr>
          <w:rFonts w:cs="Arial"/>
        </w:rPr>
        <w:t xml:space="preserve">are planned and existing </w:t>
      </w:r>
      <w:r w:rsidRPr="005204C0">
        <w:rPr>
          <w:rFonts w:cs="Arial"/>
        </w:rPr>
        <w:t>onshore wind projects, ranging from single turbines to larger, multi-turbine schemes.</w:t>
      </w:r>
    </w:p>
    <w:p w14:paraId="35786EA2" w14:textId="77777777" w:rsidR="00920CBC" w:rsidRDefault="00920CBC" w:rsidP="00C93734">
      <w:pPr>
        <w:pStyle w:val="ListParagraph"/>
        <w:numPr>
          <w:ilvl w:val="0"/>
          <w:numId w:val="32"/>
        </w:numPr>
        <w:spacing w:after="0"/>
        <w:jc w:val="both"/>
        <w:outlineLvl w:val="9"/>
        <w:rPr>
          <w:rFonts w:cs="Arial"/>
        </w:rPr>
      </w:pPr>
      <w:r w:rsidRPr="005204C0">
        <w:rPr>
          <w:rFonts w:cs="Arial"/>
        </w:rPr>
        <w:t xml:space="preserve">Offshore </w:t>
      </w:r>
      <w:r w:rsidR="00194283">
        <w:rPr>
          <w:rFonts w:cs="Arial"/>
        </w:rPr>
        <w:t>w</w:t>
      </w:r>
      <w:r w:rsidR="00194283" w:rsidRPr="005204C0">
        <w:rPr>
          <w:rFonts w:cs="Arial"/>
        </w:rPr>
        <w:t xml:space="preserve">ind </w:t>
      </w:r>
      <w:r w:rsidR="009D5E00">
        <w:rPr>
          <w:rFonts w:cs="Arial"/>
        </w:rPr>
        <w:t>–</w:t>
      </w:r>
      <w:r w:rsidRPr="005204C0">
        <w:rPr>
          <w:rFonts w:cs="Arial"/>
        </w:rPr>
        <w:t xml:space="preserve"> The growing offshore wind industry is predicted to become a major</w:t>
      </w:r>
      <w:r w:rsidR="00194283">
        <w:rPr>
          <w:rFonts w:cs="Arial"/>
        </w:rPr>
        <w:t xml:space="preserve"> driver for</w:t>
      </w:r>
      <w:r w:rsidRPr="005204C0">
        <w:rPr>
          <w:rFonts w:cs="Arial"/>
        </w:rPr>
        <w:t xml:space="preserve"> UK manufacturing activity, </w:t>
      </w:r>
      <w:r w:rsidR="00194283">
        <w:rPr>
          <w:rFonts w:cs="Arial"/>
        </w:rPr>
        <w:t>leading to</w:t>
      </w:r>
      <w:r w:rsidR="00194283" w:rsidRPr="005204C0">
        <w:rPr>
          <w:rFonts w:cs="Arial"/>
        </w:rPr>
        <w:t xml:space="preserve"> </w:t>
      </w:r>
      <w:r w:rsidRPr="005204C0">
        <w:rPr>
          <w:rFonts w:cs="Arial"/>
        </w:rPr>
        <w:t>significant new inward investment</w:t>
      </w:r>
      <w:r w:rsidR="00194283">
        <w:rPr>
          <w:rFonts w:cs="Arial"/>
        </w:rPr>
        <w:t xml:space="preserve"> and the creation of firms</w:t>
      </w:r>
      <w:r w:rsidR="00194283" w:rsidRPr="005204C0">
        <w:rPr>
          <w:rFonts w:cs="Arial"/>
        </w:rPr>
        <w:t xml:space="preserve"> </w:t>
      </w:r>
      <w:r w:rsidRPr="005204C0">
        <w:rPr>
          <w:rFonts w:cs="Arial"/>
        </w:rPr>
        <w:t xml:space="preserve">and jobs </w:t>
      </w:r>
      <w:r w:rsidR="00194283">
        <w:rPr>
          <w:rFonts w:cs="Arial"/>
        </w:rPr>
        <w:t>in</w:t>
      </w:r>
      <w:r w:rsidR="00194283" w:rsidRPr="005204C0">
        <w:rPr>
          <w:rFonts w:cs="Arial"/>
        </w:rPr>
        <w:t xml:space="preserve"> </w:t>
      </w:r>
      <w:r w:rsidR="00725205">
        <w:rPr>
          <w:rFonts w:cs="Arial"/>
        </w:rPr>
        <w:t>strategically located areas</w:t>
      </w:r>
      <w:r w:rsidRPr="005204C0">
        <w:rPr>
          <w:rFonts w:cs="Arial"/>
        </w:rPr>
        <w:t xml:space="preserve">. Since 2000, the Crown Estate have run six rounds of offshore wind which have increased in scale and technical complexity. Round 3, released in 2010 is the </w:t>
      </w:r>
      <w:r w:rsidR="00725205">
        <w:rPr>
          <w:rFonts w:cs="Arial"/>
        </w:rPr>
        <w:t>largest</w:t>
      </w:r>
      <w:r w:rsidR="00725205" w:rsidRPr="005204C0">
        <w:rPr>
          <w:rFonts w:cs="Arial"/>
        </w:rPr>
        <w:t xml:space="preserve"> </w:t>
      </w:r>
      <w:r w:rsidRPr="005204C0">
        <w:rPr>
          <w:rFonts w:cs="Arial"/>
        </w:rPr>
        <w:t xml:space="preserve">so far and features nine zones across the UK. The largest, Dogger Bank, </w:t>
      </w:r>
      <w:r w:rsidR="00725205" w:rsidRPr="005204C0">
        <w:rPr>
          <w:rFonts w:cs="Arial"/>
        </w:rPr>
        <w:t>i</w:t>
      </w:r>
      <w:r w:rsidR="00725205">
        <w:rPr>
          <w:rFonts w:cs="Arial"/>
        </w:rPr>
        <w:t>s based in</w:t>
      </w:r>
      <w:r w:rsidR="00725205" w:rsidRPr="005204C0">
        <w:rPr>
          <w:rFonts w:cs="Arial"/>
        </w:rPr>
        <w:t xml:space="preserve"> </w:t>
      </w:r>
      <w:r w:rsidRPr="005204C0">
        <w:rPr>
          <w:rFonts w:cs="Arial"/>
        </w:rPr>
        <w:t>the North Sea</w:t>
      </w:r>
      <w:r w:rsidR="00725205">
        <w:rPr>
          <w:rFonts w:cs="Arial"/>
        </w:rPr>
        <w:t>,</w:t>
      </w:r>
      <w:r w:rsidRPr="005204C0">
        <w:rPr>
          <w:rFonts w:cs="Arial"/>
        </w:rPr>
        <w:t xml:space="preserve"> between 125 to 290km off the coast of East Yorkshire and </w:t>
      </w:r>
      <w:r w:rsidR="00D25450">
        <w:rPr>
          <w:rFonts w:cs="Arial"/>
        </w:rPr>
        <w:t>NEL</w:t>
      </w:r>
      <w:r w:rsidR="00612E42">
        <w:rPr>
          <w:rFonts w:cs="Arial"/>
        </w:rPr>
        <w:t>. There is strong national government support for offshore wind in playing a “key role” in allowing the UK to meet 2020 renewable energy targets</w:t>
      </w:r>
      <w:r w:rsidR="00612E42">
        <w:rPr>
          <w:rStyle w:val="FootnoteReference"/>
          <w:rFonts w:cs="Arial"/>
        </w:rPr>
        <w:footnoteReference w:id="20"/>
      </w:r>
      <w:r w:rsidR="00612E42">
        <w:rPr>
          <w:rFonts w:cs="Arial"/>
        </w:rPr>
        <w:t xml:space="preserve">. </w:t>
      </w:r>
    </w:p>
    <w:p w14:paraId="6839047B" w14:textId="77777777" w:rsidR="00EE2268" w:rsidRDefault="009938BE" w:rsidP="00C93734">
      <w:pPr>
        <w:pStyle w:val="ListParagraph"/>
        <w:numPr>
          <w:ilvl w:val="0"/>
          <w:numId w:val="32"/>
        </w:numPr>
        <w:spacing w:after="0"/>
        <w:jc w:val="both"/>
        <w:outlineLvl w:val="9"/>
        <w:rPr>
          <w:rFonts w:cs="Arial"/>
        </w:rPr>
      </w:pPr>
      <w:r>
        <w:rPr>
          <w:rFonts w:cs="Arial"/>
        </w:rPr>
        <w:t xml:space="preserve">Biomass – </w:t>
      </w:r>
      <w:r w:rsidR="00725205">
        <w:rPr>
          <w:rFonts w:cs="Arial"/>
        </w:rPr>
        <w:t xml:space="preserve">Since </w:t>
      </w:r>
      <w:r>
        <w:rPr>
          <w:rFonts w:cs="Arial"/>
        </w:rPr>
        <w:t xml:space="preserve">many of the conventional power generating assets in North Yorkshire such as Drax and Ferrybridge are converting to ‘co-firing’ in order to reduce their carbon emissions, significant amounts of biomass, generally pelleted </w:t>
      </w:r>
      <w:r w:rsidR="00E15EE4">
        <w:rPr>
          <w:rFonts w:cs="Arial"/>
        </w:rPr>
        <w:t>wood</w:t>
      </w:r>
      <w:r>
        <w:rPr>
          <w:rFonts w:cs="Arial"/>
        </w:rPr>
        <w:t xml:space="preserve"> </w:t>
      </w:r>
      <w:r w:rsidR="00E15EE4">
        <w:rPr>
          <w:rFonts w:cs="Arial"/>
        </w:rPr>
        <w:t xml:space="preserve">are </w:t>
      </w:r>
      <w:r>
        <w:rPr>
          <w:rFonts w:cs="Arial"/>
        </w:rPr>
        <w:t xml:space="preserve">being imported </w:t>
      </w:r>
      <w:r w:rsidR="00E15EE4">
        <w:rPr>
          <w:rFonts w:cs="Arial"/>
        </w:rPr>
        <w:t xml:space="preserve">and stored at </w:t>
      </w:r>
      <w:r>
        <w:rPr>
          <w:rFonts w:cs="Arial"/>
        </w:rPr>
        <w:t>Immingham</w:t>
      </w:r>
      <w:r w:rsidR="00E15EE4">
        <w:rPr>
          <w:rFonts w:cs="Arial"/>
        </w:rPr>
        <w:t xml:space="preserve"> and</w:t>
      </w:r>
      <w:r>
        <w:rPr>
          <w:rFonts w:cs="Arial"/>
        </w:rPr>
        <w:t xml:space="preserve"> distributed by rail to the relevant power plants.  This activity has led to the construction of new infrastructure at the port including </w:t>
      </w:r>
      <w:r w:rsidR="009052A6">
        <w:rPr>
          <w:rFonts w:cs="Arial"/>
        </w:rPr>
        <w:t>silos and conveyor systems.</w:t>
      </w:r>
    </w:p>
    <w:p w14:paraId="6E6DD565" w14:textId="77777777" w:rsidR="00AF2D59" w:rsidRDefault="00AF2D59" w:rsidP="00C93734">
      <w:pPr>
        <w:pStyle w:val="ListParagraph"/>
        <w:numPr>
          <w:ilvl w:val="0"/>
          <w:numId w:val="0"/>
        </w:numPr>
        <w:spacing w:after="0"/>
        <w:ind w:left="720"/>
        <w:jc w:val="both"/>
        <w:outlineLvl w:val="9"/>
        <w:rPr>
          <w:rFonts w:cs="Arial"/>
        </w:rPr>
      </w:pPr>
    </w:p>
    <w:p w14:paraId="06A0876B" w14:textId="77777777" w:rsidR="00EE2268" w:rsidRDefault="00EE2268" w:rsidP="00C93734">
      <w:pPr>
        <w:pStyle w:val="Heading3"/>
        <w:jc w:val="both"/>
      </w:pPr>
      <w:r>
        <w:t>Offshore Wind</w:t>
      </w:r>
    </w:p>
    <w:p w14:paraId="5777D3EF" w14:textId="77777777" w:rsidR="00293441" w:rsidRPr="00845034" w:rsidRDefault="009052A6" w:rsidP="00C93734">
      <w:pPr>
        <w:spacing w:after="0"/>
        <w:jc w:val="both"/>
        <w:rPr>
          <w:rFonts w:cs="Arial"/>
        </w:rPr>
      </w:pPr>
      <w:r>
        <w:rPr>
          <w:rFonts w:cs="Arial"/>
        </w:rPr>
        <w:t>The</w:t>
      </w:r>
      <w:r w:rsidR="00CA6919">
        <w:rPr>
          <w:rFonts w:cs="Arial"/>
        </w:rPr>
        <w:t xml:space="preserve"> development of</w:t>
      </w:r>
      <w:r>
        <w:rPr>
          <w:rFonts w:cs="Arial"/>
        </w:rPr>
        <w:t xml:space="preserve"> </w:t>
      </w:r>
      <w:r w:rsidR="00293441">
        <w:rPr>
          <w:rFonts w:cs="Arial"/>
        </w:rPr>
        <w:t>Round 3</w:t>
      </w:r>
      <w:r>
        <w:rPr>
          <w:rFonts w:cs="Arial"/>
        </w:rPr>
        <w:t xml:space="preserve"> offshore wind zones</w:t>
      </w:r>
      <w:r w:rsidR="00293441">
        <w:rPr>
          <w:rFonts w:cs="Arial"/>
        </w:rPr>
        <w:t xml:space="preserve"> </w:t>
      </w:r>
      <w:r w:rsidR="00E15EE4">
        <w:rPr>
          <w:rFonts w:cs="Arial"/>
        </w:rPr>
        <w:t>represent</w:t>
      </w:r>
      <w:r w:rsidR="00293441">
        <w:rPr>
          <w:rFonts w:cs="Arial"/>
        </w:rPr>
        <w:t xml:space="preserve"> a huge opportunity for renewables in </w:t>
      </w:r>
      <w:r w:rsidR="00E15EE4">
        <w:rPr>
          <w:rFonts w:cs="Arial"/>
        </w:rPr>
        <w:t>NEL</w:t>
      </w:r>
      <w:r w:rsidR="00293441">
        <w:rPr>
          <w:rFonts w:cs="Arial"/>
        </w:rPr>
        <w:t xml:space="preserve"> and the Humber</w:t>
      </w:r>
      <w:r w:rsidR="00E15EE4">
        <w:rPr>
          <w:rFonts w:cs="Arial"/>
        </w:rPr>
        <w:t>,</w:t>
      </w:r>
      <w:r w:rsidR="00293441">
        <w:rPr>
          <w:rFonts w:cs="Arial"/>
        </w:rPr>
        <w:t xml:space="preserve"> as the developments are </w:t>
      </w:r>
      <w:r w:rsidR="00293441" w:rsidRPr="00845034">
        <w:rPr>
          <w:rFonts w:cs="Arial"/>
        </w:rPr>
        <w:t xml:space="preserve">much larger than those awarded in Round 2 (the Round 3 development zones have the potential for the construction of multiple </w:t>
      </w:r>
      <w:r w:rsidR="00F81FCB">
        <w:rPr>
          <w:rFonts w:cs="Arial"/>
        </w:rPr>
        <w:t>windfarm</w:t>
      </w:r>
      <w:r w:rsidR="00293441" w:rsidRPr="00845034">
        <w:rPr>
          <w:rFonts w:cs="Arial"/>
        </w:rPr>
        <w:t xml:space="preserve"> sites). </w:t>
      </w:r>
    </w:p>
    <w:p w14:paraId="2B0A5D47" w14:textId="77777777" w:rsidR="00293441" w:rsidRDefault="00293441" w:rsidP="00DF4291">
      <w:pPr>
        <w:pStyle w:val="Caption"/>
        <w:rPr>
          <w:rFonts w:eastAsia="Times New Roman" w:cs="Times New Roman"/>
          <w:color w:val="333333"/>
          <w:shd w:val="clear" w:color="auto" w:fill="FFFFFF"/>
          <w:lang w:eastAsia="en-GB"/>
        </w:rPr>
      </w:pPr>
      <w:bookmarkStart w:id="593" w:name="_Toc383159674"/>
      <w:r>
        <w:rPr>
          <w:noProof/>
          <w:lang w:eastAsia="en-GB"/>
        </w:rPr>
        <w:t xml:space="preserve">Figure </w:t>
      </w:r>
      <w:fldSimple w:instr=" STYLEREF 1 \s  \* MERGEFORMAT ">
        <w:r w:rsidR="00E95E1A">
          <w:rPr>
            <w:noProof/>
            <w:lang w:eastAsia="en-GB"/>
          </w:rPr>
          <w:t>7</w:t>
        </w:r>
      </w:fldSimple>
      <w:r>
        <w:rPr>
          <w:noProof/>
          <w:lang w:eastAsia="en-GB"/>
        </w:rPr>
        <w:t>-</w:t>
      </w:r>
      <w:fldSimple w:instr=" SEQ Figure \* ARABIC \s 1  \* MERGEFORMAT ">
        <w:r w:rsidR="00E95E1A">
          <w:rPr>
            <w:noProof/>
            <w:lang w:eastAsia="en-GB"/>
          </w:rPr>
          <w:t>1</w:t>
        </w:r>
      </w:fldSimple>
      <w:r>
        <w:rPr>
          <w:noProof/>
          <w:lang w:eastAsia="en-GB"/>
        </w:rPr>
        <w:tab/>
        <w:t xml:space="preserve">Round 3 </w:t>
      </w:r>
      <w:r w:rsidR="00F81FCB">
        <w:rPr>
          <w:noProof/>
          <w:lang w:eastAsia="en-GB"/>
        </w:rPr>
        <w:t>Windfarm</w:t>
      </w:r>
      <w:r>
        <w:rPr>
          <w:noProof/>
          <w:lang w:eastAsia="en-GB"/>
        </w:rPr>
        <w:t xml:space="preserve"> Locations</w:t>
      </w:r>
      <w:bookmarkEnd w:id="593"/>
      <w:r w:rsidR="00EE2268" w:rsidRPr="00EE2268">
        <w:t xml:space="preserve"> </w:t>
      </w:r>
      <w:r w:rsidR="00EE2268">
        <w:rPr>
          <w:noProof/>
          <w:lang w:eastAsia="en-GB"/>
        </w:rPr>
        <w:drawing>
          <wp:inline distT="0" distB="0" distL="0" distR="0" wp14:anchorId="6EBB21B7" wp14:editId="1C0968F0">
            <wp:extent cx="4381500" cy="5715000"/>
            <wp:effectExtent l="19050" t="0" r="0" b="0"/>
            <wp:docPr id="27" name="Picture 1" descr="http://static.guim.co.uk/sys-images/Environment/Pix/pictures/2010/01/08/WI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guim.co.uk/sys-images/Environment/Pix/pictures/2010/01/08/WIND.gif"/>
                    <pic:cNvPicPr>
                      <a:picLocks noChangeAspect="1" noChangeArrowheads="1"/>
                    </pic:cNvPicPr>
                  </pic:nvPicPr>
                  <pic:blipFill>
                    <a:blip r:embed="rId68" cstate="print"/>
                    <a:srcRect/>
                    <a:stretch>
                      <a:fillRect/>
                    </a:stretch>
                  </pic:blipFill>
                  <pic:spPr bwMode="auto">
                    <a:xfrm>
                      <a:off x="0" y="0"/>
                      <a:ext cx="4381500" cy="5715000"/>
                    </a:xfrm>
                    <a:prstGeom prst="rect">
                      <a:avLst/>
                    </a:prstGeom>
                    <a:noFill/>
                    <a:ln w="9525">
                      <a:noFill/>
                      <a:miter lim="800000"/>
                      <a:headEnd/>
                      <a:tailEnd/>
                    </a:ln>
                  </pic:spPr>
                </pic:pic>
              </a:graphicData>
            </a:graphic>
          </wp:inline>
        </w:drawing>
      </w:r>
    </w:p>
    <w:p w14:paraId="47A94462" w14:textId="77777777" w:rsidR="00293441" w:rsidRDefault="00293441" w:rsidP="00C93734">
      <w:pPr>
        <w:jc w:val="both"/>
        <w:rPr>
          <w:rFonts w:cs="Arial"/>
        </w:rPr>
      </w:pPr>
      <w:r w:rsidRPr="009F753F">
        <w:rPr>
          <w:rFonts w:cs="Arial"/>
        </w:rPr>
        <w:t xml:space="preserve">Source: </w:t>
      </w:r>
      <w:r w:rsidR="002E37F5">
        <w:rPr>
          <w:rFonts w:cs="Arial"/>
        </w:rPr>
        <w:t>BWEA/</w:t>
      </w:r>
      <w:r w:rsidR="00EE2268">
        <w:rPr>
          <w:rFonts w:cs="Arial"/>
        </w:rPr>
        <w:t xml:space="preserve">GMG </w:t>
      </w:r>
      <w:r w:rsidRPr="009F753F">
        <w:rPr>
          <w:rFonts w:cs="Arial"/>
        </w:rPr>
        <w:t xml:space="preserve">2014. </w:t>
      </w:r>
    </w:p>
    <w:p w14:paraId="43B14A67" w14:textId="77777777" w:rsidR="00293441" w:rsidRPr="00293441" w:rsidRDefault="00293441" w:rsidP="00C93734">
      <w:pPr>
        <w:spacing w:after="0"/>
        <w:jc w:val="both"/>
        <w:rPr>
          <w:rFonts w:cs="Arial"/>
        </w:rPr>
      </w:pPr>
    </w:p>
    <w:p w14:paraId="0380335A" w14:textId="77777777" w:rsidR="00920CBC" w:rsidRPr="005204C0" w:rsidRDefault="00920CBC" w:rsidP="00C93734">
      <w:pPr>
        <w:pStyle w:val="ListParagraph"/>
        <w:numPr>
          <w:ilvl w:val="0"/>
          <w:numId w:val="32"/>
        </w:numPr>
        <w:spacing w:after="0"/>
        <w:jc w:val="both"/>
        <w:outlineLvl w:val="9"/>
        <w:rPr>
          <w:rFonts w:cs="Arial"/>
        </w:rPr>
      </w:pPr>
      <w:r w:rsidRPr="005204C0">
        <w:rPr>
          <w:rFonts w:cs="Arial"/>
        </w:rPr>
        <w:t xml:space="preserve">Wave &amp; </w:t>
      </w:r>
      <w:r w:rsidR="00E15EE4">
        <w:rPr>
          <w:rFonts w:cs="Arial"/>
        </w:rPr>
        <w:t>t</w:t>
      </w:r>
      <w:r w:rsidRPr="005204C0">
        <w:rPr>
          <w:rFonts w:cs="Arial"/>
        </w:rPr>
        <w:t xml:space="preserve">idal – Although other estuary and tidal areas are also developing technology, the Humber area has a range of key advantages including </w:t>
      </w:r>
      <w:r w:rsidR="00030C7C">
        <w:rPr>
          <w:rFonts w:cs="Arial"/>
        </w:rPr>
        <w:t xml:space="preserve">use of </w:t>
      </w:r>
      <w:r w:rsidRPr="005204C0">
        <w:rPr>
          <w:rFonts w:cs="Arial"/>
        </w:rPr>
        <w:t xml:space="preserve">the University of Hull’s </w:t>
      </w:r>
      <w:r w:rsidRPr="008910F3">
        <w:rPr>
          <w:rFonts w:cs="Arial"/>
        </w:rPr>
        <w:t>Total Environment Simulator research facility</w:t>
      </w:r>
      <w:r w:rsidR="009052A6">
        <w:rPr>
          <w:rFonts w:cs="Arial"/>
        </w:rPr>
        <w:t xml:space="preserve"> and the tidal estuary </w:t>
      </w:r>
      <w:r w:rsidR="00030C7C">
        <w:rPr>
          <w:rFonts w:cs="Arial"/>
        </w:rPr>
        <w:t>for research into wave and tidal technology.</w:t>
      </w:r>
      <w:r w:rsidR="00030C7C" w:rsidDel="00030C7C">
        <w:rPr>
          <w:rFonts w:cs="Arial"/>
        </w:rPr>
        <w:t xml:space="preserve"> </w:t>
      </w:r>
    </w:p>
    <w:p w14:paraId="683EC6AE" w14:textId="77777777" w:rsidR="00920CBC" w:rsidRPr="005204C0" w:rsidRDefault="00E15EE4" w:rsidP="00C93734">
      <w:pPr>
        <w:pStyle w:val="ListParagraph"/>
        <w:numPr>
          <w:ilvl w:val="0"/>
          <w:numId w:val="32"/>
        </w:numPr>
        <w:spacing w:after="0"/>
        <w:jc w:val="both"/>
        <w:outlineLvl w:val="9"/>
        <w:rPr>
          <w:rFonts w:cs="Arial"/>
        </w:rPr>
      </w:pPr>
      <w:r w:rsidRPr="005204C0">
        <w:rPr>
          <w:rFonts w:cs="Arial"/>
        </w:rPr>
        <w:t>Small-scale</w:t>
      </w:r>
      <w:r w:rsidR="00920CBC" w:rsidRPr="005204C0">
        <w:rPr>
          <w:rFonts w:cs="Arial"/>
        </w:rPr>
        <w:t xml:space="preserve"> renewables– There </w:t>
      </w:r>
      <w:r>
        <w:rPr>
          <w:rFonts w:cs="Arial"/>
        </w:rPr>
        <w:t>are</w:t>
      </w:r>
      <w:r w:rsidRPr="005204C0">
        <w:rPr>
          <w:rFonts w:cs="Arial"/>
        </w:rPr>
        <w:t xml:space="preserve"> </w:t>
      </w:r>
      <w:r w:rsidR="00920CBC" w:rsidRPr="005204C0">
        <w:rPr>
          <w:rFonts w:cs="Arial"/>
        </w:rPr>
        <w:t xml:space="preserve">a range of other renewable technologies across the </w:t>
      </w:r>
      <w:r w:rsidR="00577236">
        <w:rPr>
          <w:rFonts w:cs="Arial"/>
        </w:rPr>
        <w:t>NEL</w:t>
      </w:r>
      <w:r w:rsidR="00920CBC">
        <w:rPr>
          <w:rFonts w:cs="Arial"/>
        </w:rPr>
        <w:t xml:space="preserve"> area </w:t>
      </w:r>
      <w:r>
        <w:rPr>
          <w:rFonts w:cs="Arial"/>
        </w:rPr>
        <w:t>currently</w:t>
      </w:r>
      <w:r w:rsidR="00920CBC">
        <w:rPr>
          <w:rFonts w:cs="Arial"/>
        </w:rPr>
        <w:t xml:space="preserve"> gaining traction. These include geothermal and photovoltaic technologies which are often at a smaller scale than wind and wave developments.</w:t>
      </w:r>
    </w:p>
    <w:p w14:paraId="4B58E9E3" w14:textId="77777777" w:rsidR="00920CBC" w:rsidRDefault="00920CBC" w:rsidP="00C93734">
      <w:pPr>
        <w:pStyle w:val="ListParagraph"/>
        <w:numPr>
          <w:ilvl w:val="0"/>
          <w:numId w:val="32"/>
        </w:numPr>
        <w:spacing w:after="0"/>
        <w:jc w:val="both"/>
        <w:outlineLvl w:val="9"/>
        <w:rPr>
          <w:rFonts w:cs="Arial"/>
        </w:rPr>
      </w:pPr>
      <w:r w:rsidRPr="005204C0">
        <w:rPr>
          <w:rFonts w:cs="Arial"/>
        </w:rPr>
        <w:t xml:space="preserve">Biomass and biofuel </w:t>
      </w:r>
      <w:r>
        <w:rPr>
          <w:rFonts w:cs="Arial"/>
        </w:rPr>
        <w:t>–</w:t>
      </w:r>
      <w:r w:rsidRPr="005204C0">
        <w:rPr>
          <w:rFonts w:cs="Arial"/>
        </w:rPr>
        <w:t xml:space="preserve"> </w:t>
      </w:r>
      <w:r>
        <w:rPr>
          <w:rFonts w:cs="Arial"/>
        </w:rPr>
        <w:t xml:space="preserve">The conversion of existing national power plants (e.g. Drax) to biomass and the </w:t>
      </w:r>
      <w:r w:rsidR="00E15EE4">
        <w:rPr>
          <w:rFonts w:cs="Arial"/>
        </w:rPr>
        <w:t xml:space="preserve">granting of planning </w:t>
      </w:r>
      <w:r>
        <w:rPr>
          <w:rFonts w:cs="Arial"/>
        </w:rPr>
        <w:t xml:space="preserve">consent </w:t>
      </w:r>
      <w:r w:rsidR="00E15EE4">
        <w:rPr>
          <w:rFonts w:cs="Arial"/>
        </w:rPr>
        <w:t xml:space="preserve">for new </w:t>
      </w:r>
      <w:r>
        <w:rPr>
          <w:rFonts w:cs="Arial"/>
        </w:rPr>
        <w:t xml:space="preserve">biomass facilities are expected to drive future growth and contribute to </w:t>
      </w:r>
      <w:r w:rsidR="00E15EE4">
        <w:rPr>
          <w:rFonts w:cs="Arial"/>
        </w:rPr>
        <w:t>changes</w:t>
      </w:r>
      <w:r>
        <w:rPr>
          <w:rFonts w:cs="Arial"/>
        </w:rPr>
        <w:t xml:space="preserve"> in </w:t>
      </w:r>
      <w:r w:rsidR="00E15EE4">
        <w:rPr>
          <w:rFonts w:cs="Arial"/>
        </w:rPr>
        <w:t xml:space="preserve">the </w:t>
      </w:r>
      <w:r>
        <w:rPr>
          <w:rFonts w:cs="Arial"/>
        </w:rPr>
        <w:t>development of infrastructure. There is some uncertainty as to how this sector will develop over the short to medium term</w:t>
      </w:r>
      <w:r w:rsidR="00EE2268">
        <w:rPr>
          <w:rFonts w:cs="Arial"/>
        </w:rPr>
        <w:t xml:space="preserve"> despite new silos at the Port of Immingham</w:t>
      </w:r>
      <w:r>
        <w:rPr>
          <w:rFonts w:cs="Arial"/>
        </w:rPr>
        <w:t>.</w:t>
      </w:r>
    </w:p>
    <w:p w14:paraId="2D1179CA" w14:textId="77777777" w:rsidR="009052A6" w:rsidRDefault="009052A6" w:rsidP="00C93734">
      <w:pPr>
        <w:pStyle w:val="ListParagraph"/>
        <w:numPr>
          <w:ilvl w:val="0"/>
          <w:numId w:val="32"/>
        </w:numPr>
        <w:spacing w:after="0"/>
        <w:jc w:val="both"/>
        <w:outlineLvl w:val="9"/>
        <w:rPr>
          <w:rFonts w:cs="Arial"/>
        </w:rPr>
      </w:pPr>
      <w:r>
        <w:rPr>
          <w:rFonts w:cs="Arial"/>
        </w:rPr>
        <w:t xml:space="preserve">Geothermal </w:t>
      </w:r>
      <w:r w:rsidR="00EE2268">
        <w:rPr>
          <w:rFonts w:cs="Arial"/>
        </w:rPr>
        <w:t>–</w:t>
      </w:r>
      <w:r>
        <w:rPr>
          <w:rFonts w:cs="Arial"/>
        </w:rPr>
        <w:t xml:space="preserve"> </w:t>
      </w:r>
      <w:r w:rsidR="00EE2268">
        <w:rPr>
          <w:rFonts w:cs="Arial"/>
        </w:rPr>
        <w:t>Currently in its infancy, developments within the local area are seeking to establish this</w:t>
      </w:r>
      <w:r w:rsidR="00E15EE4">
        <w:rPr>
          <w:rFonts w:cs="Arial"/>
        </w:rPr>
        <w:t xml:space="preserve"> source of</w:t>
      </w:r>
      <w:r w:rsidR="00EE2268">
        <w:rPr>
          <w:rFonts w:cs="Arial"/>
        </w:rPr>
        <w:t xml:space="preserve"> renewable energy and Hull University is aiding the sector’s development through innovative research.</w:t>
      </w:r>
    </w:p>
    <w:p w14:paraId="127A096F" w14:textId="77777777" w:rsidR="008A6B1E" w:rsidRDefault="008A6B1E" w:rsidP="00C93734">
      <w:pPr>
        <w:jc w:val="both"/>
      </w:pPr>
    </w:p>
    <w:p w14:paraId="6EC8B300" w14:textId="77777777" w:rsidR="00113414" w:rsidRPr="00A7306C" w:rsidRDefault="00113414" w:rsidP="00C93734">
      <w:pPr>
        <w:autoSpaceDE w:val="0"/>
        <w:autoSpaceDN w:val="0"/>
        <w:adjustRightInd w:val="0"/>
        <w:jc w:val="both"/>
        <w:rPr>
          <w:rFonts w:cs="Arial"/>
        </w:rPr>
      </w:pPr>
      <w:r w:rsidRPr="002E08E1">
        <w:t xml:space="preserve">It is thought that the Humber </w:t>
      </w:r>
      <w:r w:rsidR="008A6B1E">
        <w:t>offers</w:t>
      </w:r>
      <w:r w:rsidRPr="002E08E1">
        <w:t xml:space="preserve"> the only ports</w:t>
      </w:r>
      <w:r w:rsidR="00F61BB5">
        <w:t>ide land</w:t>
      </w:r>
      <w:r w:rsidR="008A6B1E">
        <w:t xml:space="preserve"> location</w:t>
      </w:r>
      <w:r w:rsidR="00F61BB5">
        <w:t xml:space="preserve"> in the UK </w:t>
      </w:r>
      <w:r w:rsidR="00E15EE4">
        <w:t xml:space="preserve">able </w:t>
      </w:r>
      <w:r w:rsidR="00F61BB5">
        <w:t>to support an</w:t>
      </w:r>
      <w:r w:rsidRPr="002E08E1">
        <w:t xml:space="preserve"> energy and wind </w:t>
      </w:r>
      <w:r w:rsidR="00E15EE4">
        <w:t>turbine-</w:t>
      </w:r>
      <w:r w:rsidRPr="002E08E1">
        <w:t>manufacturing cluster</w:t>
      </w:r>
      <w:r w:rsidR="00F61BB5">
        <w:t xml:space="preserve">. </w:t>
      </w:r>
      <w:r w:rsidR="00CA6919">
        <w:t>Supported by r</w:t>
      </w:r>
      <w:r w:rsidR="00F61BB5">
        <w:t xml:space="preserve">esearch at </w:t>
      </w:r>
      <w:r w:rsidRPr="002E08E1">
        <w:t>Hull University</w:t>
      </w:r>
      <w:r w:rsidR="00CA6919">
        <w:t>,</w:t>
      </w:r>
      <w:r w:rsidR="00E15EE4">
        <w:t xml:space="preserve">  </w:t>
      </w:r>
      <w:r w:rsidR="00F61BB5">
        <w:t>d</w:t>
      </w:r>
      <w:r w:rsidRPr="00A7306C">
        <w:rPr>
          <w:rFonts w:cs="Arial"/>
        </w:rPr>
        <w:t xml:space="preserve">evelopments </w:t>
      </w:r>
      <w:r w:rsidR="00E15EE4">
        <w:rPr>
          <w:rFonts w:cs="Arial"/>
        </w:rPr>
        <w:t xml:space="preserve">in </w:t>
      </w:r>
      <w:r w:rsidRPr="00A7306C">
        <w:rPr>
          <w:rFonts w:cs="Arial"/>
        </w:rPr>
        <w:t xml:space="preserve">Hull and </w:t>
      </w:r>
      <w:r w:rsidR="00E15EE4">
        <w:rPr>
          <w:rFonts w:cs="Arial"/>
        </w:rPr>
        <w:t xml:space="preserve">the </w:t>
      </w:r>
      <w:r w:rsidRPr="00A7306C">
        <w:rPr>
          <w:rFonts w:cs="Arial"/>
        </w:rPr>
        <w:t xml:space="preserve">East Riding </w:t>
      </w:r>
      <w:r w:rsidR="00E15EE4">
        <w:rPr>
          <w:rFonts w:cs="Arial"/>
          <w:szCs w:val="20"/>
        </w:rPr>
        <w:t>include</w:t>
      </w:r>
      <w:r w:rsidRPr="00A7306C">
        <w:rPr>
          <w:rFonts w:cs="Arial"/>
          <w:szCs w:val="20"/>
        </w:rPr>
        <w:t xml:space="preserve"> Siemens and </w:t>
      </w:r>
      <w:r w:rsidR="00E15EE4">
        <w:rPr>
          <w:rFonts w:cs="Arial"/>
          <w:szCs w:val="20"/>
        </w:rPr>
        <w:t>ABP’s Green Port,</w:t>
      </w:r>
      <w:r w:rsidRPr="00A7306C">
        <w:rPr>
          <w:rFonts w:cs="Arial"/>
          <w:szCs w:val="20"/>
        </w:rPr>
        <w:t xml:space="preserve"> a turbine nacelle and pre-installation assembly plant. </w:t>
      </w:r>
      <w:r w:rsidR="00E15EE4">
        <w:rPr>
          <w:rFonts w:cs="Arial"/>
          <w:szCs w:val="20"/>
        </w:rPr>
        <w:t xml:space="preserve">It is thought the plant may create 1,000 jobs. </w:t>
      </w:r>
    </w:p>
    <w:p w14:paraId="2487F260" w14:textId="77777777" w:rsidR="00920CBC" w:rsidRDefault="00920CBC" w:rsidP="00C93734">
      <w:pPr>
        <w:jc w:val="both"/>
        <w:rPr>
          <w:rFonts w:cs="Arial"/>
        </w:rPr>
      </w:pPr>
      <w:r>
        <w:t>The existing ports and planned ABLE Marine Park development have</w:t>
      </w:r>
      <w:r w:rsidR="00FB70B5" w:rsidRPr="002E08E1">
        <w:t xml:space="preserve"> deep-water </w:t>
      </w:r>
      <w:r w:rsidR="00FB70B5">
        <w:t xml:space="preserve">ports </w:t>
      </w:r>
      <w:r w:rsidR="00FB70B5" w:rsidRPr="002E08E1">
        <w:t xml:space="preserve">and quayside areas that </w:t>
      </w:r>
      <w:r>
        <w:t xml:space="preserve">will support </w:t>
      </w:r>
      <w:r w:rsidR="00FB70B5" w:rsidRPr="002E08E1">
        <w:t xml:space="preserve">the establishment of </w:t>
      </w:r>
      <w:r>
        <w:t xml:space="preserve">an offshore </w:t>
      </w:r>
      <w:r w:rsidR="00F81FCB">
        <w:t>windfarm</w:t>
      </w:r>
      <w:r>
        <w:t xml:space="preserve"> </w:t>
      </w:r>
      <w:r w:rsidR="00BE39B8">
        <w:t>O&amp;M</w:t>
      </w:r>
      <w:r w:rsidR="00FB70B5" w:rsidRPr="002E08E1">
        <w:t xml:space="preserve"> </w:t>
      </w:r>
      <w:r>
        <w:t xml:space="preserve">subsector as well as </w:t>
      </w:r>
      <w:r w:rsidR="00BE39B8">
        <w:t xml:space="preserve">the </w:t>
      </w:r>
      <w:r w:rsidR="00FB70B5" w:rsidRPr="002E08E1">
        <w:t>c</w:t>
      </w:r>
      <w:r>
        <w:t xml:space="preserve">onstruction of </w:t>
      </w:r>
      <w:r w:rsidR="00FB70B5" w:rsidRPr="002E08E1">
        <w:t>wind turbine</w:t>
      </w:r>
      <w:r>
        <w:t xml:space="preserve"> site</w:t>
      </w:r>
      <w:r w:rsidR="00BE39B8">
        <w:t>s</w:t>
      </w:r>
      <w:r w:rsidR="00FB70B5" w:rsidRPr="002E08E1">
        <w:t xml:space="preserve">. </w:t>
      </w:r>
      <w:r w:rsidR="00BE39B8">
        <w:t xml:space="preserve">North Lincolnshire’s </w:t>
      </w:r>
      <w:r w:rsidR="00FB70B5" w:rsidRPr="002E08E1">
        <w:t xml:space="preserve">Able Marine </w:t>
      </w:r>
      <w:r w:rsidR="00FB70B5">
        <w:t>E</w:t>
      </w:r>
      <w:r w:rsidR="00FB70B5" w:rsidRPr="002E08E1">
        <w:t xml:space="preserve">nergy </w:t>
      </w:r>
      <w:r w:rsidR="00FB70B5">
        <w:t>P</w:t>
      </w:r>
      <w:r w:rsidR="00FB70B5" w:rsidRPr="002E08E1">
        <w:t>ark</w:t>
      </w:r>
      <w:r>
        <w:t xml:space="preserve"> and Logistics </w:t>
      </w:r>
      <w:r w:rsidR="00BE39B8">
        <w:t>Park are situated on</w:t>
      </w:r>
      <w:r w:rsidR="00FB70B5" w:rsidRPr="002E08E1">
        <w:t xml:space="preserve"> the Humber estuary</w:t>
      </w:r>
      <w:r w:rsidR="00BE39B8">
        <w:t>, and therefore</w:t>
      </w:r>
      <w:r w:rsidR="00FB70B5" w:rsidRPr="002E08E1">
        <w:t xml:space="preserve"> ideally positioned to serve the lucrative North Sea offshore wind market.</w:t>
      </w:r>
    </w:p>
    <w:p w14:paraId="0E6A0B98" w14:textId="77777777" w:rsidR="002F7137" w:rsidRDefault="002F7137" w:rsidP="00C93734">
      <w:pPr>
        <w:pStyle w:val="Heading3"/>
        <w:numPr>
          <w:ilvl w:val="2"/>
          <w:numId w:val="5"/>
        </w:numPr>
        <w:jc w:val="both"/>
      </w:pPr>
      <w:r w:rsidRPr="004C4518">
        <w:t>Sector Size</w:t>
      </w:r>
    </w:p>
    <w:p w14:paraId="154B7AF9" w14:textId="77777777" w:rsidR="0077385A" w:rsidRDefault="00ED5ADE" w:rsidP="00C93734">
      <w:pPr>
        <w:jc w:val="both"/>
      </w:pPr>
      <w:r>
        <w:t xml:space="preserve">The size of the renewables industry is difficult to </w:t>
      </w:r>
      <w:r w:rsidR="008A6B1E">
        <w:t>mea</w:t>
      </w:r>
      <w:r w:rsidR="009052A6">
        <w:t>s</w:t>
      </w:r>
      <w:r w:rsidR="008A6B1E">
        <w:t>ure</w:t>
      </w:r>
      <w:r>
        <w:t xml:space="preserve"> through national statistics as activities are not assigned a Standard Industrial Classification (SIC) code. A portion of renewable energy related output and employment is captured in other energy sectors, for example offshore </w:t>
      </w:r>
      <w:r w:rsidR="00F81FCB">
        <w:t>windfarm</w:t>
      </w:r>
      <w:r>
        <w:t xml:space="preserve"> activity by large energy firms like </w:t>
      </w:r>
      <w:r w:rsidR="00577236">
        <w:t xml:space="preserve">E.ON </w:t>
      </w:r>
      <w:r>
        <w:t xml:space="preserve">will be categorised under the core function of the business like the </w:t>
      </w:r>
      <w:r w:rsidR="00577236">
        <w:t>‘</w:t>
      </w:r>
      <w:r w:rsidRPr="00ED5ADE">
        <w:t>Electricity, Gas, Steam and Hot Water Supply</w:t>
      </w:r>
      <w:r w:rsidR="00577236">
        <w:t>’</w:t>
      </w:r>
      <w:r>
        <w:t xml:space="preserve"> SIC code. </w:t>
      </w:r>
      <w:r w:rsidR="0025373D">
        <w:t>To overcome this challenge,</w:t>
      </w:r>
      <w:r>
        <w:t xml:space="preserve"> a top-down and </w:t>
      </w:r>
      <w:r w:rsidR="0025373D">
        <w:t>bottom-</w:t>
      </w:r>
      <w:r>
        <w:t>up approach</w:t>
      </w:r>
      <w:r w:rsidR="0025373D">
        <w:t xml:space="preserve"> are utilised</w:t>
      </w:r>
      <w:r w:rsidR="001D263B">
        <w:t>:</w:t>
      </w:r>
    </w:p>
    <w:p w14:paraId="0BB95124" w14:textId="77777777" w:rsidR="0077385A" w:rsidRDefault="0077385A" w:rsidP="00C93734">
      <w:pPr>
        <w:pStyle w:val="ListParagraph"/>
        <w:numPr>
          <w:ilvl w:val="0"/>
          <w:numId w:val="36"/>
        </w:numPr>
        <w:jc w:val="both"/>
      </w:pPr>
      <w:r>
        <w:t xml:space="preserve">The </w:t>
      </w:r>
      <w:r w:rsidR="0025373D">
        <w:t>top-</w:t>
      </w:r>
      <w:r>
        <w:t>down approach identifies likely SIC codes with renewables activities</w:t>
      </w:r>
      <w:r w:rsidR="001D263B">
        <w:t xml:space="preserve"> and this provides a foundation for analysing trends and employment size. This utilises SIC codes identified in the bottom up approach as well as other relevant sectors.</w:t>
      </w:r>
    </w:p>
    <w:p w14:paraId="5F6A8BC5" w14:textId="77777777" w:rsidR="00ED5ADE" w:rsidRDefault="0077385A" w:rsidP="00C93734">
      <w:pPr>
        <w:pStyle w:val="ListParagraph"/>
        <w:numPr>
          <w:ilvl w:val="0"/>
          <w:numId w:val="36"/>
        </w:numPr>
        <w:jc w:val="both"/>
      </w:pPr>
      <w:r>
        <w:t xml:space="preserve">The </w:t>
      </w:r>
      <w:r w:rsidR="0025373D">
        <w:t>bottom-</w:t>
      </w:r>
      <w:r>
        <w:t xml:space="preserve">up approach </w:t>
      </w:r>
      <w:r w:rsidR="001D263B">
        <w:t xml:space="preserve">requires identifying firms known to the researchers, employer networks (like Grimsby Renewables Partnership) and staff at </w:t>
      </w:r>
      <w:r w:rsidR="00577236">
        <w:t>NELC</w:t>
      </w:r>
      <w:r w:rsidR="001D263B">
        <w:t xml:space="preserve"> and </w:t>
      </w:r>
      <w:r w:rsidR="00577236">
        <w:t>CGS</w:t>
      </w:r>
      <w:r w:rsidR="001D263B">
        <w:t xml:space="preserve">. This utilised </w:t>
      </w:r>
      <w:r w:rsidR="00ED5ADE">
        <w:t xml:space="preserve">different data sources to identify firms </w:t>
      </w:r>
      <w:r w:rsidR="001D263B">
        <w:t xml:space="preserve">as well as building in </w:t>
      </w:r>
      <w:r w:rsidR="00635663">
        <w:t xml:space="preserve">proxy figures for </w:t>
      </w:r>
      <w:r w:rsidR="001D263B">
        <w:t xml:space="preserve">firms which were not apparent in national statistics due to their organisation structure or other reasons (VAT threshold, etc). The team also searched for businesses using key </w:t>
      </w:r>
      <w:r w:rsidR="00ED5ADE">
        <w:t>words such as offsh</w:t>
      </w:r>
      <w:r w:rsidR="001D263B">
        <w:t>ore, wind, renewables and biomass to identify firms in the sector.</w:t>
      </w:r>
    </w:p>
    <w:p w14:paraId="1580FF87" w14:textId="77777777" w:rsidR="008924C8" w:rsidRDefault="001D263B" w:rsidP="00C93734">
      <w:pPr>
        <w:jc w:val="both"/>
      </w:pPr>
      <w:r>
        <w:t xml:space="preserve">A wider definition of the </w:t>
      </w:r>
      <w:r w:rsidR="00E5596C">
        <w:t xml:space="preserve">energy </w:t>
      </w:r>
      <w:r>
        <w:t>industry</w:t>
      </w:r>
      <w:r w:rsidR="00635663">
        <w:t xml:space="preserve"> in </w:t>
      </w:r>
      <w:r w:rsidR="00577236">
        <w:t>NEL</w:t>
      </w:r>
      <w:r w:rsidR="00635663">
        <w:t xml:space="preserve"> </w:t>
      </w:r>
      <w:r>
        <w:t xml:space="preserve">identifies 430 firms employing </w:t>
      </w:r>
      <w:r w:rsidR="00C5044B">
        <w:t xml:space="preserve">3,250 people </w:t>
      </w:r>
      <w:r>
        <w:t>in 2013</w:t>
      </w:r>
      <w:r w:rsidR="008924C8">
        <w:t xml:space="preserve"> and it is estimated that the renewables industry </w:t>
      </w:r>
      <w:r w:rsidR="0025373D">
        <w:t xml:space="preserve">constitutes </w:t>
      </w:r>
      <w:r w:rsidR="008924C8">
        <w:t>around 7-10% of this</w:t>
      </w:r>
      <w:r w:rsidR="0025373D">
        <w:t xml:space="preserve"> total</w:t>
      </w:r>
      <w:r w:rsidR="00C535C6">
        <w:rPr>
          <w:rStyle w:val="FootnoteReference"/>
        </w:rPr>
        <w:footnoteReference w:id="21"/>
      </w:r>
      <w:r w:rsidR="008924C8">
        <w:t xml:space="preserve">. The </w:t>
      </w:r>
      <w:r w:rsidR="0025373D">
        <w:t>bottom-</w:t>
      </w:r>
      <w:r w:rsidR="008924C8">
        <w:t xml:space="preserve">up approach identified 30 firms employing </w:t>
      </w:r>
      <w:r w:rsidR="00635663">
        <w:t xml:space="preserve">approximately just over 2,000 people in the local </w:t>
      </w:r>
      <w:r w:rsidR="008910F3">
        <w:t>authority;</w:t>
      </w:r>
      <w:r w:rsidR="00635663">
        <w:t xml:space="preserve"> including proxy figures </w:t>
      </w:r>
      <w:r w:rsidR="008910F3">
        <w:t>for firms unable to be identified</w:t>
      </w:r>
      <w:r w:rsidR="0025373D">
        <w:t>,</w:t>
      </w:r>
      <w:r w:rsidR="008910F3">
        <w:t xml:space="preserve"> </w:t>
      </w:r>
      <w:r w:rsidR="00635663">
        <w:t>this is closer to 40 firms and 2,500 people.</w:t>
      </w:r>
      <w:r w:rsidR="0075686A">
        <w:t xml:space="preserve"> The top-down approach is therefore likely to overestimate firms and employment figures. However, it is the most reliable figure of the two. </w:t>
      </w:r>
    </w:p>
    <w:p w14:paraId="10D7944B" w14:textId="77777777" w:rsidR="00635663" w:rsidRDefault="00635663" w:rsidP="00C93734">
      <w:pPr>
        <w:jc w:val="both"/>
      </w:pPr>
      <w:r>
        <w:t xml:space="preserve">Using </w:t>
      </w:r>
      <w:r w:rsidR="003E12AD">
        <w:t xml:space="preserve">a broad sector review, it is clear that the sector is mainly dominated by </w:t>
      </w:r>
      <w:r w:rsidR="004B1F92">
        <w:t>small</w:t>
      </w:r>
      <w:r w:rsidR="0025373D">
        <w:t xml:space="preserve">–scale operations </w:t>
      </w:r>
      <w:r w:rsidR="004B1F92">
        <w:t xml:space="preserve">in NEL although </w:t>
      </w:r>
      <w:r w:rsidR="00EE2268">
        <w:t xml:space="preserve">some </w:t>
      </w:r>
      <w:r w:rsidR="004B1F92">
        <w:t>business units form part</w:t>
      </w:r>
      <w:r w:rsidR="00EE2268">
        <w:t xml:space="preserve"> of much larger organisations. </w:t>
      </w:r>
      <w:r w:rsidR="003E12AD">
        <w:t xml:space="preserve"> For example, </w:t>
      </w:r>
      <w:r w:rsidR="00EA376B">
        <w:t>E</w:t>
      </w:r>
      <w:r w:rsidR="00577236">
        <w:t>.</w:t>
      </w:r>
      <w:r w:rsidR="00EA376B">
        <w:t xml:space="preserve">On employs 13,000 in the UK </w:t>
      </w:r>
      <w:r w:rsidR="008A6B1E">
        <w:t xml:space="preserve">with </w:t>
      </w:r>
      <w:r w:rsidR="009052A6">
        <w:t xml:space="preserve">20 </w:t>
      </w:r>
      <w:r w:rsidR="008A6B1E">
        <w:t>being</w:t>
      </w:r>
      <w:r w:rsidR="00EA376B">
        <w:t xml:space="preserve"> based at the Grimsby site. </w:t>
      </w:r>
      <w:r w:rsidR="00EE2268">
        <w:t xml:space="preserve">Small firms </w:t>
      </w:r>
      <w:r w:rsidR="0025373D">
        <w:t xml:space="preserve">are concentrated in </w:t>
      </w:r>
      <w:r w:rsidR="00EE2268">
        <w:t>specialist engineering, marine operations and other specialist supply chain activities.</w:t>
      </w:r>
    </w:p>
    <w:p w14:paraId="3960C834" w14:textId="77777777" w:rsidR="00ED4C3F" w:rsidRDefault="00ED4C3F" w:rsidP="00C93734">
      <w:pPr>
        <w:pStyle w:val="Caption"/>
        <w:jc w:val="both"/>
      </w:pPr>
      <w:bookmarkStart w:id="594" w:name="_Toc383159697"/>
      <w:r>
        <w:t xml:space="preserve">Table </w:t>
      </w:r>
      <w:fldSimple w:instr=" STYLEREF 1 \s  \* MERGEFORMAT ">
        <w:r w:rsidR="00E95E1A">
          <w:rPr>
            <w:noProof/>
          </w:rPr>
          <w:t>7</w:t>
        </w:r>
      </w:fldSimple>
      <w:r>
        <w:t>-</w:t>
      </w:r>
      <w:fldSimple w:instr=" SEQ Table \* ARABIC \s 1  \* MERGEFORMAT ">
        <w:r w:rsidR="00E95E1A">
          <w:rPr>
            <w:noProof/>
          </w:rPr>
          <w:t>1</w:t>
        </w:r>
      </w:fldSimple>
      <w:r>
        <w:tab/>
      </w:r>
      <w:r w:rsidR="001B70DF">
        <w:t xml:space="preserve">% of Firms by Employment Size </w:t>
      </w:r>
      <w:bookmarkEnd w:id="594"/>
      <w:r w:rsidR="00925F20">
        <w:t>Band</w:t>
      </w:r>
    </w:p>
    <w:tbl>
      <w:tblPr>
        <w:tblStyle w:val="Atkins14pt"/>
        <w:tblW w:w="8526" w:type="dxa"/>
        <w:tblLook w:val="04A0" w:firstRow="1" w:lastRow="0" w:firstColumn="1" w:lastColumn="0" w:noHBand="0" w:noVBand="1"/>
      </w:tblPr>
      <w:tblGrid>
        <w:gridCol w:w="2473"/>
        <w:gridCol w:w="849"/>
        <w:gridCol w:w="850"/>
        <w:gridCol w:w="850"/>
        <w:gridCol w:w="850"/>
        <w:gridCol w:w="850"/>
        <w:gridCol w:w="954"/>
        <w:gridCol w:w="850"/>
      </w:tblGrid>
      <w:tr w:rsidR="00A41064" w:rsidRPr="003E12AD" w14:paraId="0F33EDFD" w14:textId="77777777" w:rsidTr="00A41064">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473" w:type="dxa"/>
            <w:noWrap/>
            <w:hideMark/>
          </w:tcPr>
          <w:p w14:paraId="50ED4D41" w14:textId="77777777" w:rsidR="00A41064" w:rsidRPr="003E12AD" w:rsidRDefault="00A41064" w:rsidP="00C93734">
            <w:pPr>
              <w:spacing w:after="0"/>
              <w:jc w:val="both"/>
              <w:rPr>
                <w:rFonts w:eastAsia="Times New Roman"/>
                <w:color w:val="000000"/>
              </w:rPr>
            </w:pPr>
          </w:p>
        </w:tc>
        <w:tc>
          <w:tcPr>
            <w:tcW w:w="849" w:type="dxa"/>
            <w:noWrap/>
            <w:hideMark/>
          </w:tcPr>
          <w:p w14:paraId="3AB992B3" w14:textId="77777777" w:rsidR="00A41064" w:rsidRPr="003E12AD" w:rsidRDefault="00A41064"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3E12AD">
              <w:rPr>
                <w:rFonts w:eastAsia="Times New Roman"/>
                <w:color w:val="000000"/>
              </w:rPr>
              <w:t>0-10</w:t>
            </w:r>
          </w:p>
        </w:tc>
        <w:tc>
          <w:tcPr>
            <w:tcW w:w="850" w:type="dxa"/>
            <w:noWrap/>
            <w:hideMark/>
          </w:tcPr>
          <w:p w14:paraId="7C3DBFEE" w14:textId="77777777" w:rsidR="00A41064" w:rsidRPr="003E12AD" w:rsidRDefault="00A41064"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3E12AD">
              <w:rPr>
                <w:rFonts w:eastAsia="Times New Roman"/>
                <w:color w:val="000000"/>
              </w:rPr>
              <w:t>11-20</w:t>
            </w:r>
          </w:p>
        </w:tc>
        <w:tc>
          <w:tcPr>
            <w:tcW w:w="850" w:type="dxa"/>
            <w:noWrap/>
            <w:hideMark/>
          </w:tcPr>
          <w:p w14:paraId="67F904AB" w14:textId="77777777" w:rsidR="00A41064" w:rsidRPr="003E12AD" w:rsidRDefault="00A41064"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3E12AD">
              <w:rPr>
                <w:rFonts w:eastAsia="Times New Roman"/>
                <w:color w:val="000000"/>
              </w:rPr>
              <w:t>21-50</w:t>
            </w:r>
          </w:p>
        </w:tc>
        <w:tc>
          <w:tcPr>
            <w:tcW w:w="850" w:type="dxa"/>
            <w:noWrap/>
            <w:hideMark/>
          </w:tcPr>
          <w:p w14:paraId="57351406" w14:textId="77777777" w:rsidR="00A41064" w:rsidRPr="003E12AD" w:rsidRDefault="00A41064"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3E12AD">
              <w:rPr>
                <w:rFonts w:eastAsia="Times New Roman"/>
                <w:color w:val="000000"/>
              </w:rPr>
              <w:t>51-100</w:t>
            </w:r>
          </w:p>
        </w:tc>
        <w:tc>
          <w:tcPr>
            <w:tcW w:w="850" w:type="dxa"/>
            <w:noWrap/>
            <w:hideMark/>
          </w:tcPr>
          <w:p w14:paraId="2A4E0658" w14:textId="77777777" w:rsidR="00A41064" w:rsidRPr="003E12AD" w:rsidRDefault="00A41064"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3E12AD">
              <w:rPr>
                <w:rFonts w:eastAsia="Times New Roman"/>
                <w:color w:val="000000"/>
              </w:rPr>
              <w:t>101-250</w:t>
            </w:r>
          </w:p>
        </w:tc>
        <w:tc>
          <w:tcPr>
            <w:tcW w:w="954" w:type="dxa"/>
            <w:noWrap/>
            <w:hideMark/>
          </w:tcPr>
          <w:p w14:paraId="0E56217C" w14:textId="77777777" w:rsidR="00A41064" w:rsidRPr="003E12AD" w:rsidRDefault="00A41064"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3E12AD">
              <w:rPr>
                <w:rFonts w:eastAsia="Times New Roman"/>
                <w:color w:val="000000"/>
              </w:rPr>
              <w:t>250-500</w:t>
            </w:r>
          </w:p>
        </w:tc>
        <w:tc>
          <w:tcPr>
            <w:tcW w:w="850" w:type="dxa"/>
            <w:noWrap/>
            <w:hideMark/>
          </w:tcPr>
          <w:p w14:paraId="194F386A" w14:textId="77777777" w:rsidR="00A41064" w:rsidRPr="003E12AD" w:rsidRDefault="00A41064"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3E12AD">
              <w:rPr>
                <w:rFonts w:eastAsia="Times New Roman"/>
                <w:color w:val="000000"/>
              </w:rPr>
              <w:t>500+</w:t>
            </w:r>
          </w:p>
        </w:tc>
      </w:tr>
      <w:tr w:rsidR="00A41064" w:rsidRPr="003E12AD" w14:paraId="5578FB11" w14:textId="77777777" w:rsidTr="00A41064">
        <w:trPr>
          <w:trHeight w:val="255"/>
        </w:trPr>
        <w:tc>
          <w:tcPr>
            <w:cnfStyle w:val="001000000000" w:firstRow="0" w:lastRow="0" w:firstColumn="1" w:lastColumn="0" w:oddVBand="0" w:evenVBand="0" w:oddHBand="0" w:evenHBand="0" w:firstRowFirstColumn="0" w:firstRowLastColumn="0" w:lastRowFirstColumn="0" w:lastRowLastColumn="0"/>
            <w:tcW w:w="2473" w:type="dxa"/>
            <w:noWrap/>
            <w:hideMark/>
          </w:tcPr>
          <w:p w14:paraId="563DAE38" w14:textId="77777777" w:rsidR="00A41064" w:rsidRDefault="00A41064" w:rsidP="00C93734">
            <w:pPr>
              <w:spacing w:after="0"/>
              <w:jc w:val="both"/>
              <w:rPr>
                <w:rFonts w:eastAsia="Times New Roman"/>
                <w:color w:val="000000"/>
              </w:rPr>
            </w:pPr>
            <w:r>
              <w:rPr>
                <w:rFonts w:eastAsia="Times New Roman"/>
                <w:color w:val="000000"/>
              </w:rPr>
              <w:t>Renewables (&amp; Energy)</w:t>
            </w:r>
          </w:p>
          <w:p w14:paraId="175173BC" w14:textId="77777777" w:rsidR="00A41064" w:rsidRPr="003E12AD" w:rsidRDefault="00A41064" w:rsidP="00C93734">
            <w:pPr>
              <w:spacing w:after="0"/>
              <w:jc w:val="both"/>
              <w:rPr>
                <w:rFonts w:eastAsia="Times New Roman"/>
                <w:color w:val="000000"/>
              </w:rPr>
            </w:pPr>
            <w:r>
              <w:rPr>
                <w:rFonts w:eastAsia="Times New Roman"/>
                <w:color w:val="000000"/>
              </w:rPr>
              <w:t>- Top down</w:t>
            </w:r>
          </w:p>
        </w:tc>
        <w:tc>
          <w:tcPr>
            <w:tcW w:w="849" w:type="dxa"/>
            <w:noWrap/>
            <w:hideMark/>
          </w:tcPr>
          <w:p w14:paraId="2AD1C186" w14:textId="77777777" w:rsidR="00A41064" w:rsidRPr="003E12A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AD">
              <w:rPr>
                <w:rFonts w:eastAsia="Times New Roman"/>
                <w:color w:val="000000"/>
              </w:rPr>
              <w:t>86.8%</w:t>
            </w:r>
          </w:p>
        </w:tc>
        <w:tc>
          <w:tcPr>
            <w:tcW w:w="850" w:type="dxa"/>
            <w:noWrap/>
            <w:hideMark/>
          </w:tcPr>
          <w:p w14:paraId="4BF9FD6F" w14:textId="77777777" w:rsidR="00A41064" w:rsidRPr="003E12A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AD">
              <w:rPr>
                <w:rFonts w:eastAsia="Times New Roman"/>
                <w:color w:val="000000"/>
              </w:rPr>
              <w:t>6.2%</w:t>
            </w:r>
          </w:p>
        </w:tc>
        <w:tc>
          <w:tcPr>
            <w:tcW w:w="850" w:type="dxa"/>
            <w:noWrap/>
            <w:hideMark/>
          </w:tcPr>
          <w:p w14:paraId="507C574D" w14:textId="77777777" w:rsidR="00A41064" w:rsidRPr="003E12A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AD">
              <w:rPr>
                <w:rFonts w:eastAsia="Times New Roman"/>
                <w:color w:val="000000"/>
              </w:rPr>
              <w:t>5.1%</w:t>
            </w:r>
          </w:p>
        </w:tc>
        <w:tc>
          <w:tcPr>
            <w:tcW w:w="850" w:type="dxa"/>
            <w:noWrap/>
            <w:hideMark/>
          </w:tcPr>
          <w:p w14:paraId="4D2E05DB" w14:textId="77777777" w:rsidR="00A41064" w:rsidRPr="003E12A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AD">
              <w:rPr>
                <w:rFonts w:eastAsia="Times New Roman"/>
                <w:color w:val="000000"/>
              </w:rPr>
              <w:t>0.7%</w:t>
            </w:r>
          </w:p>
        </w:tc>
        <w:tc>
          <w:tcPr>
            <w:tcW w:w="850" w:type="dxa"/>
            <w:noWrap/>
            <w:hideMark/>
          </w:tcPr>
          <w:p w14:paraId="79A37713" w14:textId="77777777" w:rsidR="00A41064" w:rsidRPr="003E12A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AD">
              <w:rPr>
                <w:rFonts w:eastAsia="Times New Roman"/>
                <w:color w:val="000000"/>
              </w:rPr>
              <w:t>0.7%</w:t>
            </w:r>
          </w:p>
        </w:tc>
        <w:tc>
          <w:tcPr>
            <w:tcW w:w="954" w:type="dxa"/>
            <w:noWrap/>
            <w:hideMark/>
          </w:tcPr>
          <w:p w14:paraId="0F1C0FE9" w14:textId="77777777" w:rsidR="00A41064" w:rsidRPr="003E12A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AD">
              <w:rPr>
                <w:rFonts w:eastAsia="Times New Roman"/>
                <w:color w:val="000000"/>
              </w:rPr>
              <w:t>0.5%</w:t>
            </w:r>
          </w:p>
        </w:tc>
        <w:tc>
          <w:tcPr>
            <w:tcW w:w="850" w:type="dxa"/>
            <w:noWrap/>
            <w:hideMark/>
          </w:tcPr>
          <w:p w14:paraId="429B28CC" w14:textId="77777777" w:rsidR="00A41064" w:rsidRPr="003E12A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AD">
              <w:rPr>
                <w:rFonts w:eastAsia="Times New Roman"/>
                <w:color w:val="000000"/>
              </w:rPr>
              <w:t>0.0%</w:t>
            </w:r>
          </w:p>
        </w:tc>
      </w:tr>
      <w:tr w:rsidR="00A41064" w:rsidRPr="003E12AD" w14:paraId="4F3CAA1D" w14:textId="77777777" w:rsidTr="00A41064">
        <w:trPr>
          <w:trHeight w:val="255"/>
        </w:trPr>
        <w:tc>
          <w:tcPr>
            <w:cnfStyle w:val="001000000000" w:firstRow="0" w:lastRow="0" w:firstColumn="1" w:lastColumn="0" w:oddVBand="0" w:evenVBand="0" w:oddHBand="0" w:evenHBand="0" w:firstRowFirstColumn="0" w:firstRowLastColumn="0" w:lastRowFirstColumn="0" w:lastRowLastColumn="0"/>
            <w:tcW w:w="2473" w:type="dxa"/>
            <w:noWrap/>
            <w:hideMark/>
          </w:tcPr>
          <w:p w14:paraId="1D4496AA" w14:textId="77777777" w:rsidR="00A41064" w:rsidRDefault="00A41064" w:rsidP="00C93734">
            <w:pPr>
              <w:spacing w:after="0"/>
              <w:jc w:val="both"/>
              <w:rPr>
                <w:rFonts w:eastAsia="Times New Roman"/>
                <w:color w:val="000000"/>
              </w:rPr>
            </w:pPr>
            <w:r>
              <w:rPr>
                <w:rFonts w:eastAsia="Times New Roman"/>
                <w:color w:val="000000"/>
              </w:rPr>
              <w:t xml:space="preserve">Renewables – </w:t>
            </w:r>
          </w:p>
          <w:p w14:paraId="6B54C947" w14:textId="77777777" w:rsidR="00A41064" w:rsidRDefault="00A41064" w:rsidP="00C93734">
            <w:pPr>
              <w:spacing w:after="0"/>
              <w:jc w:val="both"/>
              <w:rPr>
                <w:rFonts w:eastAsia="Times New Roman"/>
                <w:color w:val="000000"/>
              </w:rPr>
            </w:pPr>
            <w:r>
              <w:rPr>
                <w:rFonts w:eastAsia="Times New Roman"/>
                <w:color w:val="000000"/>
              </w:rPr>
              <w:t xml:space="preserve">Bottom up </w:t>
            </w:r>
          </w:p>
        </w:tc>
        <w:tc>
          <w:tcPr>
            <w:tcW w:w="849" w:type="dxa"/>
            <w:noWrap/>
            <w:vAlign w:val="bottom"/>
            <w:hideMark/>
          </w:tcPr>
          <w:p w14:paraId="2EBA9A9C" w14:textId="77777777" w:rsidR="00A41064" w:rsidRPr="009705B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05BD">
              <w:rPr>
                <w:rFonts w:eastAsia="Times New Roman"/>
                <w:color w:val="000000"/>
              </w:rPr>
              <w:t>64.5%</w:t>
            </w:r>
          </w:p>
        </w:tc>
        <w:tc>
          <w:tcPr>
            <w:tcW w:w="850" w:type="dxa"/>
            <w:noWrap/>
            <w:vAlign w:val="bottom"/>
            <w:hideMark/>
          </w:tcPr>
          <w:p w14:paraId="47CA2937" w14:textId="77777777" w:rsidR="00A41064" w:rsidRPr="009705B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05BD">
              <w:rPr>
                <w:rFonts w:eastAsia="Times New Roman"/>
                <w:color w:val="000000"/>
              </w:rPr>
              <w:t>3.2%</w:t>
            </w:r>
          </w:p>
        </w:tc>
        <w:tc>
          <w:tcPr>
            <w:tcW w:w="850" w:type="dxa"/>
            <w:noWrap/>
            <w:vAlign w:val="bottom"/>
            <w:hideMark/>
          </w:tcPr>
          <w:p w14:paraId="319BF4F4" w14:textId="77777777" w:rsidR="00A41064" w:rsidRPr="009705B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05BD">
              <w:rPr>
                <w:rFonts w:eastAsia="Times New Roman"/>
                <w:color w:val="000000"/>
              </w:rPr>
              <w:t>3.2%</w:t>
            </w:r>
          </w:p>
        </w:tc>
        <w:tc>
          <w:tcPr>
            <w:tcW w:w="850" w:type="dxa"/>
            <w:noWrap/>
            <w:vAlign w:val="bottom"/>
            <w:hideMark/>
          </w:tcPr>
          <w:p w14:paraId="4711038A" w14:textId="77777777" w:rsidR="00A41064" w:rsidRPr="009705B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05BD">
              <w:rPr>
                <w:rFonts w:eastAsia="Times New Roman"/>
                <w:color w:val="000000"/>
              </w:rPr>
              <w:t>12.9%</w:t>
            </w:r>
          </w:p>
        </w:tc>
        <w:tc>
          <w:tcPr>
            <w:tcW w:w="850" w:type="dxa"/>
            <w:noWrap/>
            <w:vAlign w:val="bottom"/>
            <w:hideMark/>
          </w:tcPr>
          <w:p w14:paraId="72C1A93C" w14:textId="77777777" w:rsidR="00A41064" w:rsidRPr="009705B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05BD">
              <w:rPr>
                <w:rFonts w:eastAsia="Times New Roman"/>
                <w:color w:val="000000"/>
              </w:rPr>
              <w:t>3.2%</w:t>
            </w:r>
          </w:p>
        </w:tc>
        <w:tc>
          <w:tcPr>
            <w:tcW w:w="954" w:type="dxa"/>
            <w:noWrap/>
            <w:vAlign w:val="bottom"/>
            <w:hideMark/>
          </w:tcPr>
          <w:p w14:paraId="0A86566A" w14:textId="77777777" w:rsidR="00A41064" w:rsidRPr="009705B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05BD">
              <w:rPr>
                <w:rFonts w:eastAsia="Times New Roman"/>
                <w:color w:val="000000"/>
              </w:rPr>
              <w:t>9.7%</w:t>
            </w:r>
          </w:p>
        </w:tc>
        <w:tc>
          <w:tcPr>
            <w:tcW w:w="850" w:type="dxa"/>
            <w:noWrap/>
            <w:vAlign w:val="bottom"/>
            <w:hideMark/>
          </w:tcPr>
          <w:p w14:paraId="5EADDE79" w14:textId="77777777" w:rsidR="00A41064" w:rsidRPr="009705B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05BD">
              <w:rPr>
                <w:rFonts w:eastAsia="Times New Roman"/>
                <w:color w:val="000000"/>
              </w:rPr>
              <w:t>3.2%</w:t>
            </w:r>
          </w:p>
        </w:tc>
      </w:tr>
      <w:tr w:rsidR="00A41064" w:rsidRPr="003E12AD" w14:paraId="23DC1E0F" w14:textId="77777777" w:rsidTr="00A41064">
        <w:trPr>
          <w:trHeight w:val="255"/>
        </w:trPr>
        <w:tc>
          <w:tcPr>
            <w:cnfStyle w:val="001000000000" w:firstRow="0" w:lastRow="0" w:firstColumn="1" w:lastColumn="0" w:oddVBand="0" w:evenVBand="0" w:oddHBand="0" w:evenHBand="0" w:firstRowFirstColumn="0" w:firstRowLastColumn="0" w:lastRowFirstColumn="0" w:lastRowLastColumn="0"/>
            <w:tcW w:w="2473" w:type="dxa"/>
            <w:noWrap/>
            <w:hideMark/>
          </w:tcPr>
          <w:p w14:paraId="6556F26D" w14:textId="77777777" w:rsidR="00A41064" w:rsidRPr="003E12AD" w:rsidRDefault="00A41064" w:rsidP="00C93734">
            <w:pPr>
              <w:spacing w:after="0"/>
              <w:jc w:val="both"/>
              <w:rPr>
                <w:rFonts w:eastAsia="Times New Roman"/>
                <w:color w:val="000000"/>
              </w:rPr>
            </w:pPr>
          </w:p>
        </w:tc>
        <w:tc>
          <w:tcPr>
            <w:tcW w:w="849" w:type="dxa"/>
            <w:noWrap/>
            <w:hideMark/>
          </w:tcPr>
          <w:p w14:paraId="539F1BE9" w14:textId="77777777" w:rsidR="00A41064" w:rsidRPr="003E12A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850" w:type="dxa"/>
            <w:noWrap/>
            <w:hideMark/>
          </w:tcPr>
          <w:p w14:paraId="19FE8B18" w14:textId="77777777" w:rsidR="00A41064" w:rsidRPr="003E12A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850" w:type="dxa"/>
            <w:noWrap/>
            <w:hideMark/>
          </w:tcPr>
          <w:p w14:paraId="552ADC34" w14:textId="77777777" w:rsidR="00A41064" w:rsidRPr="003E12A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850" w:type="dxa"/>
            <w:noWrap/>
            <w:hideMark/>
          </w:tcPr>
          <w:p w14:paraId="684E917A" w14:textId="77777777" w:rsidR="00A41064" w:rsidRPr="003E12A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850" w:type="dxa"/>
            <w:noWrap/>
            <w:hideMark/>
          </w:tcPr>
          <w:p w14:paraId="292FE650" w14:textId="77777777" w:rsidR="00A41064" w:rsidRPr="003E12A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954" w:type="dxa"/>
            <w:noWrap/>
            <w:hideMark/>
          </w:tcPr>
          <w:p w14:paraId="2DA3619B" w14:textId="77777777" w:rsidR="00A41064" w:rsidRPr="003E12A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850" w:type="dxa"/>
            <w:noWrap/>
            <w:hideMark/>
          </w:tcPr>
          <w:p w14:paraId="6FE44947" w14:textId="77777777" w:rsidR="00A41064" w:rsidRPr="003E12A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A41064" w:rsidRPr="003E12AD" w14:paraId="572D0993" w14:textId="77777777" w:rsidTr="00A41064">
        <w:trPr>
          <w:trHeight w:val="255"/>
        </w:trPr>
        <w:tc>
          <w:tcPr>
            <w:cnfStyle w:val="001000000000" w:firstRow="0" w:lastRow="0" w:firstColumn="1" w:lastColumn="0" w:oddVBand="0" w:evenVBand="0" w:oddHBand="0" w:evenHBand="0" w:firstRowFirstColumn="0" w:firstRowLastColumn="0" w:lastRowFirstColumn="0" w:lastRowLastColumn="0"/>
            <w:tcW w:w="2473" w:type="dxa"/>
            <w:noWrap/>
            <w:hideMark/>
          </w:tcPr>
          <w:p w14:paraId="4E79E344" w14:textId="77777777" w:rsidR="00A41064" w:rsidRPr="003E12AD" w:rsidRDefault="00A41064" w:rsidP="00C93734">
            <w:pPr>
              <w:spacing w:after="0"/>
              <w:jc w:val="both"/>
              <w:rPr>
                <w:rFonts w:eastAsia="Times New Roman"/>
                <w:color w:val="000000"/>
              </w:rPr>
            </w:pPr>
            <w:r w:rsidRPr="003E12AD">
              <w:rPr>
                <w:rFonts w:eastAsia="Times New Roman"/>
                <w:color w:val="000000"/>
              </w:rPr>
              <w:t>Total</w:t>
            </w:r>
          </w:p>
        </w:tc>
        <w:tc>
          <w:tcPr>
            <w:tcW w:w="849" w:type="dxa"/>
            <w:noWrap/>
            <w:hideMark/>
          </w:tcPr>
          <w:p w14:paraId="35107BEC" w14:textId="77777777" w:rsidR="00A41064" w:rsidRPr="003E12A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AD">
              <w:rPr>
                <w:rFonts w:eastAsia="Times New Roman"/>
                <w:color w:val="000000"/>
              </w:rPr>
              <w:t>76.4%</w:t>
            </w:r>
          </w:p>
        </w:tc>
        <w:tc>
          <w:tcPr>
            <w:tcW w:w="850" w:type="dxa"/>
            <w:noWrap/>
            <w:hideMark/>
          </w:tcPr>
          <w:p w14:paraId="546EECDE" w14:textId="77777777" w:rsidR="00A41064" w:rsidRPr="003E12A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AD">
              <w:rPr>
                <w:rFonts w:eastAsia="Times New Roman"/>
                <w:color w:val="000000"/>
              </w:rPr>
              <w:t>10.2%</w:t>
            </w:r>
          </w:p>
        </w:tc>
        <w:tc>
          <w:tcPr>
            <w:tcW w:w="850" w:type="dxa"/>
            <w:noWrap/>
            <w:hideMark/>
          </w:tcPr>
          <w:p w14:paraId="3E81DC36" w14:textId="77777777" w:rsidR="00A41064" w:rsidRPr="003E12A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AD">
              <w:rPr>
                <w:rFonts w:eastAsia="Times New Roman"/>
                <w:color w:val="000000"/>
              </w:rPr>
              <w:t>8.4%</w:t>
            </w:r>
          </w:p>
        </w:tc>
        <w:tc>
          <w:tcPr>
            <w:tcW w:w="850" w:type="dxa"/>
            <w:noWrap/>
            <w:hideMark/>
          </w:tcPr>
          <w:p w14:paraId="16E9DC1C" w14:textId="77777777" w:rsidR="00A41064" w:rsidRPr="003E12A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AD">
              <w:rPr>
                <w:rFonts w:eastAsia="Times New Roman"/>
                <w:color w:val="000000"/>
              </w:rPr>
              <w:t>2.8%</w:t>
            </w:r>
          </w:p>
        </w:tc>
        <w:tc>
          <w:tcPr>
            <w:tcW w:w="850" w:type="dxa"/>
            <w:noWrap/>
            <w:hideMark/>
          </w:tcPr>
          <w:p w14:paraId="24ADE581" w14:textId="77777777" w:rsidR="00A41064" w:rsidRPr="003E12A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AD">
              <w:rPr>
                <w:rFonts w:eastAsia="Times New Roman"/>
                <w:color w:val="000000"/>
              </w:rPr>
              <w:t>1.5%</w:t>
            </w:r>
          </w:p>
        </w:tc>
        <w:tc>
          <w:tcPr>
            <w:tcW w:w="954" w:type="dxa"/>
            <w:noWrap/>
            <w:hideMark/>
          </w:tcPr>
          <w:p w14:paraId="3E4A5CB5" w14:textId="77777777" w:rsidR="00A41064" w:rsidRPr="003E12A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AD">
              <w:rPr>
                <w:rFonts w:eastAsia="Times New Roman"/>
                <w:color w:val="000000"/>
              </w:rPr>
              <w:t>0.6%</w:t>
            </w:r>
          </w:p>
        </w:tc>
        <w:tc>
          <w:tcPr>
            <w:tcW w:w="850" w:type="dxa"/>
            <w:noWrap/>
            <w:hideMark/>
          </w:tcPr>
          <w:p w14:paraId="45D3533C" w14:textId="77777777" w:rsidR="00A41064" w:rsidRPr="003E12AD"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AD">
              <w:rPr>
                <w:rFonts w:eastAsia="Times New Roman"/>
                <w:color w:val="000000"/>
              </w:rPr>
              <w:t>0.2%</w:t>
            </w:r>
          </w:p>
        </w:tc>
      </w:tr>
    </w:tbl>
    <w:p w14:paraId="75D53201" w14:textId="77777777" w:rsidR="003E12AD" w:rsidRDefault="008910F3" w:rsidP="001B70DF">
      <w:pPr>
        <w:pStyle w:val="TableSource"/>
      </w:pPr>
      <w:r>
        <w:t>Source: IDBR 2013 (&amp; Mint 2013)</w:t>
      </w:r>
    </w:p>
    <w:p w14:paraId="0EEC35E5" w14:textId="77777777" w:rsidR="00EA376B" w:rsidRDefault="00EA376B" w:rsidP="00C93734">
      <w:pPr>
        <w:jc w:val="both"/>
      </w:pPr>
      <w:r>
        <w:t xml:space="preserve">Further </w:t>
      </w:r>
      <w:r w:rsidR="0025373D">
        <w:t xml:space="preserve">research </w:t>
      </w:r>
      <w:r>
        <w:t xml:space="preserve">at a national, LEP and local level would </w:t>
      </w:r>
      <w:r w:rsidR="0025373D">
        <w:t>result in a clearer</w:t>
      </w:r>
      <w:r>
        <w:t xml:space="preserve"> quantitative </w:t>
      </w:r>
      <w:r w:rsidR="0025373D">
        <w:t xml:space="preserve">indication of </w:t>
      </w:r>
      <w:r>
        <w:t>the current state of the industry.</w:t>
      </w:r>
    </w:p>
    <w:p w14:paraId="16DC4A77" w14:textId="77777777" w:rsidR="002F7137" w:rsidRDefault="002F7137" w:rsidP="00C93734">
      <w:pPr>
        <w:pStyle w:val="Heading3"/>
        <w:numPr>
          <w:ilvl w:val="2"/>
          <w:numId w:val="5"/>
        </w:numPr>
        <w:jc w:val="both"/>
      </w:pPr>
      <w:r w:rsidRPr="004C4518">
        <w:t>Sector Profile</w:t>
      </w:r>
    </w:p>
    <w:p w14:paraId="1C217A85" w14:textId="77777777" w:rsidR="00F54736" w:rsidRPr="00F103FE" w:rsidRDefault="00F54736" w:rsidP="00C93734">
      <w:pPr>
        <w:jc w:val="both"/>
        <w:rPr>
          <w:rFonts w:cs="Arial"/>
          <w:b/>
        </w:rPr>
      </w:pPr>
      <w:r w:rsidRPr="00F103FE">
        <w:rPr>
          <w:rFonts w:cs="Arial"/>
          <w:b/>
        </w:rPr>
        <w:t>Output</w:t>
      </w:r>
    </w:p>
    <w:p w14:paraId="4B65F823" w14:textId="77777777" w:rsidR="00F54736" w:rsidRDefault="00F54736" w:rsidP="00C93734">
      <w:pPr>
        <w:jc w:val="both"/>
        <w:rPr>
          <w:rFonts w:cs="Arial"/>
        </w:rPr>
      </w:pPr>
      <w:r>
        <w:rPr>
          <w:rFonts w:cs="Arial"/>
        </w:rPr>
        <w:t>Although there are some methodological challenges in assess</w:t>
      </w:r>
      <w:r w:rsidR="0025373D">
        <w:rPr>
          <w:rFonts w:cs="Arial"/>
        </w:rPr>
        <w:t>ing</w:t>
      </w:r>
      <w:r>
        <w:rPr>
          <w:rFonts w:cs="Arial"/>
        </w:rPr>
        <w:t xml:space="preserve"> this sector, </w:t>
      </w:r>
      <w:r w:rsidR="0025373D">
        <w:rPr>
          <w:rFonts w:cs="Arial"/>
        </w:rPr>
        <w:t xml:space="preserve">the </w:t>
      </w:r>
      <w:r>
        <w:rPr>
          <w:rFonts w:cs="Arial"/>
        </w:rPr>
        <w:t xml:space="preserve">data collected can provide an </w:t>
      </w:r>
      <w:r w:rsidR="00A413A4">
        <w:rPr>
          <w:rFonts w:cs="Arial"/>
        </w:rPr>
        <w:t>estimate</w:t>
      </w:r>
      <w:r>
        <w:rPr>
          <w:rFonts w:cs="Arial"/>
        </w:rPr>
        <w:t xml:space="preserve"> of the size of the sector</w:t>
      </w:r>
      <w:r w:rsidR="0025373D">
        <w:rPr>
          <w:rFonts w:cs="Arial"/>
        </w:rPr>
        <w:t>.</w:t>
      </w:r>
      <w:r w:rsidR="00A413A4">
        <w:rPr>
          <w:rFonts w:cs="Arial"/>
        </w:rPr>
        <w:t xml:space="preserve"> </w:t>
      </w:r>
      <w:r w:rsidR="0025373D">
        <w:rPr>
          <w:rFonts w:cs="Arial"/>
        </w:rPr>
        <w:t>T</w:t>
      </w:r>
      <w:r w:rsidR="00A413A4">
        <w:rPr>
          <w:rFonts w:cs="Arial"/>
        </w:rPr>
        <w:t>he results of our sample business surve</w:t>
      </w:r>
      <w:r w:rsidR="0025373D">
        <w:rPr>
          <w:rFonts w:cs="Arial"/>
        </w:rPr>
        <w:t>y</w:t>
      </w:r>
      <w:r w:rsidR="00A413A4">
        <w:rPr>
          <w:rFonts w:cs="Arial"/>
        </w:rPr>
        <w:t xml:space="preserve"> indicate that the r</w:t>
      </w:r>
      <w:r>
        <w:rPr>
          <w:rFonts w:cs="Arial"/>
        </w:rPr>
        <w:t>enewables sector contributes £375 million to the local economy’s GDP</w:t>
      </w:r>
      <w:r w:rsidR="0038652B">
        <w:rPr>
          <w:rFonts w:cs="Arial"/>
        </w:rPr>
        <w:t xml:space="preserve"> (12% of total)</w:t>
      </w:r>
      <w:r>
        <w:rPr>
          <w:rFonts w:cs="Arial"/>
        </w:rPr>
        <w:t xml:space="preserve"> and £214 million to the local GVA.</w:t>
      </w:r>
      <w:r w:rsidRPr="00803632">
        <w:rPr>
          <w:rFonts w:cs="Arial"/>
        </w:rPr>
        <w:t xml:space="preserve"> </w:t>
      </w:r>
      <w:r>
        <w:rPr>
          <w:rFonts w:cs="Arial"/>
        </w:rPr>
        <w:t>Th</w:t>
      </w:r>
      <w:r w:rsidR="00465757">
        <w:rPr>
          <w:rFonts w:cs="Arial"/>
        </w:rPr>
        <w:t xml:space="preserve">is demonstrates </w:t>
      </w:r>
      <w:r>
        <w:rPr>
          <w:rFonts w:cs="Arial"/>
        </w:rPr>
        <w:t>the importance of the sector to the local area in terms of productivity and employment</w:t>
      </w:r>
      <w:r w:rsidR="00465757">
        <w:rPr>
          <w:rFonts w:cs="Arial"/>
        </w:rPr>
        <w:t xml:space="preserve">, </w:t>
      </w:r>
      <w:r>
        <w:rPr>
          <w:rFonts w:cs="Arial"/>
        </w:rPr>
        <w:t xml:space="preserve">and </w:t>
      </w:r>
      <w:r w:rsidR="00465757">
        <w:rPr>
          <w:rFonts w:cs="Arial"/>
        </w:rPr>
        <w:t>suggests significant impacts of sector</w:t>
      </w:r>
      <w:r>
        <w:rPr>
          <w:rFonts w:cs="Arial"/>
        </w:rPr>
        <w:t xml:space="preserve"> growth </w:t>
      </w:r>
      <w:r w:rsidR="00465757">
        <w:rPr>
          <w:rFonts w:cs="Arial"/>
        </w:rPr>
        <w:t>on</w:t>
      </w:r>
      <w:r>
        <w:rPr>
          <w:rFonts w:cs="Arial"/>
        </w:rPr>
        <w:t xml:space="preserve"> the </w:t>
      </w:r>
      <w:r w:rsidR="00465757">
        <w:rPr>
          <w:rFonts w:cs="Arial"/>
        </w:rPr>
        <w:t xml:space="preserve">local economy </w:t>
      </w:r>
      <w:r>
        <w:rPr>
          <w:rFonts w:cs="Arial"/>
        </w:rPr>
        <w:t>and labour market.</w:t>
      </w:r>
    </w:p>
    <w:p w14:paraId="21ED3CEB" w14:textId="77777777" w:rsidR="00F54736" w:rsidRDefault="00F54736" w:rsidP="00C93734">
      <w:pPr>
        <w:pStyle w:val="Caption"/>
        <w:jc w:val="both"/>
      </w:pPr>
      <w:r>
        <w:t xml:space="preserve">Table </w:t>
      </w:r>
      <w:fldSimple w:instr=" STYLEREF 1 \s  \* MERGEFORMAT ">
        <w:r w:rsidR="00E95E1A">
          <w:rPr>
            <w:noProof/>
          </w:rPr>
          <w:t>7</w:t>
        </w:r>
      </w:fldSimple>
      <w:r>
        <w:t>-</w:t>
      </w:r>
      <w:fldSimple w:instr=" SEQ Table \* ARABIC \s 1  \* MERGEFORMAT ">
        <w:r w:rsidR="00E95E1A">
          <w:rPr>
            <w:noProof/>
          </w:rPr>
          <w:t>2</w:t>
        </w:r>
      </w:fldSimple>
      <w:r>
        <w:tab/>
      </w:r>
      <w:r w:rsidR="002A4A83">
        <w:t>Renewables &amp; Energy Economic Contribution</w:t>
      </w:r>
    </w:p>
    <w:tbl>
      <w:tblPr>
        <w:tblStyle w:val="Atkins14pt"/>
        <w:tblW w:w="9072" w:type="dxa"/>
        <w:tblLayout w:type="fixed"/>
        <w:tblLook w:val="04A0" w:firstRow="1" w:lastRow="0" w:firstColumn="1" w:lastColumn="0" w:noHBand="0" w:noVBand="1"/>
      </w:tblPr>
      <w:tblGrid>
        <w:gridCol w:w="1134"/>
        <w:gridCol w:w="1323"/>
        <w:gridCol w:w="1323"/>
        <w:gridCol w:w="1323"/>
        <w:gridCol w:w="1323"/>
        <w:gridCol w:w="1323"/>
        <w:gridCol w:w="1323"/>
      </w:tblGrid>
      <w:tr w:rsidR="00AC16FE" w:rsidRPr="00023F68" w14:paraId="2C6C3A5F" w14:textId="77777777" w:rsidTr="00AC16FE">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134" w:type="dxa"/>
            <w:noWrap/>
            <w:hideMark/>
          </w:tcPr>
          <w:p w14:paraId="2546D3EC" w14:textId="77777777" w:rsidR="00AC16FE" w:rsidRPr="00023F68" w:rsidRDefault="00AC16FE" w:rsidP="00C93734">
            <w:pPr>
              <w:spacing w:after="120"/>
              <w:jc w:val="both"/>
              <w:rPr>
                <w:color w:val="000000"/>
                <w:sz w:val="18"/>
              </w:rPr>
            </w:pPr>
            <w:r>
              <w:rPr>
                <w:color w:val="000000"/>
                <w:sz w:val="18"/>
              </w:rPr>
              <w:t>Sector</w:t>
            </w:r>
          </w:p>
        </w:tc>
        <w:tc>
          <w:tcPr>
            <w:tcW w:w="1323" w:type="dxa"/>
            <w:noWrap/>
            <w:hideMark/>
          </w:tcPr>
          <w:p w14:paraId="293CC254" w14:textId="77777777" w:rsidR="00AC16FE" w:rsidRPr="00023F68" w:rsidRDefault="00AC16FE"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023F68">
              <w:rPr>
                <w:color w:val="000000"/>
                <w:sz w:val="18"/>
              </w:rPr>
              <w:t>GDP</w:t>
            </w:r>
          </w:p>
        </w:tc>
        <w:tc>
          <w:tcPr>
            <w:tcW w:w="1323" w:type="dxa"/>
            <w:noWrap/>
            <w:hideMark/>
          </w:tcPr>
          <w:p w14:paraId="1AF7CFD5" w14:textId="77777777" w:rsidR="00AC16FE" w:rsidRPr="00023F68" w:rsidRDefault="00AC16FE"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023F68">
              <w:rPr>
                <w:color w:val="000000"/>
                <w:sz w:val="18"/>
              </w:rPr>
              <w:t>Total Purchases</w:t>
            </w:r>
          </w:p>
        </w:tc>
        <w:tc>
          <w:tcPr>
            <w:tcW w:w="1323" w:type="dxa"/>
            <w:noWrap/>
            <w:hideMark/>
          </w:tcPr>
          <w:p w14:paraId="2FECE483" w14:textId="77777777" w:rsidR="00AC16FE" w:rsidRPr="00023F68" w:rsidRDefault="00AC16FE"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023F68">
              <w:rPr>
                <w:color w:val="000000"/>
                <w:sz w:val="18"/>
              </w:rPr>
              <w:t>Payroll</w:t>
            </w:r>
          </w:p>
        </w:tc>
        <w:tc>
          <w:tcPr>
            <w:tcW w:w="1323" w:type="dxa"/>
            <w:noWrap/>
            <w:hideMark/>
          </w:tcPr>
          <w:p w14:paraId="2E075008" w14:textId="77777777" w:rsidR="00AC16FE" w:rsidRPr="00023F68" w:rsidRDefault="00AC16FE"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023F68">
              <w:rPr>
                <w:color w:val="000000"/>
                <w:sz w:val="18"/>
              </w:rPr>
              <w:t>Land or property</w:t>
            </w:r>
          </w:p>
        </w:tc>
        <w:tc>
          <w:tcPr>
            <w:tcW w:w="1323" w:type="dxa"/>
            <w:noWrap/>
            <w:hideMark/>
          </w:tcPr>
          <w:p w14:paraId="6995FF99" w14:textId="77777777" w:rsidR="00AC16FE" w:rsidRPr="00023F68" w:rsidRDefault="00AC16FE"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023F68">
              <w:rPr>
                <w:color w:val="000000"/>
                <w:sz w:val="18"/>
              </w:rPr>
              <w:t>Gross Profit</w:t>
            </w:r>
          </w:p>
        </w:tc>
        <w:tc>
          <w:tcPr>
            <w:tcW w:w="1323" w:type="dxa"/>
            <w:noWrap/>
            <w:hideMark/>
          </w:tcPr>
          <w:p w14:paraId="3A7B6F5E" w14:textId="77777777" w:rsidR="00AC16FE" w:rsidRPr="00023F68" w:rsidRDefault="00AC16FE"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023F68">
              <w:rPr>
                <w:color w:val="000000"/>
                <w:sz w:val="18"/>
              </w:rPr>
              <w:t>GVA</w:t>
            </w:r>
          </w:p>
        </w:tc>
      </w:tr>
      <w:tr w:rsidR="00AC16FE" w:rsidRPr="00023F68" w14:paraId="31E022CA" w14:textId="77777777" w:rsidTr="00AC16FE">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4F082474" w14:textId="77777777" w:rsidR="00AC16FE" w:rsidRPr="00023F68" w:rsidRDefault="00AC16FE" w:rsidP="00C93734">
            <w:pPr>
              <w:spacing w:after="120"/>
              <w:jc w:val="both"/>
              <w:rPr>
                <w:color w:val="000000"/>
                <w:sz w:val="18"/>
              </w:rPr>
            </w:pPr>
            <w:r w:rsidRPr="00023F68">
              <w:rPr>
                <w:color w:val="000000"/>
                <w:sz w:val="18"/>
              </w:rPr>
              <w:t>Renewables</w:t>
            </w:r>
          </w:p>
        </w:tc>
        <w:tc>
          <w:tcPr>
            <w:tcW w:w="1323" w:type="dxa"/>
            <w:noWrap/>
            <w:hideMark/>
          </w:tcPr>
          <w:p w14:paraId="066B5D19" w14:textId="77777777" w:rsidR="00AC16FE" w:rsidRPr="00023F68" w:rsidRDefault="00AC16FE"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23F68">
              <w:rPr>
                <w:color w:val="000000"/>
                <w:sz w:val="18"/>
              </w:rPr>
              <w:t>£375,832,400</w:t>
            </w:r>
          </w:p>
        </w:tc>
        <w:tc>
          <w:tcPr>
            <w:tcW w:w="1323" w:type="dxa"/>
            <w:noWrap/>
            <w:hideMark/>
          </w:tcPr>
          <w:p w14:paraId="5FDF2B39" w14:textId="77777777" w:rsidR="00AC16FE" w:rsidRPr="00023F68" w:rsidRDefault="00AC16FE"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23F68">
              <w:rPr>
                <w:color w:val="000000"/>
                <w:sz w:val="18"/>
              </w:rPr>
              <w:t>£133,591,335</w:t>
            </w:r>
          </w:p>
        </w:tc>
        <w:tc>
          <w:tcPr>
            <w:tcW w:w="1323" w:type="dxa"/>
            <w:noWrap/>
            <w:hideMark/>
          </w:tcPr>
          <w:p w14:paraId="0F8A0AD1" w14:textId="77777777" w:rsidR="00AC16FE" w:rsidRPr="00023F68" w:rsidRDefault="00AC16FE"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23F68">
              <w:rPr>
                <w:color w:val="000000"/>
                <w:sz w:val="18"/>
              </w:rPr>
              <w:t>£96,213,094</w:t>
            </w:r>
          </w:p>
        </w:tc>
        <w:tc>
          <w:tcPr>
            <w:tcW w:w="1323" w:type="dxa"/>
            <w:noWrap/>
            <w:hideMark/>
          </w:tcPr>
          <w:p w14:paraId="3DCDB6FD" w14:textId="77777777" w:rsidR="00AC16FE" w:rsidRPr="00023F68" w:rsidRDefault="00AC16FE"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23F68">
              <w:rPr>
                <w:color w:val="000000"/>
                <w:sz w:val="18"/>
              </w:rPr>
              <w:t>£28,396,226</w:t>
            </w:r>
          </w:p>
        </w:tc>
        <w:tc>
          <w:tcPr>
            <w:tcW w:w="1323" w:type="dxa"/>
            <w:noWrap/>
            <w:hideMark/>
          </w:tcPr>
          <w:p w14:paraId="17F1D131" w14:textId="77777777" w:rsidR="00AC16FE" w:rsidRPr="00023F68" w:rsidRDefault="00AC16FE"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23F68">
              <w:rPr>
                <w:color w:val="000000"/>
                <w:sz w:val="18"/>
              </w:rPr>
              <w:t>£118,387,206</w:t>
            </w:r>
          </w:p>
        </w:tc>
        <w:tc>
          <w:tcPr>
            <w:tcW w:w="1323" w:type="dxa"/>
            <w:noWrap/>
            <w:hideMark/>
          </w:tcPr>
          <w:p w14:paraId="32F31101" w14:textId="77777777" w:rsidR="00AC16FE" w:rsidRPr="00023F68" w:rsidRDefault="00AC16FE"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23F68">
              <w:rPr>
                <w:color w:val="000000"/>
                <w:sz w:val="18"/>
              </w:rPr>
              <w:t>£214,600,300</w:t>
            </w:r>
          </w:p>
        </w:tc>
      </w:tr>
      <w:tr w:rsidR="00AC16FE" w:rsidRPr="00023F68" w14:paraId="4B9AD20B" w14:textId="77777777" w:rsidTr="00AC16FE">
        <w:trPr>
          <w:trHeight w:val="255"/>
        </w:trPr>
        <w:tc>
          <w:tcPr>
            <w:cnfStyle w:val="001000000000" w:firstRow="0" w:lastRow="0" w:firstColumn="1" w:lastColumn="0" w:oddVBand="0" w:evenVBand="0" w:oddHBand="0" w:evenHBand="0" w:firstRowFirstColumn="0" w:firstRowLastColumn="0" w:lastRowFirstColumn="0" w:lastRowLastColumn="0"/>
            <w:tcW w:w="1134" w:type="dxa"/>
            <w:shd w:val="clear" w:color="auto" w:fill="E6E4DE" w:themeFill="accent6"/>
            <w:noWrap/>
            <w:hideMark/>
          </w:tcPr>
          <w:p w14:paraId="7EA36789" w14:textId="77777777" w:rsidR="00AC16FE" w:rsidRPr="00023F68" w:rsidRDefault="00AC16FE" w:rsidP="00C93734">
            <w:pPr>
              <w:spacing w:after="120"/>
              <w:jc w:val="both"/>
              <w:rPr>
                <w:color w:val="000000"/>
                <w:sz w:val="18"/>
              </w:rPr>
            </w:pPr>
            <w:r w:rsidRPr="00023F68">
              <w:rPr>
                <w:color w:val="000000"/>
                <w:sz w:val="18"/>
              </w:rPr>
              <w:t>Total</w:t>
            </w:r>
          </w:p>
        </w:tc>
        <w:tc>
          <w:tcPr>
            <w:tcW w:w="1323" w:type="dxa"/>
            <w:shd w:val="clear" w:color="auto" w:fill="E6E4DE" w:themeFill="accent6"/>
            <w:noWrap/>
            <w:hideMark/>
          </w:tcPr>
          <w:p w14:paraId="5DC7EFE6" w14:textId="77777777" w:rsidR="00AC16FE" w:rsidRPr="000B1890" w:rsidRDefault="00AC16FE" w:rsidP="006E52FE">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£1,740,618,300 </w:t>
            </w:r>
          </w:p>
        </w:tc>
        <w:tc>
          <w:tcPr>
            <w:tcW w:w="1323" w:type="dxa"/>
            <w:shd w:val="clear" w:color="auto" w:fill="E6E4DE" w:themeFill="accent6"/>
            <w:noWrap/>
            <w:hideMark/>
          </w:tcPr>
          <w:p w14:paraId="5A4B3194" w14:textId="77777777" w:rsidR="00AC16FE" w:rsidRPr="000B1890" w:rsidRDefault="00AC16FE" w:rsidP="006E52FE">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 £687,591,325 </w:t>
            </w:r>
          </w:p>
        </w:tc>
        <w:tc>
          <w:tcPr>
            <w:tcW w:w="1323" w:type="dxa"/>
            <w:shd w:val="clear" w:color="auto" w:fill="E6E4DE" w:themeFill="accent6"/>
            <w:noWrap/>
            <w:hideMark/>
          </w:tcPr>
          <w:p w14:paraId="11B9F19B" w14:textId="77777777" w:rsidR="00AC16FE" w:rsidRPr="000B1890" w:rsidRDefault="00AC16FE" w:rsidP="006E52FE">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 £464,748,498 </w:t>
            </w:r>
          </w:p>
        </w:tc>
        <w:tc>
          <w:tcPr>
            <w:tcW w:w="1323" w:type="dxa"/>
            <w:shd w:val="clear" w:color="auto" w:fill="E6E4DE" w:themeFill="accent6"/>
            <w:noWrap/>
            <w:hideMark/>
          </w:tcPr>
          <w:p w14:paraId="25767DEF" w14:textId="77777777" w:rsidR="00AC16FE" w:rsidRPr="000B1890" w:rsidRDefault="00AC16FE" w:rsidP="006E52FE">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 £182,392,375 </w:t>
            </w:r>
          </w:p>
        </w:tc>
        <w:tc>
          <w:tcPr>
            <w:tcW w:w="1323" w:type="dxa"/>
            <w:shd w:val="clear" w:color="auto" w:fill="E6E4DE" w:themeFill="accent6"/>
            <w:noWrap/>
            <w:hideMark/>
          </w:tcPr>
          <w:p w14:paraId="4DC9FD42" w14:textId="77777777" w:rsidR="00AC16FE" w:rsidRPr="000B1890" w:rsidRDefault="00AC16FE" w:rsidP="006E52FE">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 £448,059,002 </w:t>
            </w:r>
          </w:p>
        </w:tc>
        <w:tc>
          <w:tcPr>
            <w:tcW w:w="1323" w:type="dxa"/>
            <w:shd w:val="clear" w:color="auto" w:fill="E6E4DE" w:themeFill="accent6"/>
            <w:noWrap/>
            <w:hideMark/>
          </w:tcPr>
          <w:p w14:paraId="5905B919" w14:textId="77777777" w:rsidR="00AC16FE" w:rsidRPr="000B1890" w:rsidRDefault="00AC16FE" w:rsidP="006E52FE">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 £912,807,499 </w:t>
            </w:r>
          </w:p>
        </w:tc>
      </w:tr>
    </w:tbl>
    <w:p w14:paraId="0D78C14C" w14:textId="77777777" w:rsidR="00F54736" w:rsidRPr="002805F3" w:rsidRDefault="00F54736" w:rsidP="00C93734">
      <w:pPr>
        <w:pStyle w:val="TableSource"/>
        <w:jc w:val="both"/>
      </w:pPr>
      <w:r w:rsidRPr="002805F3">
        <w:t xml:space="preserve">Source: Hill Taylor &amp; Atkins 2013. Atkins Ref: Survey – A5.1/L20. </w:t>
      </w:r>
    </w:p>
    <w:p w14:paraId="6C9C3728" w14:textId="77777777" w:rsidR="00F54736" w:rsidRPr="00F103FE" w:rsidRDefault="00F54736" w:rsidP="00C93734">
      <w:pPr>
        <w:jc w:val="both"/>
        <w:rPr>
          <w:rFonts w:cs="Arial"/>
          <w:b/>
        </w:rPr>
      </w:pPr>
      <w:r w:rsidRPr="00F103FE">
        <w:rPr>
          <w:rFonts w:cs="Arial"/>
          <w:b/>
        </w:rPr>
        <w:t xml:space="preserve">Employment </w:t>
      </w:r>
    </w:p>
    <w:p w14:paraId="3FFCDC5D" w14:textId="77777777" w:rsidR="00F54736" w:rsidRDefault="00F54736" w:rsidP="00C93734">
      <w:pPr>
        <w:jc w:val="both"/>
        <w:rPr>
          <w:rFonts w:cs="Arial"/>
        </w:rPr>
      </w:pPr>
      <w:r>
        <w:rPr>
          <w:rFonts w:cs="Arial"/>
        </w:rPr>
        <w:t xml:space="preserve">The sector also contributes significantly to local, sub-regional, regional and national </w:t>
      </w:r>
      <w:r w:rsidR="00465757">
        <w:rPr>
          <w:rFonts w:cs="Arial"/>
        </w:rPr>
        <w:t xml:space="preserve">employment </w:t>
      </w:r>
      <w:r>
        <w:rPr>
          <w:rFonts w:cs="Arial"/>
        </w:rPr>
        <w:t>with 3,250</w:t>
      </w:r>
      <w:r w:rsidR="00A413A4">
        <w:rPr>
          <w:rFonts w:cs="Arial"/>
        </w:rPr>
        <w:t xml:space="preserve"> direct</w:t>
      </w:r>
      <w:r>
        <w:rPr>
          <w:rFonts w:cs="Arial"/>
        </w:rPr>
        <w:t xml:space="preserve"> local jobs</w:t>
      </w:r>
      <w:r>
        <w:rPr>
          <w:rStyle w:val="FootnoteReference"/>
          <w:rFonts w:cs="Arial"/>
        </w:rPr>
        <w:footnoteReference w:id="22"/>
      </w:r>
      <w:r>
        <w:rPr>
          <w:rFonts w:cs="Arial"/>
        </w:rPr>
        <w:t>, 3,500 indirect jobs across the whole economy and a further 1,950</w:t>
      </w:r>
      <w:r w:rsidR="00465757">
        <w:rPr>
          <w:rFonts w:cs="Arial"/>
        </w:rPr>
        <w:t xml:space="preserve"> induced jobs</w:t>
      </w:r>
      <w:r w:rsidR="00A413A4">
        <w:rPr>
          <w:rFonts w:cs="Arial"/>
        </w:rPr>
        <w:t xml:space="preserve">.  </w:t>
      </w:r>
      <w:r w:rsidR="00465757">
        <w:rPr>
          <w:rFonts w:cs="Arial"/>
        </w:rPr>
        <w:t xml:space="preserve">In total </w:t>
      </w:r>
      <w:r w:rsidR="00A413A4">
        <w:rPr>
          <w:rFonts w:cs="Arial"/>
        </w:rPr>
        <w:t xml:space="preserve">the sector supports approximately </w:t>
      </w:r>
      <w:r>
        <w:rPr>
          <w:rFonts w:cs="Arial"/>
        </w:rPr>
        <w:t>8,700</w:t>
      </w:r>
      <w:r w:rsidR="00A413A4">
        <w:rPr>
          <w:rFonts w:cs="Arial"/>
        </w:rPr>
        <w:t xml:space="preserve"> jobs</w:t>
      </w:r>
      <w:r>
        <w:rPr>
          <w:rFonts w:cs="Arial"/>
        </w:rPr>
        <w:t>.</w:t>
      </w:r>
      <w:r w:rsidR="0075686A">
        <w:rPr>
          <w:rFonts w:cs="Arial"/>
        </w:rPr>
        <w:t xml:space="preserve"> As</w:t>
      </w:r>
      <w:r w:rsidR="007C3A3C">
        <w:rPr>
          <w:rFonts w:cs="Arial"/>
        </w:rPr>
        <w:t xml:space="preserve"> noted</w:t>
      </w:r>
      <w:r w:rsidR="0075686A">
        <w:rPr>
          <w:rFonts w:cs="Arial"/>
        </w:rPr>
        <w:t xml:space="preserve"> previously, this figure does not represent renewable energy </w:t>
      </w:r>
      <w:r w:rsidR="007C3A3C">
        <w:rPr>
          <w:rFonts w:cs="Arial"/>
        </w:rPr>
        <w:t>alone</w:t>
      </w:r>
      <w:r w:rsidR="0075686A">
        <w:rPr>
          <w:rFonts w:cs="Arial"/>
        </w:rPr>
        <w:t xml:space="preserve"> but includes energy activities more broadly. </w:t>
      </w:r>
      <w:r w:rsidR="007C3A3C">
        <w:rPr>
          <w:rFonts w:cs="Arial"/>
        </w:rPr>
        <w:t xml:space="preserve">The novelty of the sector means that it is both difficult to identify in existing data, and some firms are likely to still be adapting to the sector from other energy activities. </w:t>
      </w:r>
    </w:p>
    <w:p w14:paraId="629EA5BD" w14:textId="77777777" w:rsidR="00F54736" w:rsidRDefault="00F54736" w:rsidP="00C93734">
      <w:pPr>
        <w:pStyle w:val="Caption"/>
        <w:jc w:val="both"/>
      </w:pPr>
      <w:bookmarkStart w:id="595" w:name="_Ref394479720"/>
      <w:r>
        <w:t xml:space="preserve">Table </w:t>
      </w:r>
      <w:fldSimple w:instr=" STYLEREF 1 \s  \* MERGEFORMAT ">
        <w:r w:rsidR="00E95E1A">
          <w:rPr>
            <w:noProof/>
          </w:rPr>
          <w:t>7</w:t>
        </w:r>
      </w:fldSimple>
      <w:r>
        <w:t>-</w:t>
      </w:r>
      <w:fldSimple w:instr=" SEQ Table \* ARABIC \s 1  \* MERGEFORMAT ">
        <w:r w:rsidR="00E95E1A">
          <w:rPr>
            <w:noProof/>
          </w:rPr>
          <w:t>3</w:t>
        </w:r>
      </w:fldSimple>
      <w:bookmarkEnd w:id="595"/>
      <w:r w:rsidR="002A4A83">
        <w:tab/>
        <w:t xml:space="preserve">Key Sector Employment Summary – Renewables &amp; Energy </w:t>
      </w:r>
    </w:p>
    <w:tbl>
      <w:tblPr>
        <w:tblStyle w:val="Atkins14pt"/>
        <w:tblpPr w:leftFromText="180" w:rightFromText="180" w:vertAnchor="text" w:tblpY="1"/>
        <w:tblOverlap w:val="never"/>
        <w:tblW w:w="4900" w:type="dxa"/>
        <w:tblInd w:w="0" w:type="dxa"/>
        <w:tblLook w:val="04A0" w:firstRow="1" w:lastRow="0" w:firstColumn="1" w:lastColumn="0" w:noHBand="0" w:noVBand="1"/>
      </w:tblPr>
      <w:tblGrid>
        <w:gridCol w:w="3686"/>
        <w:gridCol w:w="1214"/>
      </w:tblGrid>
      <w:tr w:rsidR="00A413A4" w:rsidRPr="00F175E0" w14:paraId="38D95CD0" w14:textId="77777777" w:rsidTr="007C3A3C">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3686" w:type="dxa"/>
            <w:shd w:val="clear" w:color="auto" w:fill="BED600" w:themeFill="accent1"/>
            <w:noWrap/>
            <w:hideMark/>
          </w:tcPr>
          <w:p w14:paraId="7B492836" w14:textId="77777777" w:rsidR="00A413A4" w:rsidRPr="00F175E0" w:rsidRDefault="00A413A4">
            <w:pPr>
              <w:jc w:val="both"/>
              <w:rPr>
                <w:rFonts w:eastAsia="Times New Roman"/>
                <w:b w:val="0"/>
                <w:bCs/>
                <w:color w:val="000000"/>
              </w:rPr>
            </w:pPr>
            <w:r w:rsidRPr="00F175E0">
              <w:rPr>
                <w:rFonts w:eastAsia="Times New Roman"/>
                <w:bCs/>
                <w:color w:val="000000"/>
              </w:rPr>
              <w:t>Geography</w:t>
            </w:r>
          </w:p>
        </w:tc>
        <w:tc>
          <w:tcPr>
            <w:tcW w:w="1214" w:type="dxa"/>
            <w:shd w:val="clear" w:color="auto" w:fill="BED600" w:themeFill="accent1"/>
            <w:noWrap/>
            <w:hideMark/>
          </w:tcPr>
          <w:p w14:paraId="409896AE" w14:textId="77777777" w:rsidR="00A413A4" w:rsidRPr="00F175E0" w:rsidRDefault="00A413A4">
            <w:pPr>
              <w:jc w:val="both"/>
              <w:cnfStyle w:val="100000000000" w:firstRow="1" w:lastRow="0" w:firstColumn="0" w:lastColumn="0" w:oddVBand="0" w:evenVBand="0" w:oddHBand="0" w:evenHBand="0" w:firstRowFirstColumn="0" w:firstRowLastColumn="0" w:lastRowFirstColumn="0" w:lastRowLastColumn="0"/>
              <w:rPr>
                <w:rFonts w:eastAsia="Times New Roman"/>
                <w:b w:val="0"/>
                <w:bCs/>
                <w:color w:val="000000"/>
              </w:rPr>
            </w:pPr>
            <w:r w:rsidRPr="00F175E0">
              <w:rPr>
                <w:rFonts w:eastAsia="Times New Roman"/>
                <w:bCs/>
                <w:color w:val="000000"/>
              </w:rPr>
              <w:t>Renewables</w:t>
            </w:r>
          </w:p>
        </w:tc>
      </w:tr>
      <w:tr w:rsidR="00A413A4" w:rsidRPr="00F175E0" w14:paraId="3321F454" w14:textId="77777777" w:rsidTr="007C3A3C">
        <w:trPr>
          <w:trHeight w:val="270"/>
        </w:trPr>
        <w:tc>
          <w:tcPr>
            <w:cnfStyle w:val="001000000000" w:firstRow="0" w:lastRow="0" w:firstColumn="1" w:lastColumn="0" w:oddVBand="0" w:evenVBand="0" w:oddHBand="0" w:evenHBand="0" w:firstRowFirstColumn="0" w:firstRowLastColumn="0" w:lastRowFirstColumn="0" w:lastRowLastColumn="0"/>
            <w:tcW w:w="3686" w:type="dxa"/>
            <w:shd w:val="clear" w:color="auto" w:fill="E6E4DE" w:themeFill="accent6"/>
            <w:noWrap/>
            <w:hideMark/>
          </w:tcPr>
          <w:p w14:paraId="05CA7BF8" w14:textId="77777777" w:rsidR="00A413A4" w:rsidRPr="00F175E0" w:rsidRDefault="009D5E00">
            <w:pPr>
              <w:jc w:val="both"/>
              <w:rPr>
                <w:rFonts w:eastAsia="Times New Roman"/>
                <w:b/>
                <w:bCs/>
                <w:color w:val="000000"/>
              </w:rPr>
            </w:pPr>
            <w:r>
              <w:rPr>
                <w:rFonts w:eastAsia="Times New Roman"/>
                <w:b/>
                <w:bCs/>
                <w:color w:val="000000"/>
              </w:rPr>
              <w:t xml:space="preserve">Direct </w:t>
            </w:r>
            <w:r w:rsidR="00A413A4" w:rsidRPr="00F175E0">
              <w:rPr>
                <w:rFonts w:eastAsia="Times New Roman"/>
                <w:b/>
                <w:bCs/>
                <w:color w:val="000000"/>
              </w:rPr>
              <w:t>Jobs</w:t>
            </w:r>
          </w:p>
        </w:tc>
        <w:tc>
          <w:tcPr>
            <w:tcW w:w="1214" w:type="dxa"/>
            <w:shd w:val="clear" w:color="auto" w:fill="E6E4DE" w:themeFill="accent6"/>
            <w:hideMark/>
          </w:tcPr>
          <w:p w14:paraId="44029BDB" w14:textId="77777777" w:rsidR="00A413A4" w:rsidRPr="00F175E0" w:rsidRDefault="00A413A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175E0">
              <w:rPr>
                <w:rFonts w:eastAsia="Times New Roman"/>
                <w:color w:val="000000"/>
              </w:rPr>
              <w:t> </w:t>
            </w:r>
          </w:p>
        </w:tc>
      </w:tr>
      <w:tr w:rsidR="00A413A4" w:rsidRPr="00F175E0" w14:paraId="00636F2C" w14:textId="77777777" w:rsidTr="007C3A3C">
        <w:trPr>
          <w:trHeight w:val="27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38A71734" w14:textId="77777777" w:rsidR="00A413A4" w:rsidRPr="00F175E0" w:rsidRDefault="00A413A4">
            <w:pPr>
              <w:jc w:val="both"/>
              <w:rPr>
                <w:rFonts w:eastAsia="Times New Roman"/>
                <w:color w:val="000000"/>
              </w:rPr>
            </w:pPr>
            <w:r w:rsidRPr="00F175E0">
              <w:rPr>
                <w:rFonts w:eastAsia="Times New Roman"/>
                <w:color w:val="000000"/>
              </w:rPr>
              <w:t>North East Lincolnshire</w:t>
            </w:r>
          </w:p>
        </w:tc>
        <w:tc>
          <w:tcPr>
            <w:tcW w:w="1214" w:type="dxa"/>
            <w:noWrap/>
            <w:hideMark/>
          </w:tcPr>
          <w:p w14:paraId="7D31F3D0" w14:textId="77777777" w:rsidR="00A413A4" w:rsidRPr="00F175E0" w:rsidRDefault="00A413A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175E0">
              <w:rPr>
                <w:rFonts w:eastAsia="Times New Roman"/>
                <w:color w:val="000000"/>
              </w:rPr>
              <w:t>3,250</w:t>
            </w:r>
          </w:p>
        </w:tc>
      </w:tr>
      <w:tr w:rsidR="00A413A4" w:rsidRPr="00F175E0" w14:paraId="214B07F6" w14:textId="77777777" w:rsidTr="007C3A3C">
        <w:trPr>
          <w:trHeight w:val="270"/>
        </w:trPr>
        <w:tc>
          <w:tcPr>
            <w:cnfStyle w:val="001000000000" w:firstRow="0" w:lastRow="0" w:firstColumn="1" w:lastColumn="0" w:oddVBand="0" w:evenVBand="0" w:oddHBand="0" w:evenHBand="0" w:firstRowFirstColumn="0" w:firstRowLastColumn="0" w:lastRowFirstColumn="0" w:lastRowLastColumn="0"/>
            <w:tcW w:w="3686" w:type="dxa"/>
            <w:shd w:val="clear" w:color="auto" w:fill="E6E4DE" w:themeFill="accent6"/>
            <w:noWrap/>
            <w:hideMark/>
          </w:tcPr>
          <w:p w14:paraId="01ACA129" w14:textId="77777777" w:rsidR="00A413A4" w:rsidRPr="00F175E0" w:rsidRDefault="00A413A4">
            <w:pPr>
              <w:jc w:val="both"/>
              <w:rPr>
                <w:rFonts w:eastAsia="Times New Roman"/>
                <w:b/>
                <w:bCs/>
                <w:color w:val="000000"/>
              </w:rPr>
            </w:pPr>
            <w:r w:rsidRPr="00F175E0">
              <w:rPr>
                <w:rFonts w:eastAsia="Times New Roman"/>
                <w:b/>
                <w:bCs/>
                <w:color w:val="000000"/>
              </w:rPr>
              <w:t>Indirect Jobs</w:t>
            </w:r>
          </w:p>
        </w:tc>
        <w:tc>
          <w:tcPr>
            <w:tcW w:w="1214" w:type="dxa"/>
            <w:shd w:val="clear" w:color="auto" w:fill="E6E4DE" w:themeFill="accent6"/>
            <w:hideMark/>
          </w:tcPr>
          <w:p w14:paraId="56AF61E2" w14:textId="77777777" w:rsidR="00A413A4" w:rsidRPr="00F175E0" w:rsidRDefault="00A413A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175E0">
              <w:rPr>
                <w:rFonts w:eastAsia="Times New Roman"/>
                <w:color w:val="000000"/>
              </w:rPr>
              <w:t> </w:t>
            </w:r>
          </w:p>
        </w:tc>
      </w:tr>
      <w:tr w:rsidR="00A413A4" w:rsidRPr="00F175E0" w14:paraId="4825F1A4" w14:textId="77777777" w:rsidTr="007C3A3C">
        <w:trPr>
          <w:trHeight w:val="27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567D3F5C" w14:textId="77777777" w:rsidR="00A413A4" w:rsidRPr="00F175E0" w:rsidRDefault="00A413A4">
            <w:pPr>
              <w:jc w:val="both"/>
              <w:rPr>
                <w:rFonts w:eastAsia="Times New Roman"/>
                <w:color w:val="000000"/>
              </w:rPr>
            </w:pPr>
            <w:r w:rsidRPr="00F175E0">
              <w:rPr>
                <w:rFonts w:eastAsia="Times New Roman"/>
                <w:color w:val="000000"/>
              </w:rPr>
              <w:t>N.&amp; N.E Lincolnshire &amp; Humber</w:t>
            </w:r>
          </w:p>
        </w:tc>
        <w:tc>
          <w:tcPr>
            <w:tcW w:w="1214" w:type="dxa"/>
            <w:noWrap/>
            <w:hideMark/>
          </w:tcPr>
          <w:p w14:paraId="1DF481D8" w14:textId="77777777" w:rsidR="00A413A4" w:rsidRPr="00F175E0" w:rsidRDefault="00A413A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175E0">
              <w:rPr>
                <w:rFonts w:eastAsia="Times New Roman"/>
                <w:color w:val="000000"/>
              </w:rPr>
              <w:t>1,300</w:t>
            </w:r>
          </w:p>
        </w:tc>
      </w:tr>
      <w:tr w:rsidR="00A413A4" w:rsidRPr="00F175E0" w14:paraId="21C93DB4" w14:textId="77777777" w:rsidTr="007C3A3C">
        <w:trPr>
          <w:trHeight w:val="27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72B406ED" w14:textId="77777777" w:rsidR="00A413A4" w:rsidRPr="00F175E0" w:rsidRDefault="00A413A4">
            <w:pPr>
              <w:jc w:val="both"/>
              <w:rPr>
                <w:rFonts w:eastAsia="Times New Roman"/>
                <w:color w:val="000000"/>
              </w:rPr>
            </w:pPr>
            <w:r w:rsidRPr="00F175E0">
              <w:rPr>
                <w:rFonts w:eastAsia="Times New Roman"/>
                <w:color w:val="000000"/>
              </w:rPr>
              <w:t>Elsewhere in Yorkshire and Humber</w:t>
            </w:r>
          </w:p>
        </w:tc>
        <w:tc>
          <w:tcPr>
            <w:tcW w:w="1214" w:type="dxa"/>
            <w:noWrap/>
            <w:hideMark/>
          </w:tcPr>
          <w:p w14:paraId="7F7AB6F1" w14:textId="77777777" w:rsidR="00A413A4" w:rsidRPr="00F175E0" w:rsidRDefault="00A413A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175E0">
              <w:rPr>
                <w:rFonts w:eastAsia="Times New Roman"/>
                <w:color w:val="000000"/>
              </w:rPr>
              <w:t>840</w:t>
            </w:r>
          </w:p>
        </w:tc>
      </w:tr>
      <w:tr w:rsidR="00A413A4" w:rsidRPr="00F175E0" w14:paraId="45E3BD88" w14:textId="77777777" w:rsidTr="007C3A3C">
        <w:trPr>
          <w:trHeight w:val="27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4050E97F" w14:textId="77777777" w:rsidR="00A413A4" w:rsidRPr="00F175E0" w:rsidRDefault="00A413A4">
            <w:pPr>
              <w:jc w:val="both"/>
              <w:rPr>
                <w:rFonts w:eastAsia="Times New Roman"/>
                <w:color w:val="000000"/>
              </w:rPr>
            </w:pPr>
            <w:r w:rsidRPr="00F175E0">
              <w:rPr>
                <w:rFonts w:eastAsia="Times New Roman"/>
                <w:color w:val="000000"/>
              </w:rPr>
              <w:t>Outside L/H</w:t>
            </w:r>
          </w:p>
        </w:tc>
        <w:tc>
          <w:tcPr>
            <w:tcW w:w="1214" w:type="dxa"/>
            <w:noWrap/>
            <w:hideMark/>
          </w:tcPr>
          <w:p w14:paraId="7B1A956F" w14:textId="77777777" w:rsidR="00A413A4" w:rsidRPr="00F175E0" w:rsidRDefault="00A413A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175E0">
              <w:rPr>
                <w:rFonts w:eastAsia="Times New Roman"/>
                <w:color w:val="000000"/>
              </w:rPr>
              <w:t>1,360</w:t>
            </w:r>
          </w:p>
        </w:tc>
      </w:tr>
      <w:tr w:rsidR="00A413A4" w:rsidRPr="00F175E0" w14:paraId="0713DEE9" w14:textId="77777777" w:rsidTr="007C3A3C">
        <w:trPr>
          <w:trHeight w:val="27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noWrap/>
            <w:hideMark/>
          </w:tcPr>
          <w:p w14:paraId="4CEAEE23" w14:textId="77777777" w:rsidR="00A413A4" w:rsidRPr="00F175E0" w:rsidRDefault="00A413A4">
            <w:pPr>
              <w:jc w:val="both"/>
              <w:rPr>
                <w:rFonts w:eastAsia="Times New Roman"/>
                <w:b/>
                <w:bCs/>
                <w:color w:val="000000"/>
              </w:rPr>
            </w:pPr>
            <w:r w:rsidRPr="00F175E0">
              <w:rPr>
                <w:rFonts w:eastAsia="Times New Roman"/>
                <w:b/>
                <w:bCs/>
                <w:color w:val="000000"/>
              </w:rPr>
              <w:t>Total</w:t>
            </w:r>
          </w:p>
        </w:tc>
        <w:tc>
          <w:tcPr>
            <w:tcW w:w="1214" w:type="dxa"/>
            <w:shd w:val="clear" w:color="auto" w:fill="auto"/>
            <w:noWrap/>
            <w:hideMark/>
          </w:tcPr>
          <w:p w14:paraId="6BBE857C" w14:textId="77777777" w:rsidR="00A413A4" w:rsidRPr="00F175E0" w:rsidRDefault="00A413A4">
            <w:pPr>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F175E0">
              <w:rPr>
                <w:rFonts w:eastAsia="Times New Roman"/>
                <w:b/>
                <w:bCs/>
                <w:color w:val="000000"/>
              </w:rPr>
              <w:t>3,500</w:t>
            </w:r>
          </w:p>
        </w:tc>
      </w:tr>
      <w:tr w:rsidR="00A413A4" w:rsidRPr="00F175E0" w14:paraId="774270DE" w14:textId="77777777" w:rsidTr="007C3A3C">
        <w:trPr>
          <w:trHeight w:val="270"/>
        </w:trPr>
        <w:tc>
          <w:tcPr>
            <w:cnfStyle w:val="001000000000" w:firstRow="0" w:lastRow="0" w:firstColumn="1" w:lastColumn="0" w:oddVBand="0" w:evenVBand="0" w:oddHBand="0" w:evenHBand="0" w:firstRowFirstColumn="0" w:firstRowLastColumn="0" w:lastRowFirstColumn="0" w:lastRowLastColumn="0"/>
            <w:tcW w:w="3686" w:type="dxa"/>
            <w:shd w:val="clear" w:color="auto" w:fill="E6E4DE" w:themeFill="accent6"/>
            <w:noWrap/>
            <w:hideMark/>
          </w:tcPr>
          <w:p w14:paraId="205B43AC" w14:textId="77777777" w:rsidR="00A413A4" w:rsidRPr="00F175E0" w:rsidRDefault="00A413A4">
            <w:pPr>
              <w:jc w:val="both"/>
              <w:rPr>
                <w:rFonts w:eastAsia="Times New Roman"/>
                <w:b/>
                <w:bCs/>
                <w:color w:val="000000"/>
              </w:rPr>
            </w:pPr>
            <w:r w:rsidRPr="00F175E0">
              <w:rPr>
                <w:rFonts w:eastAsia="Times New Roman"/>
                <w:b/>
                <w:bCs/>
                <w:color w:val="000000"/>
              </w:rPr>
              <w:t>Induced</w:t>
            </w:r>
          </w:p>
        </w:tc>
        <w:tc>
          <w:tcPr>
            <w:tcW w:w="1214" w:type="dxa"/>
            <w:shd w:val="clear" w:color="auto" w:fill="E6E4DE" w:themeFill="accent6"/>
            <w:hideMark/>
          </w:tcPr>
          <w:p w14:paraId="683FEBB5" w14:textId="77777777" w:rsidR="00A413A4" w:rsidRPr="00F175E0" w:rsidRDefault="00A413A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175E0">
              <w:rPr>
                <w:rFonts w:eastAsia="Times New Roman"/>
                <w:color w:val="000000"/>
              </w:rPr>
              <w:t> </w:t>
            </w:r>
          </w:p>
        </w:tc>
      </w:tr>
      <w:tr w:rsidR="00A413A4" w:rsidRPr="00F175E0" w14:paraId="5192F801" w14:textId="77777777" w:rsidTr="007C3A3C">
        <w:trPr>
          <w:trHeight w:val="27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4AF0E6FD" w14:textId="77777777" w:rsidR="00A413A4" w:rsidRPr="00F175E0" w:rsidRDefault="00A413A4">
            <w:pPr>
              <w:jc w:val="both"/>
              <w:rPr>
                <w:rFonts w:eastAsia="Times New Roman"/>
                <w:color w:val="000000"/>
              </w:rPr>
            </w:pPr>
            <w:r w:rsidRPr="00F175E0">
              <w:rPr>
                <w:rFonts w:eastAsia="Times New Roman"/>
                <w:color w:val="000000"/>
              </w:rPr>
              <w:t>N.&amp; N.E Lincolnshire &amp; Humber</w:t>
            </w:r>
          </w:p>
        </w:tc>
        <w:tc>
          <w:tcPr>
            <w:tcW w:w="1214" w:type="dxa"/>
            <w:noWrap/>
            <w:hideMark/>
          </w:tcPr>
          <w:p w14:paraId="16DA58F2" w14:textId="77777777" w:rsidR="00A413A4" w:rsidRPr="00F175E0" w:rsidRDefault="00A413A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175E0">
              <w:rPr>
                <w:rFonts w:eastAsia="Times New Roman"/>
                <w:color w:val="000000"/>
              </w:rPr>
              <w:t>720</w:t>
            </w:r>
          </w:p>
        </w:tc>
      </w:tr>
      <w:tr w:rsidR="00A413A4" w:rsidRPr="00F175E0" w14:paraId="33C60FDF" w14:textId="77777777" w:rsidTr="007C3A3C">
        <w:trPr>
          <w:trHeight w:val="27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0E413221" w14:textId="77777777" w:rsidR="00A413A4" w:rsidRPr="00F175E0" w:rsidRDefault="00A413A4">
            <w:pPr>
              <w:jc w:val="both"/>
              <w:rPr>
                <w:rFonts w:eastAsia="Times New Roman"/>
                <w:color w:val="000000"/>
              </w:rPr>
            </w:pPr>
            <w:r w:rsidRPr="00F175E0">
              <w:rPr>
                <w:rFonts w:eastAsia="Times New Roman"/>
                <w:color w:val="000000"/>
              </w:rPr>
              <w:t>Elsewhere in Yorkshire and Humber</w:t>
            </w:r>
          </w:p>
        </w:tc>
        <w:tc>
          <w:tcPr>
            <w:tcW w:w="1214" w:type="dxa"/>
            <w:noWrap/>
            <w:hideMark/>
          </w:tcPr>
          <w:p w14:paraId="762CE7D0" w14:textId="77777777" w:rsidR="00A413A4" w:rsidRPr="00F175E0" w:rsidRDefault="00A413A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175E0">
              <w:rPr>
                <w:rFonts w:eastAsia="Times New Roman"/>
                <w:color w:val="000000"/>
              </w:rPr>
              <w:t>470</w:t>
            </w:r>
          </w:p>
        </w:tc>
      </w:tr>
      <w:tr w:rsidR="00A413A4" w:rsidRPr="00F175E0" w14:paraId="4D3A64AA" w14:textId="77777777" w:rsidTr="007C3A3C">
        <w:trPr>
          <w:trHeight w:val="27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505BBAD9" w14:textId="77777777" w:rsidR="00A413A4" w:rsidRPr="00F175E0" w:rsidRDefault="00A413A4">
            <w:pPr>
              <w:jc w:val="both"/>
              <w:rPr>
                <w:rFonts w:eastAsia="Times New Roman"/>
                <w:color w:val="000000"/>
              </w:rPr>
            </w:pPr>
            <w:r w:rsidRPr="00F175E0">
              <w:rPr>
                <w:rFonts w:eastAsia="Times New Roman"/>
                <w:color w:val="000000"/>
              </w:rPr>
              <w:t>Outside Yorkshire</w:t>
            </w:r>
          </w:p>
        </w:tc>
        <w:tc>
          <w:tcPr>
            <w:tcW w:w="1214" w:type="dxa"/>
            <w:noWrap/>
            <w:hideMark/>
          </w:tcPr>
          <w:p w14:paraId="6A1BF2B1" w14:textId="77777777" w:rsidR="00A413A4" w:rsidRPr="00F175E0" w:rsidRDefault="00A413A4">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175E0">
              <w:rPr>
                <w:rFonts w:eastAsia="Times New Roman"/>
                <w:color w:val="000000"/>
              </w:rPr>
              <w:t>760</w:t>
            </w:r>
          </w:p>
        </w:tc>
      </w:tr>
      <w:tr w:rsidR="002E0D85" w:rsidRPr="00F175E0" w14:paraId="3D6FB615" w14:textId="77777777" w:rsidTr="007C3A3C">
        <w:trPr>
          <w:trHeight w:val="27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5434AAF8" w14:textId="77777777" w:rsidR="002E0D85" w:rsidRPr="002E0D85" w:rsidRDefault="002E0D85">
            <w:pPr>
              <w:jc w:val="both"/>
              <w:rPr>
                <w:rFonts w:eastAsia="Times New Roman"/>
                <w:b/>
                <w:color w:val="000000"/>
              </w:rPr>
            </w:pPr>
            <w:r>
              <w:rPr>
                <w:rFonts w:eastAsia="Times New Roman"/>
                <w:b/>
                <w:color w:val="000000"/>
              </w:rPr>
              <w:t>Total</w:t>
            </w:r>
          </w:p>
        </w:tc>
        <w:tc>
          <w:tcPr>
            <w:tcW w:w="1214" w:type="dxa"/>
            <w:noWrap/>
            <w:hideMark/>
          </w:tcPr>
          <w:p w14:paraId="038FC470" w14:textId="77777777" w:rsidR="002E0D85" w:rsidRPr="002E0D85" w:rsidRDefault="00347DF8">
            <w:pPr>
              <w:jc w:val="both"/>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347DF8">
              <w:rPr>
                <w:rFonts w:eastAsia="Times New Roman"/>
                <w:b/>
                <w:color w:val="000000"/>
              </w:rPr>
              <w:t>1,950</w:t>
            </w:r>
          </w:p>
        </w:tc>
      </w:tr>
      <w:tr w:rsidR="00A413A4" w:rsidRPr="00F175E0" w14:paraId="7A273C70" w14:textId="77777777" w:rsidTr="007C3A3C">
        <w:trPr>
          <w:trHeight w:val="270"/>
        </w:trPr>
        <w:tc>
          <w:tcPr>
            <w:cnfStyle w:val="001000000000" w:firstRow="0" w:lastRow="0" w:firstColumn="1" w:lastColumn="0" w:oddVBand="0" w:evenVBand="0" w:oddHBand="0" w:evenHBand="0" w:firstRowFirstColumn="0" w:firstRowLastColumn="0" w:lastRowFirstColumn="0" w:lastRowLastColumn="0"/>
            <w:tcW w:w="3686" w:type="dxa"/>
            <w:shd w:val="clear" w:color="auto" w:fill="E6E4DE" w:themeFill="accent6"/>
            <w:noWrap/>
            <w:hideMark/>
          </w:tcPr>
          <w:p w14:paraId="01A922B8" w14:textId="77777777" w:rsidR="00A413A4" w:rsidRPr="00F175E0" w:rsidRDefault="00A413A4">
            <w:pPr>
              <w:jc w:val="both"/>
              <w:rPr>
                <w:rFonts w:eastAsia="Times New Roman"/>
                <w:b/>
                <w:bCs/>
                <w:color w:val="000000"/>
              </w:rPr>
            </w:pPr>
            <w:r w:rsidRPr="00F175E0">
              <w:rPr>
                <w:rFonts w:eastAsia="Times New Roman"/>
                <w:b/>
                <w:bCs/>
                <w:color w:val="000000"/>
              </w:rPr>
              <w:t xml:space="preserve">Total </w:t>
            </w:r>
          </w:p>
        </w:tc>
        <w:tc>
          <w:tcPr>
            <w:tcW w:w="1214" w:type="dxa"/>
            <w:shd w:val="clear" w:color="auto" w:fill="E6E4DE" w:themeFill="accent6"/>
            <w:noWrap/>
            <w:hideMark/>
          </w:tcPr>
          <w:p w14:paraId="50A58D36" w14:textId="77777777" w:rsidR="00A413A4" w:rsidRPr="00F175E0" w:rsidRDefault="00A413A4">
            <w:pPr>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F175E0">
              <w:rPr>
                <w:rFonts w:eastAsia="Times New Roman"/>
                <w:b/>
                <w:bCs/>
                <w:color w:val="000000"/>
              </w:rPr>
              <w:t>8,700</w:t>
            </w:r>
          </w:p>
        </w:tc>
      </w:tr>
    </w:tbl>
    <w:p w14:paraId="4E46889A" w14:textId="77777777" w:rsidR="00F54736" w:rsidRPr="002805F3" w:rsidRDefault="007C3A3C" w:rsidP="00C93734">
      <w:pPr>
        <w:pStyle w:val="TableSource"/>
        <w:jc w:val="both"/>
      </w:pPr>
      <w:r>
        <w:br w:type="textWrapping" w:clear="all"/>
      </w:r>
      <w:r w:rsidR="00F54736" w:rsidRPr="002805F3">
        <w:t>Source: Atkins 2013. Atkins Ref: Survey –A9-A11. Figures rounded.</w:t>
      </w:r>
    </w:p>
    <w:p w14:paraId="02F355CA" w14:textId="77777777" w:rsidR="00F54736" w:rsidRDefault="00F54736" w:rsidP="00C93734">
      <w:pPr>
        <w:jc w:val="both"/>
        <w:rPr>
          <w:rFonts w:cs="Arial"/>
          <w:b/>
        </w:rPr>
      </w:pPr>
      <w:r w:rsidRPr="00DC3631">
        <w:rPr>
          <w:rFonts w:cs="Arial"/>
          <w:b/>
        </w:rPr>
        <w:t>Supply chain</w:t>
      </w:r>
    </w:p>
    <w:p w14:paraId="4C2ED1B1" w14:textId="77777777" w:rsidR="00F54736" w:rsidRPr="00DC3631" w:rsidRDefault="00F54736" w:rsidP="00C93734">
      <w:pPr>
        <w:jc w:val="both"/>
        <w:rPr>
          <w:rFonts w:cs="Arial"/>
        </w:rPr>
      </w:pPr>
      <w:r w:rsidRPr="00DC3631">
        <w:rPr>
          <w:rFonts w:cs="Arial"/>
        </w:rPr>
        <w:t xml:space="preserve">Businesses were asked about how turnover </w:t>
      </w:r>
      <w:r w:rsidR="00A413A4">
        <w:rPr>
          <w:rFonts w:cs="Arial"/>
        </w:rPr>
        <w:t>is</w:t>
      </w:r>
      <w:r w:rsidRPr="00DC3631">
        <w:rPr>
          <w:rFonts w:cs="Arial"/>
        </w:rPr>
        <w:t xml:space="preserve"> split between purchases, payroll, land and property. This shows that </w:t>
      </w:r>
      <w:r w:rsidR="00FA421D">
        <w:rPr>
          <w:rFonts w:cs="Arial"/>
        </w:rPr>
        <w:t>p</w:t>
      </w:r>
      <w:r w:rsidR="00FA421D" w:rsidRPr="00DC3631">
        <w:rPr>
          <w:rFonts w:cs="Arial"/>
        </w:rPr>
        <w:t xml:space="preserve">urchases </w:t>
      </w:r>
      <w:r>
        <w:rPr>
          <w:rFonts w:cs="Arial"/>
        </w:rPr>
        <w:t xml:space="preserve">(35.5%) </w:t>
      </w:r>
      <w:r w:rsidRPr="00DC3631">
        <w:rPr>
          <w:rFonts w:cs="Arial"/>
        </w:rPr>
        <w:t xml:space="preserve">and </w:t>
      </w:r>
      <w:r w:rsidR="00FA421D">
        <w:rPr>
          <w:rFonts w:cs="Arial"/>
        </w:rPr>
        <w:t>p</w:t>
      </w:r>
      <w:r w:rsidR="00FA421D" w:rsidRPr="00DC3631">
        <w:rPr>
          <w:rFonts w:cs="Arial"/>
        </w:rPr>
        <w:t xml:space="preserve">ayroll </w:t>
      </w:r>
      <w:r>
        <w:rPr>
          <w:rFonts w:cs="Arial"/>
        </w:rPr>
        <w:t xml:space="preserve">(25.6%) </w:t>
      </w:r>
      <w:r w:rsidRPr="00DC3631">
        <w:rPr>
          <w:rFonts w:cs="Arial"/>
        </w:rPr>
        <w:t xml:space="preserve">are of particular importance to the sector. </w:t>
      </w:r>
      <w:r>
        <w:rPr>
          <w:rFonts w:cs="Arial"/>
        </w:rPr>
        <w:t>The sector appears to be</w:t>
      </w:r>
      <w:r w:rsidR="00A413A4">
        <w:rPr>
          <w:rFonts w:cs="Arial"/>
        </w:rPr>
        <w:t xml:space="preserve"> the</w:t>
      </w:r>
      <w:r>
        <w:rPr>
          <w:rFonts w:cs="Arial"/>
        </w:rPr>
        <w:t xml:space="preserve"> most profitable</w:t>
      </w:r>
      <w:r w:rsidR="00A413A4">
        <w:rPr>
          <w:rFonts w:cs="Arial"/>
        </w:rPr>
        <w:t xml:space="preserve"> </w:t>
      </w:r>
      <w:r w:rsidR="00465757">
        <w:rPr>
          <w:rFonts w:cs="Arial"/>
        </w:rPr>
        <w:t>of the</w:t>
      </w:r>
      <w:r w:rsidR="00A413A4">
        <w:rPr>
          <w:rFonts w:cs="Arial"/>
        </w:rPr>
        <w:t xml:space="preserve"> key sectors</w:t>
      </w:r>
      <w:r>
        <w:rPr>
          <w:rFonts w:cs="Arial"/>
        </w:rPr>
        <w:t>, which</w:t>
      </w:r>
      <w:r w:rsidR="00465757">
        <w:rPr>
          <w:rFonts w:cs="Arial"/>
        </w:rPr>
        <w:t>,</w:t>
      </w:r>
      <w:r>
        <w:rPr>
          <w:rFonts w:cs="Arial"/>
        </w:rPr>
        <w:t xml:space="preserve"> </w:t>
      </w:r>
      <w:r w:rsidR="00465757">
        <w:rPr>
          <w:rFonts w:cs="Arial"/>
        </w:rPr>
        <w:t xml:space="preserve">particularly </w:t>
      </w:r>
      <w:r>
        <w:rPr>
          <w:rFonts w:cs="Arial"/>
        </w:rPr>
        <w:t>given the economic and political challenges the sector has faced</w:t>
      </w:r>
      <w:r w:rsidR="00465757">
        <w:rPr>
          <w:rFonts w:cs="Arial"/>
        </w:rPr>
        <w:t>,</w:t>
      </w:r>
      <w:r>
        <w:rPr>
          <w:rFonts w:cs="Arial"/>
        </w:rPr>
        <w:t xml:space="preserve"> </w:t>
      </w:r>
      <w:r w:rsidR="00465757">
        <w:rPr>
          <w:rFonts w:cs="Arial"/>
        </w:rPr>
        <w:t xml:space="preserve">suggests </w:t>
      </w:r>
      <w:r>
        <w:rPr>
          <w:rFonts w:cs="Arial"/>
        </w:rPr>
        <w:t>a solid foundation for future growth.</w:t>
      </w:r>
    </w:p>
    <w:p w14:paraId="3B2F4CB1" w14:textId="77777777" w:rsidR="00AA0EF3" w:rsidRDefault="00AA0EF3">
      <w:pPr>
        <w:spacing w:after="200" w:line="276" w:lineRule="auto"/>
        <w:rPr>
          <w:b/>
          <w:bCs/>
          <w:szCs w:val="18"/>
        </w:rPr>
      </w:pPr>
      <w:r>
        <w:br w:type="page"/>
      </w:r>
    </w:p>
    <w:p w14:paraId="209E0788" w14:textId="77777777" w:rsidR="00F54736" w:rsidRDefault="00F54736" w:rsidP="00C93734">
      <w:pPr>
        <w:pStyle w:val="Caption"/>
        <w:jc w:val="both"/>
      </w:pPr>
      <w:r>
        <w:t xml:space="preserve">Table </w:t>
      </w:r>
      <w:fldSimple w:instr=" STYLEREF 1 \s  \* MERGEFORMAT ">
        <w:r w:rsidR="00E95E1A">
          <w:rPr>
            <w:noProof/>
          </w:rPr>
          <w:t>7</w:t>
        </w:r>
      </w:fldSimple>
      <w:r>
        <w:t>-</w:t>
      </w:r>
      <w:fldSimple w:instr=" SEQ Table \* ARABIC \s 1  \* MERGEFORMAT ">
        <w:r w:rsidR="00E95E1A">
          <w:rPr>
            <w:noProof/>
          </w:rPr>
          <w:t>4</w:t>
        </w:r>
      </w:fldSimple>
      <w:r>
        <w:tab/>
        <w:t xml:space="preserve">Breakdown of Annual Turnover </w:t>
      </w:r>
    </w:p>
    <w:tbl>
      <w:tblPr>
        <w:tblStyle w:val="Atkins14pt"/>
        <w:tblW w:w="3402" w:type="dxa"/>
        <w:tblLayout w:type="fixed"/>
        <w:tblLook w:val="04A0" w:firstRow="1" w:lastRow="0" w:firstColumn="1" w:lastColumn="0" w:noHBand="0" w:noVBand="1"/>
      </w:tblPr>
      <w:tblGrid>
        <w:gridCol w:w="1843"/>
        <w:gridCol w:w="1559"/>
      </w:tblGrid>
      <w:tr w:rsidR="00F54736" w:rsidRPr="00DC3863" w14:paraId="5D3AE71F" w14:textId="77777777" w:rsidTr="00F5473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843" w:type="dxa"/>
            <w:noWrap/>
            <w:hideMark/>
          </w:tcPr>
          <w:p w14:paraId="6993AF17" w14:textId="77777777" w:rsidR="00F54736" w:rsidRPr="00DC3863" w:rsidRDefault="00F54736" w:rsidP="00C93734">
            <w:pPr>
              <w:pStyle w:val="TableHeading"/>
              <w:jc w:val="both"/>
              <w:rPr>
                <w:color w:val="394A58"/>
              </w:rPr>
            </w:pPr>
          </w:p>
        </w:tc>
        <w:tc>
          <w:tcPr>
            <w:tcW w:w="1559" w:type="dxa"/>
            <w:noWrap/>
            <w:hideMark/>
          </w:tcPr>
          <w:p w14:paraId="61B0F885" w14:textId="77777777" w:rsidR="00F54736" w:rsidRPr="00DC3863" w:rsidRDefault="00F54736" w:rsidP="00C93734">
            <w:pPr>
              <w:pStyle w:val="TableHeading"/>
              <w:jc w:val="both"/>
              <w:cnfStyle w:val="100000000000" w:firstRow="1" w:lastRow="0" w:firstColumn="0" w:lastColumn="0" w:oddVBand="0" w:evenVBand="0" w:oddHBand="0" w:evenHBand="0" w:firstRowFirstColumn="0" w:firstRowLastColumn="0" w:lastRowFirstColumn="0" w:lastRowLastColumn="0"/>
              <w:rPr>
                <w:color w:val="auto"/>
              </w:rPr>
            </w:pPr>
            <w:r w:rsidRPr="00DC3863">
              <w:rPr>
                <w:color w:val="auto"/>
              </w:rPr>
              <w:t>Renewables</w:t>
            </w:r>
          </w:p>
        </w:tc>
      </w:tr>
      <w:tr w:rsidR="00F54736" w:rsidRPr="00DC3863" w14:paraId="7B23FF3C"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7C1842D" w14:textId="77777777" w:rsidR="00F54736" w:rsidRPr="00DC3863" w:rsidRDefault="00F54736" w:rsidP="00C93734">
            <w:pPr>
              <w:pStyle w:val="TableHeading"/>
              <w:ind w:right="202"/>
              <w:jc w:val="both"/>
              <w:rPr>
                <w:b w:val="0"/>
                <w:color w:val="auto"/>
              </w:rPr>
            </w:pPr>
            <w:r w:rsidRPr="00DC3863">
              <w:rPr>
                <w:b w:val="0"/>
                <w:color w:val="auto"/>
              </w:rPr>
              <w:t>Total Purchases</w:t>
            </w:r>
          </w:p>
        </w:tc>
        <w:tc>
          <w:tcPr>
            <w:tcW w:w="1559" w:type="dxa"/>
            <w:noWrap/>
            <w:hideMark/>
          </w:tcPr>
          <w:p w14:paraId="15F88C1D" w14:textId="77777777" w:rsidR="00F54736" w:rsidRPr="00DC3863" w:rsidRDefault="00F54736"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35.5%</w:t>
            </w:r>
          </w:p>
        </w:tc>
      </w:tr>
      <w:tr w:rsidR="00F54736" w:rsidRPr="00DC3863" w14:paraId="28053A85"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F03A4AC" w14:textId="77777777" w:rsidR="00F54736" w:rsidRPr="00DC3863" w:rsidRDefault="00F54736" w:rsidP="00C93734">
            <w:pPr>
              <w:pStyle w:val="TableHeading"/>
              <w:ind w:right="202"/>
              <w:jc w:val="both"/>
              <w:rPr>
                <w:b w:val="0"/>
                <w:color w:val="auto"/>
              </w:rPr>
            </w:pPr>
            <w:r w:rsidRPr="00DC3863">
              <w:rPr>
                <w:b w:val="0"/>
                <w:color w:val="auto"/>
              </w:rPr>
              <w:t>Payroll</w:t>
            </w:r>
          </w:p>
        </w:tc>
        <w:tc>
          <w:tcPr>
            <w:tcW w:w="1559" w:type="dxa"/>
            <w:noWrap/>
            <w:hideMark/>
          </w:tcPr>
          <w:p w14:paraId="39D12856" w14:textId="77777777" w:rsidR="00F54736" w:rsidRPr="00DC3863" w:rsidRDefault="00F54736"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25.6%</w:t>
            </w:r>
          </w:p>
        </w:tc>
      </w:tr>
      <w:tr w:rsidR="00F54736" w:rsidRPr="00DC3863" w14:paraId="5786D06B"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BA2BA89" w14:textId="77777777" w:rsidR="00F54736" w:rsidRPr="00DC3863" w:rsidRDefault="00F54736" w:rsidP="00C93734">
            <w:pPr>
              <w:pStyle w:val="TableHeading"/>
              <w:ind w:right="202"/>
              <w:jc w:val="both"/>
              <w:rPr>
                <w:b w:val="0"/>
                <w:color w:val="auto"/>
              </w:rPr>
            </w:pPr>
            <w:r w:rsidRPr="00DC3863">
              <w:rPr>
                <w:b w:val="0"/>
                <w:color w:val="auto"/>
              </w:rPr>
              <w:t>Land property</w:t>
            </w:r>
          </w:p>
        </w:tc>
        <w:tc>
          <w:tcPr>
            <w:tcW w:w="1559" w:type="dxa"/>
            <w:noWrap/>
            <w:hideMark/>
          </w:tcPr>
          <w:p w14:paraId="5CDAF8C7" w14:textId="77777777" w:rsidR="00F54736" w:rsidRPr="00DC3863" w:rsidRDefault="00F54736"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7.6%</w:t>
            </w:r>
          </w:p>
        </w:tc>
      </w:tr>
      <w:tr w:rsidR="00F54736" w:rsidRPr="00DC3863" w14:paraId="31F30185"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9F688D0" w14:textId="77777777" w:rsidR="00F54736" w:rsidRPr="00DC3863" w:rsidRDefault="00F54736" w:rsidP="00C93734">
            <w:pPr>
              <w:pStyle w:val="TableHeading"/>
              <w:ind w:right="202"/>
              <w:jc w:val="both"/>
              <w:rPr>
                <w:b w:val="0"/>
                <w:color w:val="auto"/>
              </w:rPr>
            </w:pPr>
            <w:r w:rsidRPr="00DC3863">
              <w:rPr>
                <w:b w:val="0"/>
                <w:color w:val="auto"/>
              </w:rPr>
              <w:t>Gross Profit</w:t>
            </w:r>
          </w:p>
        </w:tc>
        <w:tc>
          <w:tcPr>
            <w:tcW w:w="1559" w:type="dxa"/>
            <w:noWrap/>
            <w:hideMark/>
          </w:tcPr>
          <w:p w14:paraId="31EB7BA4" w14:textId="77777777" w:rsidR="00F54736" w:rsidRPr="00DC3863" w:rsidRDefault="00F54736"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31.5%</w:t>
            </w:r>
          </w:p>
        </w:tc>
      </w:tr>
    </w:tbl>
    <w:p w14:paraId="528E14F8" w14:textId="77777777" w:rsidR="00F54736" w:rsidRPr="002805F3" w:rsidRDefault="00F54736" w:rsidP="00C93734">
      <w:pPr>
        <w:pStyle w:val="TableSource"/>
        <w:jc w:val="both"/>
      </w:pPr>
      <w:r w:rsidRPr="002805F3">
        <w:t>Source: Hill Taylor and Atkins 2013. Atkins Ref: Survey –A14</w:t>
      </w:r>
    </w:p>
    <w:p w14:paraId="2FC75D24" w14:textId="77777777" w:rsidR="00F54736" w:rsidRDefault="00A413A4" w:rsidP="00C93734">
      <w:pPr>
        <w:jc w:val="both"/>
        <w:rPr>
          <w:rFonts w:cs="Arial"/>
        </w:rPr>
      </w:pPr>
      <w:r>
        <w:rPr>
          <w:rFonts w:cs="Arial"/>
        </w:rPr>
        <w:t>Key supply chain activities</w:t>
      </w:r>
      <w:r w:rsidR="00F54736">
        <w:rPr>
          <w:rFonts w:cs="Arial"/>
        </w:rPr>
        <w:t xml:space="preserve"> include </w:t>
      </w:r>
      <w:r>
        <w:rPr>
          <w:rFonts w:cs="Arial"/>
        </w:rPr>
        <w:t>e</w:t>
      </w:r>
      <w:r w:rsidR="00F54736" w:rsidRPr="00DC3631">
        <w:rPr>
          <w:rFonts w:cs="Arial"/>
        </w:rPr>
        <w:t>nergy &amp; utilities</w:t>
      </w:r>
      <w:r w:rsidR="00F54736">
        <w:rPr>
          <w:rFonts w:cs="Arial"/>
        </w:rPr>
        <w:t xml:space="preserve"> (17.3%), </w:t>
      </w:r>
      <w:r>
        <w:rPr>
          <w:rFonts w:cs="Arial"/>
        </w:rPr>
        <w:t>m</w:t>
      </w:r>
      <w:r w:rsidR="00F54736" w:rsidRPr="00DC3631">
        <w:rPr>
          <w:rFonts w:cs="Arial"/>
        </w:rPr>
        <w:t>anufactured components &amp; products</w:t>
      </w:r>
      <w:r w:rsidR="00F54736">
        <w:rPr>
          <w:rFonts w:cs="Arial"/>
        </w:rPr>
        <w:t xml:space="preserve"> (14.3%) and </w:t>
      </w:r>
      <w:r>
        <w:rPr>
          <w:rFonts w:cs="Arial"/>
        </w:rPr>
        <w:t>f</w:t>
      </w:r>
      <w:r w:rsidR="00F54736" w:rsidRPr="00DC3631">
        <w:rPr>
          <w:rFonts w:cs="Arial"/>
        </w:rPr>
        <w:t>inancial &amp; insurance services</w:t>
      </w:r>
      <w:r w:rsidR="00F54736">
        <w:rPr>
          <w:rFonts w:cs="Arial"/>
        </w:rPr>
        <w:t xml:space="preserve"> (17.3%). This demonstrates the divers</w:t>
      </w:r>
      <w:r w:rsidR="00465757">
        <w:rPr>
          <w:rFonts w:cs="Arial"/>
        </w:rPr>
        <w:t>e range of</w:t>
      </w:r>
      <w:r w:rsidR="00F54736">
        <w:rPr>
          <w:rFonts w:cs="Arial"/>
        </w:rPr>
        <w:t xml:space="preserve"> </w:t>
      </w:r>
      <w:r>
        <w:rPr>
          <w:rFonts w:cs="Arial"/>
        </w:rPr>
        <w:t>linkages between the sector and its</w:t>
      </w:r>
      <w:r w:rsidR="00F54736">
        <w:rPr>
          <w:rFonts w:cs="Arial"/>
        </w:rPr>
        <w:t xml:space="preserve"> supply chain. </w:t>
      </w:r>
    </w:p>
    <w:p w14:paraId="0E4CE8E6" w14:textId="77777777" w:rsidR="006F6ACC" w:rsidRPr="00EE2268" w:rsidRDefault="006F6ACC" w:rsidP="00C93734">
      <w:pPr>
        <w:pStyle w:val="Caption"/>
        <w:jc w:val="both"/>
      </w:pPr>
      <w:r w:rsidRPr="00EE2268">
        <w:t xml:space="preserve">Table </w:t>
      </w:r>
      <w:fldSimple w:instr=" STYLEREF 1 \s  \* MERGEFORMAT ">
        <w:r w:rsidR="00E95E1A">
          <w:rPr>
            <w:noProof/>
          </w:rPr>
          <w:t>7</w:t>
        </w:r>
      </w:fldSimple>
      <w:r w:rsidRPr="00EE2268">
        <w:t>-</w:t>
      </w:r>
      <w:fldSimple w:instr=" SEQ Table \* ARABIC \s 1  \* MERGEFORMAT ">
        <w:r w:rsidR="00E95E1A">
          <w:rPr>
            <w:noProof/>
          </w:rPr>
          <w:t>5</w:t>
        </w:r>
      </w:fldSimple>
      <w:r w:rsidRPr="00EE2268">
        <w:tab/>
        <w:t>Type</w:t>
      </w:r>
      <w:r w:rsidR="002A4A83">
        <w:t>s of Goods &amp; Services Purchased</w:t>
      </w:r>
    </w:p>
    <w:tbl>
      <w:tblPr>
        <w:tblW w:w="6317" w:type="dxa"/>
        <w:tblInd w:w="93" w:type="dxa"/>
        <w:tblLook w:val="04A0" w:firstRow="1" w:lastRow="0" w:firstColumn="1" w:lastColumn="0" w:noHBand="0" w:noVBand="1"/>
      </w:tblPr>
      <w:tblGrid>
        <w:gridCol w:w="4944"/>
        <w:gridCol w:w="1373"/>
      </w:tblGrid>
      <w:tr w:rsidR="006F6ACC" w:rsidRPr="00EE2268" w14:paraId="01254740" w14:textId="77777777" w:rsidTr="006F6ACC">
        <w:trPr>
          <w:trHeight w:val="270"/>
        </w:trPr>
        <w:tc>
          <w:tcPr>
            <w:tcW w:w="4944" w:type="dxa"/>
            <w:tcBorders>
              <w:top w:val="single" w:sz="8" w:space="0" w:color="000000"/>
              <w:left w:val="single" w:sz="8" w:space="0" w:color="000000"/>
              <w:bottom w:val="single" w:sz="8" w:space="0" w:color="auto"/>
              <w:right w:val="single" w:sz="8" w:space="0" w:color="000000"/>
            </w:tcBorders>
            <w:shd w:val="clear" w:color="000000" w:fill="F0EEEB"/>
            <w:noWrap/>
            <w:hideMark/>
          </w:tcPr>
          <w:p w14:paraId="378F8996" w14:textId="77777777" w:rsidR="006F6ACC" w:rsidRPr="00EE2268" w:rsidRDefault="006F6ACC" w:rsidP="00C93734">
            <w:pPr>
              <w:spacing w:after="0"/>
              <w:jc w:val="both"/>
              <w:rPr>
                <w:rFonts w:eastAsia="Times New Roman" w:cs="Arial"/>
                <w:b/>
                <w:bCs/>
                <w:color w:val="000000"/>
                <w:szCs w:val="20"/>
                <w:lang w:eastAsia="en-GB"/>
              </w:rPr>
            </w:pPr>
            <w:r w:rsidRPr="00EE2268">
              <w:rPr>
                <w:rFonts w:eastAsia="Times New Roman" w:cs="Arial"/>
                <w:b/>
                <w:bCs/>
                <w:color w:val="000000"/>
                <w:szCs w:val="20"/>
                <w:lang w:eastAsia="en-GB"/>
              </w:rPr>
              <w:t>Supply Chain Element</w:t>
            </w:r>
          </w:p>
        </w:tc>
        <w:tc>
          <w:tcPr>
            <w:tcW w:w="1373" w:type="dxa"/>
            <w:tcBorders>
              <w:top w:val="single" w:sz="8" w:space="0" w:color="000000"/>
              <w:left w:val="nil"/>
              <w:bottom w:val="single" w:sz="8" w:space="0" w:color="auto"/>
              <w:right w:val="single" w:sz="8" w:space="0" w:color="000000"/>
            </w:tcBorders>
            <w:shd w:val="clear" w:color="000000" w:fill="F0EEEB"/>
            <w:noWrap/>
            <w:hideMark/>
          </w:tcPr>
          <w:p w14:paraId="189E04A7" w14:textId="77777777" w:rsidR="006F6ACC" w:rsidRPr="00EE2268" w:rsidRDefault="006F6ACC" w:rsidP="00C93734">
            <w:pPr>
              <w:spacing w:after="0"/>
              <w:jc w:val="both"/>
              <w:rPr>
                <w:rFonts w:eastAsia="Times New Roman" w:cs="Arial"/>
                <w:b/>
                <w:bCs/>
                <w:color w:val="000000"/>
                <w:szCs w:val="20"/>
                <w:lang w:eastAsia="en-GB"/>
              </w:rPr>
            </w:pPr>
            <w:r w:rsidRPr="00EE2268">
              <w:rPr>
                <w:rFonts w:eastAsia="Times New Roman" w:cs="Arial"/>
                <w:b/>
                <w:bCs/>
                <w:color w:val="000000"/>
                <w:szCs w:val="20"/>
                <w:lang w:eastAsia="en-GB"/>
              </w:rPr>
              <w:t>Renewables</w:t>
            </w:r>
          </w:p>
        </w:tc>
      </w:tr>
      <w:tr w:rsidR="006F6ACC" w:rsidRPr="00EE2268" w14:paraId="7D5009BF" w14:textId="77777777" w:rsidTr="006F6AC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0E2B07CB" w14:textId="77777777" w:rsidR="006F6ACC" w:rsidRPr="00EE2268" w:rsidRDefault="006F6ACC" w:rsidP="00C93734">
            <w:pPr>
              <w:spacing w:after="0"/>
              <w:jc w:val="both"/>
              <w:rPr>
                <w:rFonts w:eastAsia="Times New Roman" w:cs="Arial"/>
                <w:color w:val="000000"/>
                <w:szCs w:val="20"/>
                <w:lang w:eastAsia="en-GB"/>
              </w:rPr>
            </w:pPr>
            <w:r w:rsidRPr="00EE2268">
              <w:rPr>
                <w:rFonts w:eastAsia="Times New Roman" w:cs="Arial"/>
                <w:color w:val="000000"/>
                <w:szCs w:val="20"/>
                <w:lang w:eastAsia="en-GB"/>
              </w:rPr>
              <w:t>Energy &amp; utilities</w:t>
            </w:r>
          </w:p>
        </w:tc>
        <w:tc>
          <w:tcPr>
            <w:tcW w:w="1373" w:type="dxa"/>
            <w:tcBorders>
              <w:top w:val="nil"/>
              <w:left w:val="nil"/>
              <w:bottom w:val="single" w:sz="8" w:space="0" w:color="000000"/>
              <w:right w:val="single" w:sz="8" w:space="0" w:color="000000"/>
            </w:tcBorders>
            <w:shd w:val="clear" w:color="auto" w:fill="auto"/>
            <w:noWrap/>
            <w:hideMark/>
          </w:tcPr>
          <w:p w14:paraId="23D6AA4D" w14:textId="77777777" w:rsidR="006F6ACC" w:rsidRPr="00EE2268" w:rsidRDefault="006F6ACC" w:rsidP="00C93734">
            <w:pPr>
              <w:spacing w:after="0"/>
              <w:jc w:val="both"/>
              <w:rPr>
                <w:rFonts w:eastAsia="Times New Roman" w:cs="Arial"/>
                <w:color w:val="000000"/>
                <w:szCs w:val="20"/>
                <w:lang w:eastAsia="en-GB"/>
              </w:rPr>
            </w:pPr>
            <w:r w:rsidRPr="00EE2268">
              <w:rPr>
                <w:rFonts w:eastAsia="Times New Roman" w:cs="Arial"/>
                <w:color w:val="000000"/>
                <w:szCs w:val="20"/>
                <w:lang w:eastAsia="en-GB"/>
              </w:rPr>
              <w:t>17.3%</w:t>
            </w:r>
          </w:p>
        </w:tc>
      </w:tr>
      <w:tr w:rsidR="006F6ACC" w:rsidRPr="00EE2268" w14:paraId="3D9694AA" w14:textId="77777777" w:rsidTr="006F6AC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0292EEAC" w14:textId="77777777" w:rsidR="006F6ACC" w:rsidRPr="00EE2268" w:rsidRDefault="006F6ACC" w:rsidP="00C93734">
            <w:pPr>
              <w:spacing w:after="0"/>
              <w:jc w:val="both"/>
              <w:rPr>
                <w:rFonts w:eastAsia="Times New Roman" w:cs="Arial"/>
                <w:color w:val="000000"/>
                <w:szCs w:val="20"/>
                <w:lang w:eastAsia="en-GB"/>
              </w:rPr>
            </w:pPr>
            <w:r w:rsidRPr="00EE2268">
              <w:rPr>
                <w:rFonts w:eastAsia="Times New Roman" w:cs="Arial"/>
                <w:color w:val="000000"/>
                <w:szCs w:val="20"/>
                <w:lang w:eastAsia="en-GB"/>
              </w:rPr>
              <w:t>Financial &amp; insurance services</w:t>
            </w:r>
          </w:p>
        </w:tc>
        <w:tc>
          <w:tcPr>
            <w:tcW w:w="1373" w:type="dxa"/>
            <w:tcBorders>
              <w:top w:val="nil"/>
              <w:left w:val="nil"/>
              <w:bottom w:val="single" w:sz="8" w:space="0" w:color="000000"/>
              <w:right w:val="single" w:sz="8" w:space="0" w:color="000000"/>
            </w:tcBorders>
            <w:shd w:val="clear" w:color="auto" w:fill="auto"/>
            <w:noWrap/>
            <w:hideMark/>
          </w:tcPr>
          <w:p w14:paraId="59DAE52B" w14:textId="77777777" w:rsidR="006F6ACC" w:rsidRPr="00EE2268" w:rsidRDefault="006F6ACC" w:rsidP="00C93734">
            <w:pPr>
              <w:spacing w:after="0"/>
              <w:jc w:val="both"/>
              <w:rPr>
                <w:rFonts w:eastAsia="Times New Roman" w:cs="Arial"/>
                <w:color w:val="000000"/>
                <w:szCs w:val="20"/>
                <w:lang w:eastAsia="en-GB"/>
              </w:rPr>
            </w:pPr>
            <w:r w:rsidRPr="00EE2268">
              <w:rPr>
                <w:rFonts w:eastAsia="Times New Roman" w:cs="Arial"/>
                <w:color w:val="000000"/>
                <w:szCs w:val="20"/>
                <w:lang w:eastAsia="en-GB"/>
              </w:rPr>
              <w:t>17.3%</w:t>
            </w:r>
          </w:p>
        </w:tc>
      </w:tr>
      <w:tr w:rsidR="006F6ACC" w:rsidRPr="00EE2268" w14:paraId="205607D6" w14:textId="77777777" w:rsidTr="006F6AC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54D219C5" w14:textId="77777777" w:rsidR="006F6ACC" w:rsidRPr="00EE2268" w:rsidRDefault="006F6ACC" w:rsidP="00C93734">
            <w:pPr>
              <w:spacing w:after="0"/>
              <w:jc w:val="both"/>
              <w:rPr>
                <w:rFonts w:eastAsia="Times New Roman" w:cs="Arial"/>
                <w:color w:val="000000"/>
                <w:szCs w:val="20"/>
                <w:lang w:eastAsia="en-GB"/>
              </w:rPr>
            </w:pPr>
            <w:r w:rsidRPr="00EE2268">
              <w:rPr>
                <w:rFonts w:eastAsia="Times New Roman" w:cs="Arial"/>
                <w:color w:val="000000"/>
                <w:szCs w:val="20"/>
                <w:lang w:eastAsia="en-GB"/>
              </w:rPr>
              <w:t>Manufactured components &amp; products</w:t>
            </w:r>
          </w:p>
        </w:tc>
        <w:tc>
          <w:tcPr>
            <w:tcW w:w="1373" w:type="dxa"/>
            <w:tcBorders>
              <w:top w:val="nil"/>
              <w:left w:val="nil"/>
              <w:bottom w:val="single" w:sz="8" w:space="0" w:color="000000"/>
              <w:right w:val="single" w:sz="8" w:space="0" w:color="000000"/>
            </w:tcBorders>
            <w:shd w:val="clear" w:color="auto" w:fill="auto"/>
            <w:noWrap/>
            <w:hideMark/>
          </w:tcPr>
          <w:p w14:paraId="1B337682" w14:textId="77777777" w:rsidR="006F6ACC" w:rsidRPr="00EE2268" w:rsidRDefault="006F6ACC" w:rsidP="00C93734">
            <w:pPr>
              <w:spacing w:after="0"/>
              <w:jc w:val="both"/>
              <w:rPr>
                <w:rFonts w:eastAsia="Times New Roman" w:cs="Arial"/>
                <w:color w:val="000000"/>
                <w:szCs w:val="20"/>
                <w:lang w:eastAsia="en-GB"/>
              </w:rPr>
            </w:pPr>
            <w:r w:rsidRPr="00EE2268">
              <w:rPr>
                <w:rFonts w:eastAsia="Times New Roman" w:cs="Arial"/>
                <w:color w:val="000000"/>
                <w:szCs w:val="20"/>
                <w:lang w:eastAsia="en-GB"/>
              </w:rPr>
              <w:t>14.3%</w:t>
            </w:r>
          </w:p>
        </w:tc>
      </w:tr>
      <w:tr w:rsidR="006F6ACC" w:rsidRPr="00EE2268" w14:paraId="43C3BDF0" w14:textId="77777777" w:rsidTr="006F6AC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1F774F79" w14:textId="77777777" w:rsidR="006F6ACC" w:rsidRPr="00EE2268" w:rsidRDefault="006F6ACC" w:rsidP="00C93734">
            <w:pPr>
              <w:spacing w:after="0"/>
              <w:jc w:val="both"/>
              <w:rPr>
                <w:rFonts w:eastAsia="Times New Roman" w:cs="Arial"/>
                <w:color w:val="000000"/>
                <w:szCs w:val="20"/>
                <w:lang w:eastAsia="en-GB"/>
              </w:rPr>
            </w:pPr>
            <w:r w:rsidRPr="00EE2268">
              <w:rPr>
                <w:rFonts w:eastAsia="Times New Roman" w:cs="Arial"/>
                <w:color w:val="000000"/>
                <w:szCs w:val="20"/>
                <w:lang w:eastAsia="en-GB"/>
              </w:rPr>
              <w:t>Business or professional services;</w:t>
            </w:r>
          </w:p>
        </w:tc>
        <w:tc>
          <w:tcPr>
            <w:tcW w:w="1373" w:type="dxa"/>
            <w:tcBorders>
              <w:top w:val="nil"/>
              <w:left w:val="nil"/>
              <w:bottom w:val="single" w:sz="8" w:space="0" w:color="000000"/>
              <w:right w:val="single" w:sz="8" w:space="0" w:color="000000"/>
            </w:tcBorders>
            <w:shd w:val="clear" w:color="auto" w:fill="auto"/>
            <w:noWrap/>
            <w:hideMark/>
          </w:tcPr>
          <w:p w14:paraId="3F30874F" w14:textId="77777777" w:rsidR="006F6ACC" w:rsidRPr="00EE2268" w:rsidRDefault="006F6ACC" w:rsidP="00C93734">
            <w:pPr>
              <w:spacing w:after="0"/>
              <w:jc w:val="both"/>
              <w:rPr>
                <w:rFonts w:eastAsia="Times New Roman" w:cs="Arial"/>
                <w:color w:val="000000"/>
                <w:szCs w:val="20"/>
                <w:lang w:eastAsia="en-GB"/>
              </w:rPr>
            </w:pPr>
            <w:r w:rsidRPr="00EE2268">
              <w:rPr>
                <w:rFonts w:eastAsia="Times New Roman" w:cs="Arial"/>
                <w:color w:val="000000"/>
                <w:szCs w:val="20"/>
                <w:lang w:eastAsia="en-GB"/>
              </w:rPr>
              <w:t>9.2%</w:t>
            </w:r>
          </w:p>
        </w:tc>
      </w:tr>
      <w:tr w:rsidR="006F6ACC" w:rsidRPr="00EE2268" w14:paraId="07CBBBCA" w14:textId="77777777" w:rsidTr="006F6AC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475A6AAB" w14:textId="77777777" w:rsidR="006F6ACC" w:rsidRPr="00EE2268" w:rsidRDefault="006F6ACC" w:rsidP="00C93734">
            <w:pPr>
              <w:spacing w:after="0"/>
              <w:jc w:val="both"/>
              <w:rPr>
                <w:rFonts w:eastAsia="Times New Roman" w:cs="Arial"/>
                <w:color w:val="000000"/>
                <w:szCs w:val="20"/>
                <w:lang w:eastAsia="en-GB"/>
              </w:rPr>
            </w:pPr>
            <w:r w:rsidRPr="00EE2268">
              <w:rPr>
                <w:rFonts w:eastAsia="Times New Roman" w:cs="Arial"/>
                <w:color w:val="000000"/>
                <w:szCs w:val="20"/>
                <w:lang w:eastAsia="en-GB"/>
              </w:rPr>
              <w:t>Wholesale retail goods</w:t>
            </w:r>
          </w:p>
        </w:tc>
        <w:tc>
          <w:tcPr>
            <w:tcW w:w="1373" w:type="dxa"/>
            <w:tcBorders>
              <w:top w:val="nil"/>
              <w:left w:val="nil"/>
              <w:bottom w:val="single" w:sz="8" w:space="0" w:color="000000"/>
              <w:right w:val="single" w:sz="8" w:space="0" w:color="000000"/>
            </w:tcBorders>
            <w:shd w:val="clear" w:color="auto" w:fill="auto"/>
            <w:noWrap/>
            <w:hideMark/>
          </w:tcPr>
          <w:p w14:paraId="72BAEAB9" w14:textId="77777777" w:rsidR="006F6ACC" w:rsidRPr="00EE2268" w:rsidRDefault="006F6ACC" w:rsidP="00C93734">
            <w:pPr>
              <w:spacing w:after="0"/>
              <w:jc w:val="both"/>
              <w:rPr>
                <w:rFonts w:eastAsia="Times New Roman" w:cs="Arial"/>
                <w:color w:val="000000"/>
                <w:szCs w:val="20"/>
                <w:lang w:eastAsia="en-GB"/>
              </w:rPr>
            </w:pPr>
            <w:r w:rsidRPr="00EE2268">
              <w:rPr>
                <w:rFonts w:eastAsia="Times New Roman" w:cs="Arial"/>
                <w:color w:val="000000"/>
                <w:szCs w:val="20"/>
                <w:lang w:eastAsia="en-GB"/>
              </w:rPr>
              <w:t>8.2%</w:t>
            </w:r>
          </w:p>
        </w:tc>
      </w:tr>
      <w:tr w:rsidR="006F6ACC" w:rsidRPr="00EE2268" w14:paraId="1B9A7DAB" w14:textId="77777777" w:rsidTr="006F6AC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2DEFDC2C" w14:textId="77777777" w:rsidR="006F6ACC" w:rsidRPr="00EE2268" w:rsidRDefault="006F6ACC" w:rsidP="00C93734">
            <w:pPr>
              <w:spacing w:after="0"/>
              <w:jc w:val="both"/>
              <w:rPr>
                <w:rFonts w:eastAsia="Times New Roman" w:cs="Arial"/>
                <w:color w:val="000000"/>
                <w:szCs w:val="20"/>
                <w:lang w:eastAsia="en-GB"/>
              </w:rPr>
            </w:pPr>
            <w:r w:rsidRPr="00EE2268">
              <w:rPr>
                <w:rFonts w:eastAsia="Times New Roman" w:cs="Arial"/>
                <w:color w:val="000000"/>
                <w:szCs w:val="20"/>
                <w:lang w:eastAsia="en-GB"/>
              </w:rPr>
              <w:t>Education &amp; research</w:t>
            </w:r>
          </w:p>
        </w:tc>
        <w:tc>
          <w:tcPr>
            <w:tcW w:w="1373" w:type="dxa"/>
            <w:tcBorders>
              <w:top w:val="nil"/>
              <w:left w:val="nil"/>
              <w:bottom w:val="single" w:sz="8" w:space="0" w:color="000000"/>
              <w:right w:val="single" w:sz="8" w:space="0" w:color="000000"/>
            </w:tcBorders>
            <w:shd w:val="clear" w:color="auto" w:fill="auto"/>
            <w:noWrap/>
            <w:hideMark/>
          </w:tcPr>
          <w:p w14:paraId="65DE48C4" w14:textId="77777777" w:rsidR="006F6ACC" w:rsidRPr="00EE2268" w:rsidRDefault="006F6ACC" w:rsidP="00C93734">
            <w:pPr>
              <w:spacing w:after="0"/>
              <w:jc w:val="both"/>
              <w:rPr>
                <w:rFonts w:eastAsia="Times New Roman" w:cs="Arial"/>
                <w:color w:val="000000"/>
                <w:szCs w:val="20"/>
                <w:lang w:eastAsia="en-GB"/>
              </w:rPr>
            </w:pPr>
            <w:r w:rsidRPr="00EE2268">
              <w:rPr>
                <w:rFonts w:eastAsia="Times New Roman" w:cs="Arial"/>
                <w:color w:val="000000"/>
                <w:szCs w:val="20"/>
                <w:lang w:eastAsia="en-GB"/>
              </w:rPr>
              <w:t>6.1%</w:t>
            </w:r>
          </w:p>
        </w:tc>
      </w:tr>
      <w:tr w:rsidR="006F6ACC" w:rsidRPr="00EE2268" w14:paraId="67F26645" w14:textId="77777777" w:rsidTr="006F6AC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10D3C345" w14:textId="77777777" w:rsidR="006F6ACC" w:rsidRPr="00EE2268" w:rsidRDefault="006F6ACC" w:rsidP="00C93734">
            <w:pPr>
              <w:spacing w:after="0"/>
              <w:jc w:val="both"/>
              <w:rPr>
                <w:rFonts w:eastAsia="Times New Roman" w:cs="Arial"/>
                <w:color w:val="000000"/>
                <w:szCs w:val="20"/>
                <w:lang w:eastAsia="en-GB"/>
              </w:rPr>
            </w:pPr>
            <w:r w:rsidRPr="00EE2268">
              <w:rPr>
                <w:rFonts w:eastAsia="Times New Roman" w:cs="Arial"/>
                <w:color w:val="000000"/>
                <w:szCs w:val="20"/>
                <w:lang w:eastAsia="en-GB"/>
              </w:rPr>
              <w:t>Construction services</w:t>
            </w:r>
          </w:p>
        </w:tc>
        <w:tc>
          <w:tcPr>
            <w:tcW w:w="1373" w:type="dxa"/>
            <w:tcBorders>
              <w:top w:val="nil"/>
              <w:left w:val="nil"/>
              <w:bottom w:val="single" w:sz="8" w:space="0" w:color="000000"/>
              <w:right w:val="single" w:sz="8" w:space="0" w:color="000000"/>
            </w:tcBorders>
            <w:shd w:val="clear" w:color="auto" w:fill="auto"/>
            <w:noWrap/>
            <w:hideMark/>
          </w:tcPr>
          <w:p w14:paraId="26F6DFBF" w14:textId="77777777" w:rsidR="006F6ACC" w:rsidRPr="00EE2268" w:rsidRDefault="006F6ACC" w:rsidP="00C93734">
            <w:pPr>
              <w:spacing w:after="0"/>
              <w:jc w:val="both"/>
              <w:rPr>
                <w:rFonts w:eastAsia="Times New Roman" w:cs="Arial"/>
                <w:color w:val="000000"/>
                <w:szCs w:val="20"/>
                <w:lang w:eastAsia="en-GB"/>
              </w:rPr>
            </w:pPr>
            <w:r w:rsidRPr="00EE2268">
              <w:rPr>
                <w:rFonts w:eastAsia="Times New Roman" w:cs="Arial"/>
                <w:color w:val="000000"/>
                <w:szCs w:val="20"/>
                <w:lang w:eastAsia="en-GB"/>
              </w:rPr>
              <w:t>6.1%</w:t>
            </w:r>
          </w:p>
        </w:tc>
      </w:tr>
      <w:tr w:rsidR="006F6ACC" w:rsidRPr="00EE2268" w14:paraId="246D2D53" w14:textId="77777777" w:rsidTr="006F6AC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594A54A2" w14:textId="77777777" w:rsidR="006F6ACC" w:rsidRPr="00EE2268" w:rsidRDefault="006F6ACC" w:rsidP="00C93734">
            <w:pPr>
              <w:spacing w:after="0"/>
              <w:jc w:val="both"/>
              <w:rPr>
                <w:rFonts w:eastAsia="Times New Roman" w:cs="Arial"/>
                <w:color w:val="000000"/>
                <w:szCs w:val="20"/>
                <w:lang w:eastAsia="en-GB"/>
              </w:rPr>
            </w:pPr>
            <w:r w:rsidRPr="00EE2268">
              <w:rPr>
                <w:rFonts w:eastAsia="Times New Roman" w:cs="Arial"/>
                <w:color w:val="000000"/>
                <w:szCs w:val="20"/>
                <w:lang w:eastAsia="en-GB"/>
              </w:rPr>
              <w:t>Logistics, freight service, storage &amp; distribution services</w:t>
            </w:r>
          </w:p>
        </w:tc>
        <w:tc>
          <w:tcPr>
            <w:tcW w:w="1373" w:type="dxa"/>
            <w:tcBorders>
              <w:top w:val="nil"/>
              <w:left w:val="nil"/>
              <w:bottom w:val="single" w:sz="8" w:space="0" w:color="000000"/>
              <w:right w:val="single" w:sz="8" w:space="0" w:color="000000"/>
            </w:tcBorders>
            <w:shd w:val="clear" w:color="auto" w:fill="auto"/>
            <w:noWrap/>
            <w:hideMark/>
          </w:tcPr>
          <w:p w14:paraId="139DB674" w14:textId="77777777" w:rsidR="006F6ACC" w:rsidRPr="00EE2268" w:rsidRDefault="006F6ACC" w:rsidP="00C93734">
            <w:pPr>
              <w:spacing w:after="0"/>
              <w:jc w:val="both"/>
              <w:rPr>
                <w:rFonts w:eastAsia="Times New Roman" w:cs="Arial"/>
                <w:color w:val="000000"/>
                <w:szCs w:val="20"/>
                <w:lang w:eastAsia="en-GB"/>
              </w:rPr>
            </w:pPr>
            <w:r w:rsidRPr="00EE2268">
              <w:rPr>
                <w:rFonts w:eastAsia="Times New Roman" w:cs="Arial"/>
                <w:color w:val="000000"/>
                <w:szCs w:val="20"/>
                <w:lang w:eastAsia="en-GB"/>
              </w:rPr>
              <w:t>5.1%</w:t>
            </w:r>
          </w:p>
        </w:tc>
      </w:tr>
      <w:tr w:rsidR="006F6ACC" w:rsidRPr="00EE2268" w14:paraId="3AD25CA8" w14:textId="77777777" w:rsidTr="006F6AC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0B7090F0" w14:textId="77777777" w:rsidR="006F6ACC" w:rsidRPr="00EE2268" w:rsidRDefault="006F6ACC" w:rsidP="00C93734">
            <w:pPr>
              <w:spacing w:after="0"/>
              <w:jc w:val="both"/>
              <w:rPr>
                <w:rFonts w:eastAsia="Times New Roman" w:cs="Arial"/>
                <w:color w:val="000000"/>
                <w:szCs w:val="20"/>
                <w:lang w:eastAsia="en-GB"/>
              </w:rPr>
            </w:pPr>
            <w:r w:rsidRPr="00EE2268">
              <w:rPr>
                <w:rFonts w:eastAsia="Times New Roman" w:cs="Arial"/>
                <w:color w:val="000000"/>
                <w:szCs w:val="20"/>
                <w:lang w:eastAsia="en-GB"/>
              </w:rPr>
              <w:t>Other transport services</w:t>
            </w:r>
          </w:p>
        </w:tc>
        <w:tc>
          <w:tcPr>
            <w:tcW w:w="1373" w:type="dxa"/>
            <w:tcBorders>
              <w:top w:val="nil"/>
              <w:left w:val="nil"/>
              <w:bottom w:val="single" w:sz="8" w:space="0" w:color="000000"/>
              <w:right w:val="single" w:sz="8" w:space="0" w:color="000000"/>
            </w:tcBorders>
            <w:shd w:val="clear" w:color="auto" w:fill="auto"/>
            <w:noWrap/>
            <w:hideMark/>
          </w:tcPr>
          <w:p w14:paraId="7874FB1C" w14:textId="77777777" w:rsidR="006F6ACC" w:rsidRPr="00EE2268" w:rsidRDefault="006F6ACC" w:rsidP="00C93734">
            <w:pPr>
              <w:spacing w:after="0"/>
              <w:jc w:val="both"/>
              <w:rPr>
                <w:rFonts w:eastAsia="Times New Roman" w:cs="Arial"/>
                <w:color w:val="000000"/>
                <w:szCs w:val="20"/>
                <w:lang w:eastAsia="en-GB"/>
              </w:rPr>
            </w:pPr>
            <w:r w:rsidRPr="00EE2268">
              <w:rPr>
                <w:rFonts w:eastAsia="Times New Roman" w:cs="Arial"/>
                <w:color w:val="000000"/>
                <w:szCs w:val="20"/>
                <w:lang w:eastAsia="en-GB"/>
              </w:rPr>
              <w:t>5.1%</w:t>
            </w:r>
          </w:p>
        </w:tc>
      </w:tr>
    </w:tbl>
    <w:p w14:paraId="333959B2" w14:textId="77777777" w:rsidR="006F6ACC" w:rsidRPr="002805F3" w:rsidRDefault="006F6ACC" w:rsidP="00C93734">
      <w:pPr>
        <w:pStyle w:val="TableSource"/>
        <w:jc w:val="both"/>
      </w:pPr>
      <w:r w:rsidRPr="00EE2268">
        <w:t>Source: Hill Taylor and Atkins 2013. Atkins Ref: Survey –A14</w:t>
      </w:r>
    </w:p>
    <w:p w14:paraId="3A32D223" w14:textId="77777777" w:rsidR="00F54736" w:rsidRDefault="00F54736" w:rsidP="00C93734">
      <w:pPr>
        <w:jc w:val="both"/>
        <w:rPr>
          <w:rFonts w:cs="Arial"/>
        </w:rPr>
      </w:pPr>
      <w:r>
        <w:rPr>
          <w:rFonts w:cs="Arial"/>
        </w:rPr>
        <w:t xml:space="preserve">Around half of renewables customers (51.5%) and suppliers (54.3%) are from the local area which shows that this sector is </w:t>
      </w:r>
      <w:r w:rsidR="00E75DD4">
        <w:rPr>
          <w:rFonts w:cs="Arial"/>
        </w:rPr>
        <w:t>already well</w:t>
      </w:r>
      <w:r>
        <w:rPr>
          <w:rFonts w:cs="Arial"/>
        </w:rPr>
        <w:t xml:space="preserve"> embedded</w:t>
      </w:r>
      <w:r w:rsidR="00E75DD4">
        <w:rPr>
          <w:rFonts w:cs="Arial"/>
        </w:rPr>
        <w:t xml:space="preserve"> locally</w:t>
      </w:r>
      <w:r>
        <w:rPr>
          <w:rFonts w:cs="Arial"/>
        </w:rPr>
        <w:t xml:space="preserve">. </w:t>
      </w:r>
      <w:r w:rsidR="00D763A1">
        <w:rPr>
          <w:rFonts w:cs="Arial"/>
        </w:rPr>
        <w:t>This means an</w:t>
      </w:r>
      <w:r>
        <w:rPr>
          <w:rFonts w:cs="Arial"/>
        </w:rPr>
        <w:t xml:space="preserve"> </w:t>
      </w:r>
      <w:r w:rsidR="00030C7C">
        <w:rPr>
          <w:rFonts w:cs="Arial"/>
        </w:rPr>
        <w:t xml:space="preserve">unusually </w:t>
      </w:r>
      <w:r>
        <w:rPr>
          <w:rFonts w:cs="Arial"/>
        </w:rPr>
        <w:t xml:space="preserve">low proportion of businesses </w:t>
      </w:r>
      <w:r w:rsidR="00D763A1">
        <w:rPr>
          <w:rFonts w:cs="Arial"/>
        </w:rPr>
        <w:t xml:space="preserve">have </w:t>
      </w:r>
      <w:r>
        <w:rPr>
          <w:rFonts w:cs="Arial"/>
        </w:rPr>
        <w:t>customers or suppliers from outside the UK.</w:t>
      </w:r>
      <w:r w:rsidR="00465757">
        <w:rPr>
          <w:rFonts w:cs="Arial"/>
        </w:rPr>
        <w:t>, however</w:t>
      </w:r>
      <w:r>
        <w:rPr>
          <w:rFonts w:cs="Arial"/>
        </w:rPr>
        <w:t xml:space="preserve"> the variety of firms in the sector means that the customer and supplier profile is </w:t>
      </w:r>
      <w:r w:rsidR="00AA0A88">
        <w:rPr>
          <w:rFonts w:cs="Arial"/>
        </w:rPr>
        <w:t>likely to be equally varied</w:t>
      </w:r>
      <w:r w:rsidR="00030C7C">
        <w:rPr>
          <w:rFonts w:cs="Arial"/>
        </w:rPr>
        <w:t>, and therefore may not be in line with expectations</w:t>
      </w:r>
      <w:r>
        <w:rPr>
          <w:rFonts w:cs="Arial"/>
        </w:rPr>
        <w:t>.</w:t>
      </w:r>
    </w:p>
    <w:p w14:paraId="4AB465B3" w14:textId="77777777" w:rsidR="00F54736" w:rsidRDefault="00F54736" w:rsidP="00C93734">
      <w:pPr>
        <w:pStyle w:val="Caption"/>
        <w:jc w:val="both"/>
      </w:pPr>
      <w:r>
        <w:t xml:space="preserve">Table </w:t>
      </w:r>
      <w:fldSimple w:instr=" STYLEREF 1 \s  \* MERGEFORMAT ">
        <w:r w:rsidR="00E95E1A">
          <w:rPr>
            <w:noProof/>
          </w:rPr>
          <w:t>7</w:t>
        </w:r>
      </w:fldSimple>
      <w:r>
        <w:t>-</w:t>
      </w:r>
      <w:fldSimple w:instr=" SEQ Table \* ARABIC \s 1  \* MERGEFORMAT ">
        <w:r w:rsidR="00E95E1A">
          <w:rPr>
            <w:noProof/>
          </w:rPr>
          <w:t>6</w:t>
        </w:r>
      </w:fldSimple>
      <w:r>
        <w:tab/>
        <w:t xml:space="preserve">Location of Suppliers &amp; Clients </w:t>
      </w:r>
    </w:p>
    <w:tbl>
      <w:tblPr>
        <w:tblStyle w:val="Atkins14pt"/>
        <w:tblW w:w="3763" w:type="dxa"/>
        <w:tblLook w:val="04A0" w:firstRow="1" w:lastRow="0" w:firstColumn="1" w:lastColumn="0" w:noHBand="0" w:noVBand="1"/>
      </w:tblPr>
      <w:tblGrid>
        <w:gridCol w:w="1970"/>
        <w:gridCol w:w="1102"/>
        <w:gridCol w:w="969"/>
      </w:tblGrid>
      <w:tr w:rsidR="00F54736" w:rsidRPr="00DC3863" w14:paraId="264140E4" w14:textId="77777777" w:rsidTr="00F5473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70" w:type="dxa"/>
            <w:vMerge w:val="restart"/>
            <w:noWrap/>
            <w:hideMark/>
          </w:tcPr>
          <w:p w14:paraId="05AE6DD4" w14:textId="77777777" w:rsidR="00F54736" w:rsidRPr="00282B77" w:rsidRDefault="00F54736" w:rsidP="00C93734">
            <w:pPr>
              <w:jc w:val="both"/>
              <w:rPr>
                <w:color w:val="000000"/>
              </w:rPr>
            </w:pPr>
          </w:p>
        </w:tc>
        <w:tc>
          <w:tcPr>
            <w:tcW w:w="1793" w:type="dxa"/>
            <w:gridSpan w:val="2"/>
            <w:noWrap/>
            <w:hideMark/>
          </w:tcPr>
          <w:p w14:paraId="0FB823C7" w14:textId="77777777" w:rsidR="00F54736" w:rsidRPr="00282B77" w:rsidRDefault="00F54736" w:rsidP="00C93734">
            <w:pPr>
              <w:jc w:val="both"/>
              <w:cnfStyle w:val="100000000000" w:firstRow="1" w:lastRow="0" w:firstColumn="0" w:lastColumn="0" w:oddVBand="0" w:evenVBand="0" w:oddHBand="0" w:evenHBand="0" w:firstRowFirstColumn="0" w:firstRowLastColumn="0" w:lastRowFirstColumn="0" w:lastRowLastColumn="0"/>
              <w:rPr>
                <w:color w:val="000000"/>
              </w:rPr>
            </w:pPr>
            <w:r w:rsidRPr="00282B77">
              <w:rPr>
                <w:color w:val="000000"/>
              </w:rPr>
              <w:t>Renewables</w:t>
            </w:r>
          </w:p>
        </w:tc>
      </w:tr>
      <w:tr w:rsidR="00F54736" w:rsidRPr="00DC3863" w14:paraId="7AB873D2"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970" w:type="dxa"/>
            <w:vMerge/>
            <w:noWrap/>
            <w:hideMark/>
          </w:tcPr>
          <w:p w14:paraId="30633C20" w14:textId="77777777" w:rsidR="00F54736" w:rsidRPr="00282B77" w:rsidRDefault="00F54736" w:rsidP="00C93734">
            <w:pPr>
              <w:jc w:val="both"/>
              <w:rPr>
                <w:color w:val="000000"/>
              </w:rPr>
            </w:pPr>
          </w:p>
        </w:tc>
        <w:tc>
          <w:tcPr>
            <w:tcW w:w="947" w:type="dxa"/>
            <w:shd w:val="clear" w:color="auto" w:fill="E6E4DE" w:themeFill="accent6"/>
            <w:noWrap/>
            <w:hideMark/>
          </w:tcPr>
          <w:p w14:paraId="6A067489" w14:textId="77777777" w:rsidR="00F54736" w:rsidRPr="00282B77" w:rsidRDefault="00F54736"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282B77">
              <w:rPr>
                <w:b/>
                <w:color w:val="000000"/>
              </w:rPr>
              <w:t>Customers</w:t>
            </w:r>
          </w:p>
        </w:tc>
        <w:tc>
          <w:tcPr>
            <w:tcW w:w="846" w:type="dxa"/>
            <w:shd w:val="clear" w:color="auto" w:fill="E6E4DE" w:themeFill="accent6"/>
            <w:noWrap/>
            <w:hideMark/>
          </w:tcPr>
          <w:p w14:paraId="14B18E9A" w14:textId="77777777" w:rsidR="00F54736" w:rsidRPr="00282B77" w:rsidRDefault="00F54736"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282B77">
              <w:rPr>
                <w:b/>
                <w:color w:val="000000"/>
              </w:rPr>
              <w:t>Suppliers</w:t>
            </w:r>
          </w:p>
        </w:tc>
      </w:tr>
      <w:tr w:rsidR="00F54736" w:rsidRPr="00DC3863" w14:paraId="2E10FD17"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970" w:type="dxa"/>
            <w:noWrap/>
            <w:hideMark/>
          </w:tcPr>
          <w:p w14:paraId="1140433E" w14:textId="77777777" w:rsidR="00F54736" w:rsidRPr="00282B77" w:rsidRDefault="00F54736" w:rsidP="00AA0EF3">
            <w:pPr>
              <w:rPr>
                <w:color w:val="000000"/>
              </w:rPr>
            </w:pPr>
            <w:r w:rsidRPr="00282B77">
              <w:rPr>
                <w:color w:val="000000"/>
              </w:rPr>
              <w:t>Lincolnshire / Humber</w:t>
            </w:r>
          </w:p>
        </w:tc>
        <w:tc>
          <w:tcPr>
            <w:tcW w:w="947" w:type="dxa"/>
            <w:noWrap/>
            <w:hideMark/>
          </w:tcPr>
          <w:p w14:paraId="6960500D" w14:textId="77777777" w:rsidR="00F54736" w:rsidRPr="00282B77" w:rsidRDefault="00F54736"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282B77">
              <w:rPr>
                <w:color w:val="000000"/>
              </w:rPr>
              <w:t>39.4%</w:t>
            </w:r>
          </w:p>
        </w:tc>
        <w:tc>
          <w:tcPr>
            <w:tcW w:w="846" w:type="dxa"/>
            <w:noWrap/>
            <w:hideMark/>
          </w:tcPr>
          <w:p w14:paraId="2EEBFB35" w14:textId="77777777" w:rsidR="00F54736" w:rsidRPr="00282B77" w:rsidRDefault="00F54736"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282B77">
              <w:rPr>
                <w:color w:val="000000"/>
              </w:rPr>
              <w:t>37.1%</w:t>
            </w:r>
          </w:p>
        </w:tc>
      </w:tr>
      <w:tr w:rsidR="00F54736" w:rsidRPr="00DC3863" w14:paraId="28F1CB0E"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970" w:type="dxa"/>
            <w:noWrap/>
            <w:hideMark/>
          </w:tcPr>
          <w:p w14:paraId="5CCA3737" w14:textId="77777777" w:rsidR="00F54736" w:rsidRPr="00282B77" w:rsidRDefault="00F54736" w:rsidP="00AA0EF3">
            <w:pPr>
              <w:rPr>
                <w:color w:val="000000"/>
              </w:rPr>
            </w:pPr>
            <w:r w:rsidRPr="00282B77">
              <w:rPr>
                <w:color w:val="000000"/>
              </w:rPr>
              <w:t>Elsewhere in Yorkshire and Humber</w:t>
            </w:r>
          </w:p>
        </w:tc>
        <w:tc>
          <w:tcPr>
            <w:tcW w:w="947" w:type="dxa"/>
            <w:noWrap/>
            <w:hideMark/>
          </w:tcPr>
          <w:p w14:paraId="54B52D58" w14:textId="77777777" w:rsidR="00F54736" w:rsidRPr="00282B77" w:rsidRDefault="00F54736"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282B77">
              <w:rPr>
                <w:color w:val="000000"/>
              </w:rPr>
              <w:t>12.1%</w:t>
            </w:r>
          </w:p>
        </w:tc>
        <w:tc>
          <w:tcPr>
            <w:tcW w:w="846" w:type="dxa"/>
            <w:noWrap/>
            <w:hideMark/>
          </w:tcPr>
          <w:p w14:paraId="4599662E" w14:textId="77777777" w:rsidR="00F54736" w:rsidRPr="00282B77" w:rsidRDefault="00F54736"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282B77">
              <w:rPr>
                <w:color w:val="000000"/>
              </w:rPr>
              <w:t>17.1%</w:t>
            </w:r>
          </w:p>
        </w:tc>
      </w:tr>
      <w:tr w:rsidR="00F54736" w:rsidRPr="00DC3863" w14:paraId="6298356E"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970" w:type="dxa"/>
            <w:shd w:val="clear" w:color="auto" w:fill="E6E4DE" w:themeFill="accent6"/>
            <w:noWrap/>
            <w:hideMark/>
          </w:tcPr>
          <w:p w14:paraId="5F07917B" w14:textId="77777777" w:rsidR="00F54736" w:rsidRPr="00282B77" w:rsidRDefault="00F54736" w:rsidP="00AA0EF3">
            <w:pPr>
              <w:rPr>
                <w:b/>
                <w:color w:val="000000"/>
              </w:rPr>
            </w:pPr>
            <w:r w:rsidRPr="00282B77">
              <w:rPr>
                <w:b/>
                <w:color w:val="000000"/>
              </w:rPr>
              <w:t>Local Area</w:t>
            </w:r>
          </w:p>
        </w:tc>
        <w:tc>
          <w:tcPr>
            <w:tcW w:w="947" w:type="dxa"/>
            <w:shd w:val="clear" w:color="auto" w:fill="E6E4DE" w:themeFill="accent6"/>
            <w:noWrap/>
            <w:hideMark/>
          </w:tcPr>
          <w:p w14:paraId="4064FAC5" w14:textId="77777777" w:rsidR="00F54736" w:rsidRPr="00282B77" w:rsidRDefault="00F54736"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282B77">
              <w:rPr>
                <w:b/>
                <w:color w:val="000000"/>
              </w:rPr>
              <w:t>51.5%</w:t>
            </w:r>
          </w:p>
        </w:tc>
        <w:tc>
          <w:tcPr>
            <w:tcW w:w="846" w:type="dxa"/>
            <w:shd w:val="clear" w:color="auto" w:fill="E6E4DE" w:themeFill="accent6"/>
            <w:noWrap/>
            <w:hideMark/>
          </w:tcPr>
          <w:p w14:paraId="7CF51E4C" w14:textId="77777777" w:rsidR="00F54736" w:rsidRPr="00282B77" w:rsidRDefault="00F54736"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282B77">
              <w:rPr>
                <w:b/>
                <w:color w:val="000000"/>
              </w:rPr>
              <w:t>54.3%</w:t>
            </w:r>
          </w:p>
        </w:tc>
      </w:tr>
      <w:tr w:rsidR="00F54736" w:rsidRPr="00DC3863" w14:paraId="7EC2BD58"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970" w:type="dxa"/>
            <w:shd w:val="clear" w:color="auto" w:fill="E6E4DE" w:themeFill="accent6"/>
            <w:noWrap/>
            <w:hideMark/>
          </w:tcPr>
          <w:p w14:paraId="0446A57D" w14:textId="77777777" w:rsidR="00F54736" w:rsidRPr="00282B77" w:rsidRDefault="00F54736" w:rsidP="00AA0EF3">
            <w:pPr>
              <w:rPr>
                <w:b/>
                <w:color w:val="000000"/>
              </w:rPr>
            </w:pPr>
            <w:r w:rsidRPr="00282B77">
              <w:rPr>
                <w:b/>
                <w:color w:val="000000"/>
              </w:rPr>
              <w:t>UK</w:t>
            </w:r>
          </w:p>
        </w:tc>
        <w:tc>
          <w:tcPr>
            <w:tcW w:w="947" w:type="dxa"/>
            <w:shd w:val="clear" w:color="auto" w:fill="E6E4DE" w:themeFill="accent6"/>
            <w:noWrap/>
            <w:hideMark/>
          </w:tcPr>
          <w:p w14:paraId="25476ECC" w14:textId="77777777" w:rsidR="00F54736" w:rsidRPr="00282B77" w:rsidRDefault="00F54736"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282B77">
              <w:rPr>
                <w:b/>
                <w:color w:val="000000"/>
              </w:rPr>
              <w:t>69.7%</w:t>
            </w:r>
          </w:p>
        </w:tc>
        <w:tc>
          <w:tcPr>
            <w:tcW w:w="846" w:type="dxa"/>
            <w:shd w:val="clear" w:color="auto" w:fill="E6E4DE" w:themeFill="accent6"/>
            <w:noWrap/>
            <w:hideMark/>
          </w:tcPr>
          <w:p w14:paraId="40725F67" w14:textId="77777777" w:rsidR="00F54736" w:rsidRPr="00282B77" w:rsidRDefault="00F54736"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282B77">
              <w:rPr>
                <w:b/>
                <w:color w:val="000000"/>
              </w:rPr>
              <w:t>88.6%</w:t>
            </w:r>
          </w:p>
        </w:tc>
      </w:tr>
      <w:tr w:rsidR="00F54736" w:rsidRPr="00DC3863" w14:paraId="1E0A9E0B"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970" w:type="dxa"/>
            <w:noWrap/>
            <w:hideMark/>
          </w:tcPr>
          <w:p w14:paraId="0FE6CB63" w14:textId="77777777" w:rsidR="00F54736" w:rsidRPr="00282B77" w:rsidRDefault="00F54736" w:rsidP="00AA0EF3">
            <w:pPr>
              <w:rPr>
                <w:color w:val="000000"/>
              </w:rPr>
            </w:pPr>
            <w:r w:rsidRPr="00282B77">
              <w:rPr>
                <w:color w:val="000000"/>
              </w:rPr>
              <w:t>Europe (other than UK);</w:t>
            </w:r>
          </w:p>
        </w:tc>
        <w:tc>
          <w:tcPr>
            <w:tcW w:w="947" w:type="dxa"/>
            <w:noWrap/>
            <w:hideMark/>
          </w:tcPr>
          <w:p w14:paraId="24155687" w14:textId="77777777" w:rsidR="00F54736" w:rsidRPr="00282B77" w:rsidRDefault="00F54736"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282B77">
              <w:rPr>
                <w:color w:val="000000"/>
              </w:rPr>
              <w:t>6.1%</w:t>
            </w:r>
          </w:p>
        </w:tc>
        <w:tc>
          <w:tcPr>
            <w:tcW w:w="846" w:type="dxa"/>
            <w:noWrap/>
            <w:hideMark/>
          </w:tcPr>
          <w:p w14:paraId="61A55068" w14:textId="77777777" w:rsidR="00F54736" w:rsidRPr="00282B77" w:rsidRDefault="00F54736"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282B77">
              <w:rPr>
                <w:color w:val="000000"/>
              </w:rPr>
              <w:t>5.7%</w:t>
            </w:r>
          </w:p>
        </w:tc>
      </w:tr>
      <w:tr w:rsidR="00F54736" w:rsidRPr="00DC3863" w14:paraId="0EB50852"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970" w:type="dxa"/>
            <w:noWrap/>
            <w:hideMark/>
          </w:tcPr>
          <w:p w14:paraId="185DD3EE" w14:textId="77777777" w:rsidR="00F54736" w:rsidRPr="00282B77" w:rsidRDefault="00F54736" w:rsidP="00AA0EF3">
            <w:pPr>
              <w:rPr>
                <w:color w:val="000000"/>
              </w:rPr>
            </w:pPr>
            <w:r w:rsidRPr="00282B77">
              <w:rPr>
                <w:color w:val="000000"/>
              </w:rPr>
              <w:t>USA;</w:t>
            </w:r>
          </w:p>
        </w:tc>
        <w:tc>
          <w:tcPr>
            <w:tcW w:w="947" w:type="dxa"/>
            <w:noWrap/>
            <w:hideMark/>
          </w:tcPr>
          <w:p w14:paraId="62981352" w14:textId="77777777" w:rsidR="00F54736" w:rsidRPr="00282B77" w:rsidRDefault="00F54736"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282B77">
              <w:rPr>
                <w:color w:val="000000"/>
              </w:rPr>
              <w:t>0.0%</w:t>
            </w:r>
          </w:p>
        </w:tc>
        <w:tc>
          <w:tcPr>
            <w:tcW w:w="846" w:type="dxa"/>
            <w:noWrap/>
            <w:hideMark/>
          </w:tcPr>
          <w:p w14:paraId="7F2A2406" w14:textId="77777777" w:rsidR="00F54736" w:rsidRPr="00282B77" w:rsidRDefault="00F54736"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282B77">
              <w:rPr>
                <w:color w:val="000000"/>
              </w:rPr>
              <w:t>0.0%</w:t>
            </w:r>
          </w:p>
        </w:tc>
      </w:tr>
      <w:tr w:rsidR="00F54736" w:rsidRPr="00DC3863" w14:paraId="743AF18A"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970" w:type="dxa"/>
            <w:noWrap/>
            <w:hideMark/>
          </w:tcPr>
          <w:p w14:paraId="520CFB4B" w14:textId="77777777" w:rsidR="00F54736" w:rsidRPr="00282B77" w:rsidRDefault="00F54736" w:rsidP="00AA0EF3">
            <w:pPr>
              <w:rPr>
                <w:color w:val="000000"/>
              </w:rPr>
            </w:pPr>
            <w:r w:rsidRPr="00282B77">
              <w:rPr>
                <w:color w:val="000000"/>
              </w:rPr>
              <w:t>China</w:t>
            </w:r>
          </w:p>
        </w:tc>
        <w:tc>
          <w:tcPr>
            <w:tcW w:w="947" w:type="dxa"/>
            <w:noWrap/>
            <w:hideMark/>
          </w:tcPr>
          <w:p w14:paraId="57114D5A" w14:textId="77777777" w:rsidR="00F54736" w:rsidRPr="00282B77" w:rsidRDefault="00F54736"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282B77">
              <w:rPr>
                <w:color w:val="000000"/>
              </w:rPr>
              <w:t>0.0%</w:t>
            </w:r>
          </w:p>
        </w:tc>
        <w:tc>
          <w:tcPr>
            <w:tcW w:w="846" w:type="dxa"/>
            <w:noWrap/>
            <w:hideMark/>
          </w:tcPr>
          <w:p w14:paraId="4DD15F1E" w14:textId="77777777" w:rsidR="00F54736" w:rsidRPr="00282B77" w:rsidRDefault="00F54736"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282B77">
              <w:rPr>
                <w:color w:val="000000"/>
              </w:rPr>
              <w:t>0.0%</w:t>
            </w:r>
          </w:p>
        </w:tc>
      </w:tr>
      <w:tr w:rsidR="00F54736" w:rsidRPr="00DC3863" w14:paraId="3805F945"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970" w:type="dxa"/>
            <w:noWrap/>
            <w:hideMark/>
          </w:tcPr>
          <w:p w14:paraId="14512DB3" w14:textId="77777777" w:rsidR="00F54736" w:rsidRPr="00282B77" w:rsidRDefault="00F54736" w:rsidP="00AA0EF3">
            <w:pPr>
              <w:rPr>
                <w:color w:val="000000"/>
              </w:rPr>
            </w:pPr>
            <w:r w:rsidRPr="00282B77">
              <w:rPr>
                <w:color w:val="000000"/>
              </w:rPr>
              <w:t>Far East;</w:t>
            </w:r>
          </w:p>
        </w:tc>
        <w:tc>
          <w:tcPr>
            <w:tcW w:w="947" w:type="dxa"/>
            <w:noWrap/>
            <w:hideMark/>
          </w:tcPr>
          <w:p w14:paraId="0952FB88" w14:textId="77777777" w:rsidR="00F54736" w:rsidRPr="00282B77" w:rsidRDefault="00F54736"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282B77">
              <w:rPr>
                <w:color w:val="000000"/>
              </w:rPr>
              <w:t>0.0%</w:t>
            </w:r>
          </w:p>
        </w:tc>
        <w:tc>
          <w:tcPr>
            <w:tcW w:w="846" w:type="dxa"/>
            <w:noWrap/>
            <w:hideMark/>
          </w:tcPr>
          <w:p w14:paraId="4F88392B" w14:textId="77777777" w:rsidR="00F54736" w:rsidRPr="00282B77" w:rsidRDefault="00F54736"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282B77">
              <w:rPr>
                <w:color w:val="000000"/>
              </w:rPr>
              <w:t>2.9%</w:t>
            </w:r>
          </w:p>
        </w:tc>
      </w:tr>
      <w:tr w:rsidR="00F54736" w:rsidRPr="00DC3863" w14:paraId="24D9659D"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970" w:type="dxa"/>
            <w:noWrap/>
            <w:hideMark/>
          </w:tcPr>
          <w:p w14:paraId="58388CF4" w14:textId="77777777" w:rsidR="00F54736" w:rsidRPr="00282B77" w:rsidRDefault="00F54736" w:rsidP="00AA0EF3">
            <w:pPr>
              <w:rPr>
                <w:color w:val="000000"/>
              </w:rPr>
            </w:pPr>
            <w:r w:rsidRPr="00282B77">
              <w:rPr>
                <w:color w:val="000000"/>
              </w:rPr>
              <w:t>Other Worldwide locations</w:t>
            </w:r>
          </w:p>
        </w:tc>
        <w:tc>
          <w:tcPr>
            <w:tcW w:w="947" w:type="dxa"/>
            <w:noWrap/>
            <w:hideMark/>
          </w:tcPr>
          <w:p w14:paraId="0C845206" w14:textId="77777777" w:rsidR="00F54736" w:rsidRPr="00282B77" w:rsidRDefault="00F54736"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282B77">
              <w:rPr>
                <w:color w:val="000000"/>
              </w:rPr>
              <w:t>6.1%</w:t>
            </w:r>
          </w:p>
        </w:tc>
        <w:tc>
          <w:tcPr>
            <w:tcW w:w="846" w:type="dxa"/>
            <w:noWrap/>
            <w:hideMark/>
          </w:tcPr>
          <w:p w14:paraId="4B4B5A70" w14:textId="77777777" w:rsidR="00F54736" w:rsidRPr="00282B77" w:rsidRDefault="00F54736"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282B77">
              <w:rPr>
                <w:color w:val="000000"/>
              </w:rPr>
              <w:t>2.9%</w:t>
            </w:r>
          </w:p>
        </w:tc>
      </w:tr>
    </w:tbl>
    <w:p w14:paraId="431BF33B" w14:textId="77777777" w:rsidR="00F54736" w:rsidRPr="002805F3" w:rsidRDefault="00F54736" w:rsidP="00C93734">
      <w:pPr>
        <w:pStyle w:val="TableSource"/>
        <w:jc w:val="both"/>
      </w:pPr>
      <w:r w:rsidRPr="002805F3">
        <w:t>Source: Hill Taylor and Atkins 2013. Atkins Ref: Survey –A17/K3</w:t>
      </w:r>
    </w:p>
    <w:p w14:paraId="224EE4F1" w14:textId="77777777" w:rsidR="00F54736" w:rsidRPr="00F103FE" w:rsidRDefault="00F54736" w:rsidP="00C93734">
      <w:pPr>
        <w:jc w:val="both"/>
        <w:rPr>
          <w:rFonts w:cs="Arial"/>
          <w:b/>
        </w:rPr>
      </w:pPr>
      <w:r w:rsidRPr="00F103FE">
        <w:rPr>
          <w:rFonts w:cs="Arial"/>
          <w:b/>
        </w:rPr>
        <w:t>Skills</w:t>
      </w:r>
    </w:p>
    <w:p w14:paraId="47B1C878" w14:textId="77777777" w:rsidR="00F54736" w:rsidRDefault="00F54736" w:rsidP="00C93734">
      <w:pPr>
        <w:autoSpaceDE w:val="0"/>
        <w:autoSpaceDN w:val="0"/>
        <w:adjustRightInd w:val="0"/>
        <w:jc w:val="both"/>
        <w:rPr>
          <w:rFonts w:cs="Arial"/>
        </w:rPr>
      </w:pPr>
      <w:r>
        <w:rPr>
          <w:rFonts w:cs="Arial"/>
        </w:rPr>
        <w:t xml:space="preserve">A </w:t>
      </w:r>
      <w:r w:rsidR="00E75DD4">
        <w:rPr>
          <w:rFonts w:cs="Arial"/>
        </w:rPr>
        <w:t xml:space="preserve">significant proportion of firms (30%) identified skills shortages </w:t>
      </w:r>
      <w:r w:rsidR="000416AE">
        <w:rPr>
          <w:rFonts w:cs="Arial"/>
        </w:rPr>
        <w:t>as</w:t>
      </w:r>
      <w:r>
        <w:rPr>
          <w:rFonts w:cs="Arial"/>
        </w:rPr>
        <w:t xml:space="preserve"> a </w:t>
      </w:r>
      <w:r w:rsidR="00E75DD4">
        <w:rPr>
          <w:rFonts w:cs="Arial"/>
        </w:rPr>
        <w:t>major</w:t>
      </w:r>
      <w:r>
        <w:rPr>
          <w:rFonts w:cs="Arial"/>
        </w:rPr>
        <w:t xml:space="preserve"> challenge for the sector. </w:t>
      </w:r>
      <w:r w:rsidR="000416AE">
        <w:rPr>
          <w:rFonts w:cs="Arial"/>
        </w:rPr>
        <w:t>Research</w:t>
      </w:r>
      <w:r>
        <w:rPr>
          <w:rFonts w:cs="Arial"/>
        </w:rPr>
        <w:t xml:space="preserve"> </w:t>
      </w:r>
      <w:r w:rsidR="000416AE">
        <w:rPr>
          <w:rFonts w:cs="Arial"/>
        </w:rPr>
        <w:t>into strategies regarding sector-specific skills</w:t>
      </w:r>
      <w:r>
        <w:rPr>
          <w:rStyle w:val="FootnoteReference"/>
          <w:rFonts w:cs="Arial"/>
        </w:rPr>
        <w:footnoteReference w:id="23"/>
      </w:r>
      <w:r>
        <w:rPr>
          <w:rFonts w:cs="Arial"/>
        </w:rPr>
        <w:t xml:space="preserve"> has </w:t>
      </w:r>
      <w:r w:rsidR="00E75DD4">
        <w:rPr>
          <w:rFonts w:cs="Arial"/>
        </w:rPr>
        <w:t>highlight</w:t>
      </w:r>
      <w:r w:rsidR="000416AE">
        <w:rPr>
          <w:rFonts w:cs="Arial"/>
        </w:rPr>
        <w:t>ed</w:t>
      </w:r>
      <w:r>
        <w:rPr>
          <w:rFonts w:cs="Arial"/>
        </w:rPr>
        <w:t xml:space="preserve"> challenges in recruiting apprenticeships, certified trades people and </w:t>
      </w:r>
      <w:r>
        <w:rPr>
          <w:rFonts w:cs="Arial"/>
          <w:szCs w:val="20"/>
        </w:rPr>
        <w:t>day-boat activities (anchor handling, scour protection, piloting, O&amp;M etc.).</w:t>
      </w:r>
    </w:p>
    <w:p w14:paraId="0A64720C" w14:textId="77777777" w:rsidR="00F54736" w:rsidRPr="00F103FE" w:rsidRDefault="00F54736" w:rsidP="00C93734">
      <w:pPr>
        <w:jc w:val="both"/>
        <w:rPr>
          <w:rFonts w:cs="Arial"/>
          <w:b/>
        </w:rPr>
      </w:pPr>
      <w:r w:rsidRPr="00F103FE">
        <w:rPr>
          <w:rFonts w:cs="Arial"/>
          <w:b/>
        </w:rPr>
        <w:t>Future Prospects</w:t>
      </w:r>
    </w:p>
    <w:p w14:paraId="4A77F0A7" w14:textId="77777777" w:rsidR="00F54736" w:rsidRDefault="00F54736" w:rsidP="00C93734">
      <w:pPr>
        <w:jc w:val="both"/>
        <w:rPr>
          <w:rFonts w:cs="Arial"/>
        </w:rPr>
      </w:pPr>
      <w:r>
        <w:rPr>
          <w:rFonts w:cs="Arial"/>
        </w:rPr>
        <w:t xml:space="preserve">Over the past 3 years 35% of business </w:t>
      </w:r>
      <w:r w:rsidR="00E75DD4">
        <w:rPr>
          <w:rFonts w:cs="Arial"/>
        </w:rPr>
        <w:t>reported an</w:t>
      </w:r>
      <w:r>
        <w:rPr>
          <w:rFonts w:cs="Arial"/>
        </w:rPr>
        <w:t xml:space="preserve"> increase in size</w:t>
      </w:r>
      <w:r w:rsidR="000416AE">
        <w:rPr>
          <w:rFonts w:cs="Arial"/>
        </w:rPr>
        <w:t>, with</w:t>
      </w:r>
      <w:r>
        <w:rPr>
          <w:rFonts w:cs="Arial"/>
        </w:rPr>
        <w:t xml:space="preserve"> 60% </w:t>
      </w:r>
      <w:r w:rsidR="00E75DD4">
        <w:rPr>
          <w:rFonts w:cs="Arial"/>
        </w:rPr>
        <w:t xml:space="preserve">remaining </w:t>
      </w:r>
      <w:r>
        <w:rPr>
          <w:rFonts w:cs="Arial"/>
        </w:rPr>
        <w:t xml:space="preserve">stable. </w:t>
      </w:r>
      <w:r w:rsidR="000416AE">
        <w:rPr>
          <w:rFonts w:cs="Arial"/>
        </w:rPr>
        <w:t xml:space="preserve">Only a </w:t>
      </w:r>
      <w:r>
        <w:rPr>
          <w:rFonts w:cs="Arial"/>
        </w:rPr>
        <w:t>small proportion of businesses (5%) decreased in size</w:t>
      </w:r>
      <w:r w:rsidR="000416AE">
        <w:rPr>
          <w:rFonts w:cs="Arial"/>
        </w:rPr>
        <w:t>, despite the recent economic climate</w:t>
      </w:r>
      <w:r>
        <w:rPr>
          <w:rFonts w:cs="Arial"/>
        </w:rPr>
        <w:t xml:space="preserve">. </w:t>
      </w:r>
      <w:r w:rsidR="000416AE">
        <w:rPr>
          <w:rFonts w:cs="Arial"/>
        </w:rPr>
        <w:t>T</w:t>
      </w:r>
      <w:r w:rsidR="00E75DD4">
        <w:rPr>
          <w:rFonts w:cs="Arial"/>
        </w:rPr>
        <w:t xml:space="preserve">his </w:t>
      </w:r>
      <w:r w:rsidR="000416AE">
        <w:rPr>
          <w:rFonts w:cs="Arial"/>
        </w:rPr>
        <w:t>suggests</w:t>
      </w:r>
      <w:r w:rsidR="00E75DD4">
        <w:rPr>
          <w:rFonts w:cs="Arial"/>
        </w:rPr>
        <w:t xml:space="preserve"> the sector has significant latent growth potential.</w:t>
      </w:r>
    </w:p>
    <w:p w14:paraId="76581CA4" w14:textId="77777777" w:rsidR="00F54736" w:rsidRDefault="00F54736" w:rsidP="00C93734">
      <w:pPr>
        <w:pStyle w:val="Caption"/>
        <w:jc w:val="both"/>
      </w:pPr>
      <w:r>
        <w:t xml:space="preserve">Table </w:t>
      </w:r>
      <w:fldSimple w:instr=" STYLEREF 1 \s  \* MERGEFORMAT ">
        <w:r w:rsidR="00E95E1A">
          <w:rPr>
            <w:noProof/>
          </w:rPr>
          <w:t>7</w:t>
        </w:r>
      </w:fldSimple>
      <w:r>
        <w:t>-</w:t>
      </w:r>
      <w:fldSimple w:instr=" SEQ Table \* ARABIC \s 1  \* MERGEFORMAT ">
        <w:r w:rsidR="00E95E1A">
          <w:rPr>
            <w:noProof/>
          </w:rPr>
          <w:t>7</w:t>
        </w:r>
      </w:fldSimple>
      <w:r>
        <w:tab/>
        <w:t>Size of Workforce</w:t>
      </w:r>
    </w:p>
    <w:tbl>
      <w:tblPr>
        <w:tblStyle w:val="Atkins14pt"/>
        <w:tblW w:w="3107" w:type="dxa"/>
        <w:tblLayout w:type="fixed"/>
        <w:tblLook w:val="04A0" w:firstRow="1" w:lastRow="0" w:firstColumn="1" w:lastColumn="0" w:noHBand="0" w:noVBand="1"/>
      </w:tblPr>
      <w:tblGrid>
        <w:gridCol w:w="1474"/>
        <w:gridCol w:w="1633"/>
      </w:tblGrid>
      <w:tr w:rsidR="00F54736" w:rsidRPr="002805F3" w14:paraId="3C3BDEFD" w14:textId="77777777" w:rsidTr="00F5473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74" w:type="dxa"/>
            <w:noWrap/>
            <w:hideMark/>
          </w:tcPr>
          <w:p w14:paraId="2D4FC7F3" w14:textId="77777777" w:rsidR="00F54736" w:rsidRPr="00DC3863" w:rsidRDefault="00F54736" w:rsidP="00C93734">
            <w:pPr>
              <w:jc w:val="both"/>
              <w:rPr>
                <w:color w:val="000000"/>
              </w:rPr>
            </w:pPr>
            <w:r w:rsidRPr="00DC3863">
              <w:rPr>
                <w:color w:val="000000"/>
              </w:rPr>
              <w:t>Movement</w:t>
            </w:r>
          </w:p>
        </w:tc>
        <w:tc>
          <w:tcPr>
            <w:tcW w:w="1633" w:type="dxa"/>
            <w:noWrap/>
            <w:hideMark/>
          </w:tcPr>
          <w:p w14:paraId="68B67F3B" w14:textId="77777777" w:rsidR="00F54736" w:rsidRPr="00DC3863" w:rsidRDefault="00F54736" w:rsidP="00C93734">
            <w:pPr>
              <w:jc w:val="both"/>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Renewables</w:t>
            </w:r>
          </w:p>
        </w:tc>
      </w:tr>
      <w:tr w:rsidR="00F54736" w:rsidRPr="002805F3" w14:paraId="5681DDF6"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5FE6609B" w14:textId="77777777" w:rsidR="00F54736" w:rsidRPr="00DC3863" w:rsidRDefault="00F54736" w:rsidP="00C93734">
            <w:pPr>
              <w:spacing w:after="120"/>
              <w:jc w:val="both"/>
              <w:rPr>
                <w:color w:val="000000"/>
              </w:rPr>
            </w:pPr>
            <w:r w:rsidRPr="00DC3863">
              <w:rPr>
                <w:color w:val="000000"/>
              </w:rPr>
              <w:t>Increased</w:t>
            </w:r>
          </w:p>
        </w:tc>
        <w:tc>
          <w:tcPr>
            <w:tcW w:w="1633" w:type="dxa"/>
            <w:noWrap/>
            <w:hideMark/>
          </w:tcPr>
          <w:p w14:paraId="24150C34" w14:textId="77777777" w:rsidR="00F54736" w:rsidRPr="00DC3863" w:rsidRDefault="00F54736"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35.0%</w:t>
            </w:r>
          </w:p>
        </w:tc>
      </w:tr>
      <w:tr w:rsidR="00F54736" w:rsidRPr="002805F3" w14:paraId="7B18F92A"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4F2D139D" w14:textId="77777777" w:rsidR="00F54736" w:rsidRPr="00DC3863" w:rsidRDefault="00F54736" w:rsidP="00C93734">
            <w:pPr>
              <w:spacing w:after="120"/>
              <w:jc w:val="both"/>
              <w:rPr>
                <w:color w:val="000000"/>
              </w:rPr>
            </w:pPr>
            <w:r w:rsidRPr="00DC3863">
              <w:rPr>
                <w:color w:val="000000"/>
              </w:rPr>
              <w:t>Decreased</w:t>
            </w:r>
          </w:p>
        </w:tc>
        <w:tc>
          <w:tcPr>
            <w:tcW w:w="1633" w:type="dxa"/>
            <w:noWrap/>
            <w:hideMark/>
          </w:tcPr>
          <w:p w14:paraId="0F56416F" w14:textId="77777777" w:rsidR="00F54736" w:rsidRPr="00DC3863" w:rsidRDefault="00F54736"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5.0%</w:t>
            </w:r>
          </w:p>
        </w:tc>
      </w:tr>
      <w:tr w:rsidR="00F54736" w:rsidRPr="002805F3" w14:paraId="0EAAA2B7" w14:textId="77777777" w:rsidTr="00F54736">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081BC928" w14:textId="77777777" w:rsidR="00F54736" w:rsidRPr="00DC3863" w:rsidRDefault="00F54736" w:rsidP="00C93734">
            <w:pPr>
              <w:spacing w:after="120"/>
              <w:jc w:val="both"/>
              <w:rPr>
                <w:color w:val="000000"/>
              </w:rPr>
            </w:pPr>
            <w:r w:rsidRPr="00DC3863">
              <w:rPr>
                <w:color w:val="000000"/>
              </w:rPr>
              <w:t>Remained stable</w:t>
            </w:r>
          </w:p>
        </w:tc>
        <w:tc>
          <w:tcPr>
            <w:tcW w:w="1633" w:type="dxa"/>
            <w:noWrap/>
            <w:hideMark/>
          </w:tcPr>
          <w:p w14:paraId="2D00B19D" w14:textId="77777777" w:rsidR="00F54736" w:rsidRPr="00DC3863" w:rsidRDefault="00F54736"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60.0%</w:t>
            </w:r>
          </w:p>
        </w:tc>
      </w:tr>
    </w:tbl>
    <w:p w14:paraId="4330EF51" w14:textId="77777777" w:rsidR="00F54736" w:rsidRDefault="00F54736" w:rsidP="00C93734">
      <w:pPr>
        <w:pStyle w:val="TableSource"/>
        <w:jc w:val="both"/>
      </w:pPr>
      <w:r w:rsidRPr="002805F3">
        <w:t>Source: Hill Taylor and Atkins 2013. Atkins Ref: Survey –A20</w:t>
      </w:r>
    </w:p>
    <w:p w14:paraId="4759D00A" w14:textId="77777777" w:rsidR="00F54736" w:rsidRDefault="00F54736" w:rsidP="00C93734">
      <w:pPr>
        <w:jc w:val="both"/>
      </w:pPr>
      <w:r>
        <w:rPr>
          <w:rFonts w:cs="Arial"/>
        </w:rPr>
        <w:t xml:space="preserve">Looking forward around </w:t>
      </w:r>
      <w:r w:rsidR="00A065CF">
        <w:rPr>
          <w:rFonts w:cs="Arial"/>
        </w:rPr>
        <w:t>50%</w:t>
      </w:r>
      <w:r>
        <w:rPr>
          <w:rFonts w:cs="Arial"/>
        </w:rPr>
        <w:t xml:space="preserve"> of businesses </w:t>
      </w:r>
      <w:r w:rsidR="00A065CF">
        <w:rPr>
          <w:rFonts w:cs="Arial"/>
        </w:rPr>
        <w:t>have stated their intention to invest in forthcoming  years</w:t>
      </w:r>
      <w:r>
        <w:rPr>
          <w:rFonts w:cs="Arial"/>
        </w:rPr>
        <w:t xml:space="preserve">. </w:t>
      </w:r>
      <w:r w:rsidR="00E75DD4">
        <w:rPr>
          <w:rFonts w:cs="Arial"/>
        </w:rPr>
        <w:t>Very</w:t>
      </w:r>
      <w:r>
        <w:t xml:space="preserve"> few firms had sought to </w:t>
      </w:r>
      <w:r w:rsidR="00E75DD4">
        <w:t xml:space="preserve">relocate.  Importantly, 95% of businesses </w:t>
      </w:r>
      <w:r w:rsidR="000416AE">
        <w:t xml:space="preserve">in the sample </w:t>
      </w:r>
      <w:r>
        <w:t xml:space="preserve">identified the local area as </w:t>
      </w:r>
      <w:r w:rsidR="00E75DD4">
        <w:t>a good and competitive location</w:t>
      </w:r>
      <w:r w:rsidR="000416AE">
        <w:t>.</w:t>
      </w:r>
    </w:p>
    <w:p w14:paraId="5B8EF2C3" w14:textId="77777777" w:rsidR="00A065CF" w:rsidRDefault="002F7137" w:rsidP="00C93734">
      <w:pPr>
        <w:pStyle w:val="Heading3"/>
        <w:numPr>
          <w:ilvl w:val="2"/>
          <w:numId w:val="5"/>
        </w:numPr>
        <w:jc w:val="both"/>
      </w:pPr>
      <w:r>
        <w:t>Economic Linkages &amp; Supply Chain</w:t>
      </w:r>
    </w:p>
    <w:p w14:paraId="16040898" w14:textId="77777777" w:rsidR="00030C7C" w:rsidRPr="00030C7C" w:rsidRDefault="00030C7C" w:rsidP="00C93734">
      <w:pPr>
        <w:jc w:val="both"/>
        <w:rPr>
          <w:rFonts w:cs="Arial"/>
          <w:b/>
        </w:rPr>
      </w:pPr>
      <w:r w:rsidRPr="00F103FE">
        <w:rPr>
          <w:rFonts w:cs="Arial"/>
          <w:b/>
        </w:rPr>
        <w:t>O</w:t>
      </w:r>
      <w:r>
        <w:rPr>
          <w:rFonts w:cs="Arial"/>
          <w:b/>
        </w:rPr>
        <w:t>perations &amp; Maintenance (O&amp;M)</w:t>
      </w:r>
    </w:p>
    <w:p w14:paraId="33CA7C52" w14:textId="77777777" w:rsidR="006308A5" w:rsidRDefault="006308A5" w:rsidP="00C93734">
      <w:pPr>
        <w:jc w:val="both"/>
        <w:rPr>
          <w:rFonts w:cs="Arial"/>
        </w:rPr>
      </w:pPr>
      <w:r w:rsidRPr="006308A5">
        <w:rPr>
          <w:rFonts w:cs="Arial"/>
        </w:rPr>
        <w:t>Operations refer</w:t>
      </w:r>
      <w:r w:rsidR="000416AE">
        <w:rPr>
          <w:rFonts w:cs="Arial"/>
        </w:rPr>
        <w:t>s</w:t>
      </w:r>
      <w:r w:rsidRPr="006308A5">
        <w:rPr>
          <w:rFonts w:cs="Arial"/>
        </w:rPr>
        <w:t xml:space="preserve"> to activities contributing to the management of technology and materials</w:t>
      </w:r>
      <w:r w:rsidR="00AA0A88">
        <w:rPr>
          <w:rFonts w:cs="Arial"/>
        </w:rPr>
        <w:t>,</w:t>
      </w:r>
      <w:r w:rsidRPr="006308A5">
        <w:rPr>
          <w:rFonts w:cs="Arial"/>
        </w:rPr>
        <w:t xml:space="preserve"> such as monitoring, environmental assessment, sales, safety, and administration tasks. Maintenance is a </w:t>
      </w:r>
      <w:r w:rsidR="00973D26">
        <w:rPr>
          <w:rFonts w:cs="Arial"/>
        </w:rPr>
        <w:t>more significant</w:t>
      </w:r>
      <w:r w:rsidRPr="006308A5">
        <w:rPr>
          <w:rFonts w:cs="Arial"/>
        </w:rPr>
        <w:t xml:space="preserve"> </w:t>
      </w:r>
      <w:r w:rsidR="000416AE">
        <w:rPr>
          <w:rFonts w:cs="Arial"/>
        </w:rPr>
        <w:t>activity</w:t>
      </w:r>
      <w:r w:rsidR="000416AE" w:rsidRPr="006308A5">
        <w:rPr>
          <w:rFonts w:cs="Arial"/>
        </w:rPr>
        <w:t xml:space="preserve"> </w:t>
      </w:r>
      <w:r w:rsidRPr="006308A5">
        <w:rPr>
          <w:rFonts w:cs="Arial"/>
        </w:rPr>
        <w:t xml:space="preserve">with </w:t>
      </w:r>
      <w:r w:rsidR="000416AE">
        <w:rPr>
          <w:rFonts w:cs="Arial"/>
        </w:rPr>
        <w:t>greater</w:t>
      </w:r>
      <w:r w:rsidR="000416AE" w:rsidRPr="006308A5">
        <w:rPr>
          <w:rFonts w:cs="Arial"/>
        </w:rPr>
        <w:t xml:space="preserve"> </w:t>
      </w:r>
      <w:r w:rsidRPr="006308A5">
        <w:rPr>
          <w:rFonts w:cs="Arial"/>
        </w:rPr>
        <w:t>cost</w:t>
      </w:r>
      <w:r w:rsidR="000416AE">
        <w:rPr>
          <w:rFonts w:cs="Arial"/>
        </w:rPr>
        <w:t>s</w:t>
      </w:r>
      <w:r w:rsidRPr="006308A5">
        <w:rPr>
          <w:rFonts w:cs="Arial"/>
        </w:rPr>
        <w:t xml:space="preserve"> and </w:t>
      </w:r>
      <w:r w:rsidR="000416AE">
        <w:rPr>
          <w:rFonts w:cs="Arial"/>
        </w:rPr>
        <w:t xml:space="preserve">levels of </w:t>
      </w:r>
      <w:r w:rsidRPr="006308A5">
        <w:rPr>
          <w:rFonts w:cs="Arial"/>
        </w:rPr>
        <w:t xml:space="preserve">risk. It </w:t>
      </w:r>
      <w:r w:rsidR="00973D26">
        <w:rPr>
          <w:rFonts w:cs="Arial"/>
        </w:rPr>
        <w:t>includes</w:t>
      </w:r>
      <w:r w:rsidRPr="006308A5">
        <w:rPr>
          <w:rFonts w:cs="Arial"/>
        </w:rPr>
        <w:t xml:space="preserve"> the up-keep and repair of the physical plant and systems and </w:t>
      </w:r>
      <w:r w:rsidR="000416AE">
        <w:rPr>
          <w:rFonts w:cs="Arial"/>
        </w:rPr>
        <w:t xml:space="preserve">includes both </w:t>
      </w:r>
      <w:r w:rsidRPr="006308A5">
        <w:rPr>
          <w:rFonts w:cs="Arial"/>
        </w:rPr>
        <w:t xml:space="preserve">preventative </w:t>
      </w:r>
      <w:r w:rsidR="000416AE">
        <w:rPr>
          <w:rFonts w:cs="Arial"/>
        </w:rPr>
        <w:t>and</w:t>
      </w:r>
      <w:r w:rsidRPr="006308A5">
        <w:rPr>
          <w:rFonts w:cs="Arial"/>
        </w:rPr>
        <w:t xml:space="preserve"> corrective maintenance</w:t>
      </w:r>
      <w:r w:rsidR="000416AE">
        <w:rPr>
          <w:rFonts w:cs="Arial"/>
        </w:rPr>
        <w:t>.</w:t>
      </w:r>
      <w:r w:rsidRPr="006308A5">
        <w:rPr>
          <w:rFonts w:cs="Arial"/>
        </w:rPr>
        <w:t xml:space="preserve">  Manufacturers will often have their own preferred </w:t>
      </w:r>
      <w:r w:rsidR="000416AE">
        <w:rPr>
          <w:rFonts w:cs="Arial"/>
        </w:rPr>
        <w:t>specifications for</w:t>
      </w:r>
      <w:r w:rsidRPr="006308A5">
        <w:rPr>
          <w:rFonts w:cs="Arial"/>
        </w:rPr>
        <w:t xml:space="preserve"> an O&amp;M facility.</w:t>
      </w:r>
    </w:p>
    <w:p w14:paraId="7A102C1A" w14:textId="77777777" w:rsidR="00EA376B" w:rsidRDefault="00583992" w:rsidP="00C93734">
      <w:pPr>
        <w:jc w:val="both"/>
        <w:rPr>
          <w:rFonts w:cs="Arial"/>
        </w:rPr>
      </w:pPr>
      <w:r>
        <w:rPr>
          <w:rFonts w:cs="Arial"/>
        </w:rPr>
        <w:t>Many</w:t>
      </w:r>
      <w:r w:rsidR="008910F3">
        <w:rPr>
          <w:rFonts w:cs="Arial"/>
        </w:rPr>
        <w:t xml:space="preserve"> of the </w:t>
      </w:r>
      <w:r w:rsidR="001B0190">
        <w:rPr>
          <w:rFonts w:cs="Arial"/>
        </w:rPr>
        <w:t xml:space="preserve">O&amp;M </w:t>
      </w:r>
      <w:r w:rsidR="008910F3">
        <w:rPr>
          <w:rFonts w:cs="Arial"/>
        </w:rPr>
        <w:t xml:space="preserve">activities </w:t>
      </w:r>
      <w:r w:rsidR="006308A5">
        <w:rPr>
          <w:rFonts w:cs="Arial"/>
        </w:rPr>
        <w:t xml:space="preserve">in </w:t>
      </w:r>
      <w:r w:rsidR="00577236">
        <w:rPr>
          <w:rFonts w:cs="Arial"/>
        </w:rPr>
        <w:t>NEL</w:t>
      </w:r>
      <w:r w:rsidR="006308A5">
        <w:rPr>
          <w:rFonts w:cs="Arial"/>
        </w:rPr>
        <w:t xml:space="preserve"> </w:t>
      </w:r>
      <w:r w:rsidR="008910F3">
        <w:rPr>
          <w:rFonts w:cs="Arial"/>
        </w:rPr>
        <w:t xml:space="preserve">are </w:t>
      </w:r>
      <w:r w:rsidR="00973D26">
        <w:rPr>
          <w:rFonts w:cs="Arial"/>
        </w:rPr>
        <w:t>connected to</w:t>
      </w:r>
      <w:r w:rsidR="008910F3">
        <w:rPr>
          <w:rFonts w:cs="Arial"/>
        </w:rPr>
        <w:t xml:space="preserve"> the</w:t>
      </w:r>
      <w:r w:rsidR="00EE2268">
        <w:rPr>
          <w:rFonts w:cs="Arial"/>
        </w:rPr>
        <w:t xml:space="preserve"> existing offshore windfarms (</w:t>
      </w:r>
      <w:r w:rsidR="00EE2268">
        <w:t>Lynn and Inner Dowsing)</w:t>
      </w:r>
      <w:r w:rsidR="00EE2268">
        <w:rPr>
          <w:rFonts w:cs="Arial"/>
        </w:rPr>
        <w:t xml:space="preserve"> and the Humber Gateway</w:t>
      </w:r>
      <w:r w:rsidR="002E0D85">
        <w:rPr>
          <w:rFonts w:cs="Arial"/>
        </w:rPr>
        <w:t>, Race Bank, Triton Knoll</w:t>
      </w:r>
      <w:r w:rsidR="00EE2268">
        <w:rPr>
          <w:rFonts w:cs="Arial"/>
        </w:rPr>
        <w:t xml:space="preserve"> and </w:t>
      </w:r>
      <w:r w:rsidR="008910F3">
        <w:rPr>
          <w:rFonts w:cs="Arial"/>
        </w:rPr>
        <w:t xml:space="preserve">Westermost Rough </w:t>
      </w:r>
      <w:r w:rsidR="00EE2268">
        <w:rPr>
          <w:rFonts w:cs="Arial"/>
        </w:rPr>
        <w:t>w</w:t>
      </w:r>
      <w:r w:rsidR="00F81FCB">
        <w:rPr>
          <w:rFonts w:cs="Arial"/>
        </w:rPr>
        <w:t>indfarm</w:t>
      </w:r>
      <w:r w:rsidR="00EE2268">
        <w:rPr>
          <w:rFonts w:cs="Arial"/>
        </w:rPr>
        <w:t>s</w:t>
      </w:r>
      <w:r w:rsidR="002E0D85">
        <w:rPr>
          <w:rFonts w:cs="Arial"/>
        </w:rPr>
        <w:t xml:space="preserve"> under construction</w:t>
      </w:r>
      <w:r w:rsidR="008910F3">
        <w:rPr>
          <w:rFonts w:cs="Arial"/>
        </w:rPr>
        <w:t xml:space="preserve">. The sector </w:t>
      </w:r>
      <w:r w:rsidR="008910F3" w:rsidRPr="008910F3">
        <w:rPr>
          <w:rFonts w:cs="Arial"/>
        </w:rPr>
        <w:t xml:space="preserve">is </w:t>
      </w:r>
      <w:r w:rsidR="006308A5">
        <w:rPr>
          <w:rFonts w:cs="Arial"/>
        </w:rPr>
        <w:t>r</w:t>
      </w:r>
      <w:r w:rsidR="008910F3" w:rsidRPr="008910F3">
        <w:rPr>
          <w:rFonts w:cs="Arial"/>
        </w:rPr>
        <w:t xml:space="preserve">apidly developing </w:t>
      </w:r>
      <w:r>
        <w:rPr>
          <w:rFonts w:cs="Arial"/>
        </w:rPr>
        <w:t xml:space="preserve">and is expected to become more important </w:t>
      </w:r>
      <w:r w:rsidR="006308A5">
        <w:rPr>
          <w:rFonts w:cs="Arial"/>
        </w:rPr>
        <w:t xml:space="preserve">in the local area </w:t>
      </w:r>
      <w:r w:rsidR="001B0190">
        <w:rPr>
          <w:rFonts w:cs="Arial"/>
        </w:rPr>
        <w:t>due to</w:t>
      </w:r>
      <w:r w:rsidR="006308A5">
        <w:rPr>
          <w:rFonts w:cs="Arial"/>
        </w:rPr>
        <w:t xml:space="preserve"> the planned </w:t>
      </w:r>
      <w:r w:rsidR="00F81FCB">
        <w:rPr>
          <w:rFonts w:cs="Arial"/>
        </w:rPr>
        <w:t>windfarm</w:t>
      </w:r>
      <w:r w:rsidR="006308A5">
        <w:rPr>
          <w:rFonts w:cs="Arial"/>
        </w:rPr>
        <w:t xml:space="preserve"> </w:t>
      </w:r>
      <w:r w:rsidR="001B0190">
        <w:rPr>
          <w:rFonts w:cs="Arial"/>
        </w:rPr>
        <w:t>developments</w:t>
      </w:r>
      <w:r w:rsidR="00973D26">
        <w:rPr>
          <w:rFonts w:cs="Arial"/>
        </w:rPr>
        <w:t>. Given that</w:t>
      </w:r>
      <w:r w:rsidR="006308A5">
        <w:rPr>
          <w:rFonts w:cs="Arial"/>
        </w:rPr>
        <w:t xml:space="preserve"> </w:t>
      </w:r>
      <w:r w:rsidRPr="00583992">
        <w:rPr>
          <w:rFonts w:cs="Arial"/>
        </w:rPr>
        <w:t xml:space="preserve">O&amp;M activity accounts for approximately </w:t>
      </w:r>
      <w:r w:rsidR="00973D26">
        <w:rPr>
          <w:rFonts w:cs="Arial"/>
        </w:rPr>
        <w:t>25% of the</w:t>
      </w:r>
      <w:r w:rsidRPr="00583992">
        <w:rPr>
          <w:rFonts w:cs="Arial"/>
        </w:rPr>
        <w:t xml:space="preserve"> life-time cost of an of</w:t>
      </w:r>
      <w:r w:rsidR="00973D26">
        <w:rPr>
          <w:rFonts w:cs="Arial"/>
        </w:rPr>
        <w:t xml:space="preserve">fshore </w:t>
      </w:r>
      <w:r w:rsidR="00F81FCB">
        <w:rPr>
          <w:rFonts w:cs="Arial"/>
        </w:rPr>
        <w:t>windfarm</w:t>
      </w:r>
      <w:r w:rsidR="00973D26">
        <w:rPr>
          <w:rFonts w:cs="Arial"/>
        </w:rPr>
        <w:t>, substantial opportunities exist in serving this demand</w:t>
      </w:r>
      <w:r>
        <w:rPr>
          <w:rFonts w:cs="Arial"/>
        </w:rPr>
        <w:t xml:space="preserve">. </w:t>
      </w:r>
      <w:r w:rsidR="006308A5">
        <w:rPr>
          <w:rFonts w:cs="Arial"/>
        </w:rPr>
        <w:t xml:space="preserve">Key companies in the </w:t>
      </w:r>
      <w:r w:rsidR="001B0190">
        <w:rPr>
          <w:rFonts w:cs="Arial"/>
        </w:rPr>
        <w:t xml:space="preserve">wind </w:t>
      </w:r>
      <w:r w:rsidR="006308A5">
        <w:rPr>
          <w:rFonts w:cs="Arial"/>
        </w:rPr>
        <w:t xml:space="preserve">sector locally include </w:t>
      </w:r>
      <w:r w:rsidR="00EA3771">
        <w:rPr>
          <w:rFonts w:cs="Arial"/>
        </w:rPr>
        <w:t xml:space="preserve">Siemens, </w:t>
      </w:r>
      <w:r w:rsidR="00973D26">
        <w:rPr>
          <w:rFonts w:cs="Arial"/>
        </w:rPr>
        <w:t xml:space="preserve">Centrica, </w:t>
      </w:r>
      <w:r w:rsidR="00577236">
        <w:rPr>
          <w:rFonts w:cs="Arial"/>
        </w:rPr>
        <w:t xml:space="preserve">DONG </w:t>
      </w:r>
      <w:r w:rsidR="00973D26">
        <w:rPr>
          <w:rFonts w:cs="Arial"/>
        </w:rPr>
        <w:t>and E</w:t>
      </w:r>
      <w:r w:rsidR="00577236">
        <w:rPr>
          <w:rFonts w:cs="Arial"/>
        </w:rPr>
        <w:t>.ON</w:t>
      </w:r>
      <w:r w:rsidR="006308A5">
        <w:rPr>
          <w:rFonts w:cs="Arial"/>
        </w:rPr>
        <w:t>.</w:t>
      </w:r>
    </w:p>
    <w:p w14:paraId="5978EB3D" w14:textId="77777777" w:rsidR="008910F3" w:rsidRDefault="008910F3" w:rsidP="00C93734">
      <w:pPr>
        <w:jc w:val="both"/>
        <w:rPr>
          <w:rFonts w:cs="Arial"/>
        </w:rPr>
      </w:pPr>
      <w:r>
        <w:rPr>
          <w:rFonts w:cs="Arial"/>
        </w:rPr>
        <w:t xml:space="preserve">In the future, </w:t>
      </w:r>
      <w:r w:rsidRPr="008910F3">
        <w:rPr>
          <w:rFonts w:cs="Arial"/>
        </w:rPr>
        <w:t xml:space="preserve">more and larger offshore wind projects </w:t>
      </w:r>
      <w:r>
        <w:rPr>
          <w:rFonts w:cs="Arial"/>
        </w:rPr>
        <w:t>will be built (</w:t>
      </w:r>
      <w:r w:rsidR="00583992">
        <w:rPr>
          <w:rFonts w:cs="Arial"/>
        </w:rPr>
        <w:t>e.g.</w:t>
      </w:r>
      <w:r>
        <w:rPr>
          <w:rFonts w:cs="Arial"/>
        </w:rPr>
        <w:t xml:space="preserve"> Round 3) and these will be </w:t>
      </w:r>
      <w:r w:rsidRPr="008910F3">
        <w:rPr>
          <w:rFonts w:cs="Arial"/>
        </w:rPr>
        <w:t>further from shore</w:t>
      </w:r>
      <w:r>
        <w:rPr>
          <w:rFonts w:cs="Arial"/>
        </w:rPr>
        <w:t xml:space="preserve">. </w:t>
      </w:r>
      <w:r w:rsidR="001B0190">
        <w:rPr>
          <w:rFonts w:cs="Arial"/>
        </w:rPr>
        <w:t>Accessing</w:t>
      </w:r>
      <w:r w:rsidRPr="008910F3">
        <w:rPr>
          <w:rFonts w:cs="Arial"/>
        </w:rPr>
        <w:t xml:space="preserve"> the turbines to carry out maintenance will require new logistical solutions. </w:t>
      </w:r>
      <w:r w:rsidR="00583992">
        <w:rPr>
          <w:rFonts w:cs="Arial"/>
        </w:rPr>
        <w:t xml:space="preserve">This will include different </w:t>
      </w:r>
      <w:r w:rsidR="001B0190">
        <w:rPr>
          <w:rFonts w:cs="Arial"/>
        </w:rPr>
        <w:t xml:space="preserve">approaches to </w:t>
      </w:r>
      <w:r w:rsidRPr="008910F3">
        <w:rPr>
          <w:rFonts w:cs="Arial"/>
        </w:rPr>
        <w:t xml:space="preserve">workboat </w:t>
      </w:r>
      <w:r w:rsidR="001B0190">
        <w:rPr>
          <w:rFonts w:cs="Arial"/>
        </w:rPr>
        <w:t xml:space="preserve">support </w:t>
      </w:r>
      <w:r w:rsidR="00583992">
        <w:rPr>
          <w:rFonts w:cs="Arial"/>
        </w:rPr>
        <w:t xml:space="preserve">as well as </w:t>
      </w:r>
      <w:r w:rsidRPr="008910F3">
        <w:rPr>
          <w:rFonts w:cs="Arial"/>
        </w:rPr>
        <w:t>helicopter support and</w:t>
      </w:r>
      <w:r w:rsidR="00583992">
        <w:rPr>
          <w:rFonts w:cs="Arial"/>
        </w:rPr>
        <w:t xml:space="preserve"> offshore working bases. </w:t>
      </w:r>
    </w:p>
    <w:p w14:paraId="0EE55E80" w14:textId="77777777" w:rsidR="00AA0EF3" w:rsidRDefault="00AA0EF3">
      <w:pPr>
        <w:spacing w:after="200" w:line="276" w:lineRule="auto"/>
        <w:rPr>
          <w:rFonts w:cs="Arial"/>
          <w:b/>
        </w:rPr>
      </w:pPr>
      <w:r>
        <w:rPr>
          <w:rFonts w:cs="Arial"/>
          <w:b/>
        </w:rPr>
        <w:br w:type="page"/>
      </w:r>
    </w:p>
    <w:p w14:paraId="10671817" w14:textId="77777777" w:rsidR="00030C7C" w:rsidRPr="00030C7C" w:rsidRDefault="00030C7C" w:rsidP="00C93734">
      <w:pPr>
        <w:jc w:val="both"/>
        <w:rPr>
          <w:rFonts w:cs="Arial"/>
          <w:b/>
        </w:rPr>
      </w:pPr>
      <w:r>
        <w:rPr>
          <w:rFonts w:cs="Arial"/>
          <w:b/>
        </w:rPr>
        <w:t>Logistics</w:t>
      </w:r>
    </w:p>
    <w:p w14:paraId="5E13D7B0" w14:textId="77777777" w:rsidR="006308A5" w:rsidRDefault="00AA0EF3" w:rsidP="00C93734">
      <w:pPr>
        <w:jc w:val="both"/>
        <w:rPr>
          <w:rFonts w:cs="Arial"/>
        </w:rPr>
      </w:pPr>
      <w:r>
        <w:rPr>
          <w:rFonts w:cs="Arial"/>
        </w:rPr>
        <w:t>Bespoke t</w:t>
      </w:r>
      <w:r w:rsidR="006308A5">
        <w:rPr>
          <w:rFonts w:cs="Arial"/>
        </w:rPr>
        <w:t xml:space="preserve">ransport solutions are required for the transport of materials and people across the whole spectrum of </w:t>
      </w:r>
      <w:r w:rsidR="00F81FCB">
        <w:rPr>
          <w:rFonts w:cs="Arial"/>
        </w:rPr>
        <w:t>windfarm</w:t>
      </w:r>
      <w:r w:rsidR="006308A5">
        <w:rPr>
          <w:rFonts w:cs="Arial"/>
        </w:rPr>
        <w:t xml:space="preserve"> activities including construction, manufacture and O&amp;M. </w:t>
      </w:r>
      <w:r w:rsidR="00485005">
        <w:rPr>
          <w:rFonts w:cs="Arial"/>
        </w:rPr>
        <w:t xml:space="preserve">Transport activities included </w:t>
      </w:r>
      <w:r w:rsidR="001B0190">
        <w:rPr>
          <w:rFonts w:cs="Arial"/>
        </w:rPr>
        <w:t>transporting</w:t>
      </w:r>
      <w:r w:rsidR="001B0190" w:rsidRPr="006308A5">
        <w:rPr>
          <w:rFonts w:cs="Arial"/>
        </w:rPr>
        <w:t xml:space="preserve"> </w:t>
      </w:r>
      <w:r w:rsidR="006308A5" w:rsidRPr="006308A5">
        <w:rPr>
          <w:rFonts w:cs="Arial"/>
        </w:rPr>
        <w:t xml:space="preserve">technicians </w:t>
      </w:r>
      <w:r w:rsidR="001B0190">
        <w:rPr>
          <w:rFonts w:cs="Arial"/>
        </w:rPr>
        <w:t>to and from</w:t>
      </w:r>
      <w:r w:rsidR="006308A5" w:rsidRPr="006308A5">
        <w:rPr>
          <w:rFonts w:cs="Arial"/>
        </w:rPr>
        <w:t xml:space="preserve"> turbines and offshore</w:t>
      </w:r>
      <w:r w:rsidR="00485005">
        <w:rPr>
          <w:rFonts w:cs="Arial"/>
        </w:rPr>
        <w:t xml:space="preserve"> substations to carry out work, transporting turbines and towers to offshore sites and transporting materials to and from manufacturing sites </w:t>
      </w:r>
      <w:r w:rsidR="001B0190">
        <w:rPr>
          <w:rFonts w:cs="Arial"/>
        </w:rPr>
        <w:t>and</w:t>
      </w:r>
      <w:r w:rsidR="00485005">
        <w:rPr>
          <w:rFonts w:cs="Arial"/>
        </w:rPr>
        <w:t xml:space="preserve"> assembly points. Key companies that operate locally include Tidal Transit</w:t>
      </w:r>
      <w:r w:rsidR="00227074">
        <w:rPr>
          <w:rFonts w:cs="Arial"/>
        </w:rPr>
        <w:t xml:space="preserve"> (Norfolk based but UK Wide)</w:t>
      </w:r>
      <w:r w:rsidR="00485005">
        <w:rPr>
          <w:rFonts w:cs="Arial"/>
        </w:rPr>
        <w:t xml:space="preserve">, </w:t>
      </w:r>
      <w:r w:rsidR="009052A6">
        <w:rPr>
          <w:rFonts w:cs="Arial"/>
        </w:rPr>
        <w:t>Turbine Transfers (Welsh), Windcat Workboats (Lowestoft),</w:t>
      </w:r>
      <w:r w:rsidR="00485005">
        <w:rPr>
          <w:rFonts w:cs="Arial"/>
        </w:rPr>
        <w:t xml:space="preserve"> Wind Power Support </w:t>
      </w:r>
      <w:r w:rsidR="00227074">
        <w:rPr>
          <w:rFonts w:cs="Arial"/>
        </w:rPr>
        <w:t>(</w:t>
      </w:r>
      <w:r w:rsidR="00577236">
        <w:rPr>
          <w:rFonts w:cs="Arial"/>
        </w:rPr>
        <w:t>NEL</w:t>
      </w:r>
      <w:r w:rsidR="00227074">
        <w:rPr>
          <w:rFonts w:cs="Arial"/>
        </w:rPr>
        <w:t xml:space="preserve"> owned and operated) </w:t>
      </w:r>
      <w:r w:rsidR="00485005">
        <w:rPr>
          <w:rFonts w:cs="Arial"/>
        </w:rPr>
        <w:t>and Collet Transport</w:t>
      </w:r>
      <w:r w:rsidR="00227074">
        <w:rPr>
          <w:rFonts w:cs="Arial"/>
        </w:rPr>
        <w:t xml:space="preserve"> (based in </w:t>
      </w:r>
      <w:r w:rsidR="009052A6">
        <w:rPr>
          <w:rFonts w:cs="Arial"/>
        </w:rPr>
        <w:t xml:space="preserve">Goole </w:t>
      </w:r>
      <w:r w:rsidR="00227074">
        <w:rPr>
          <w:rFonts w:cs="Arial"/>
        </w:rPr>
        <w:t>but UK wide)</w:t>
      </w:r>
      <w:r w:rsidR="00485005">
        <w:rPr>
          <w:rFonts w:cs="Arial"/>
        </w:rPr>
        <w:t xml:space="preserve">. </w:t>
      </w:r>
      <w:r w:rsidR="00982100">
        <w:rPr>
          <w:rFonts w:cs="Arial"/>
        </w:rPr>
        <w:t>A range</w:t>
      </w:r>
      <w:r w:rsidR="00485005">
        <w:rPr>
          <w:rFonts w:cs="Arial"/>
        </w:rPr>
        <w:t xml:space="preserve"> of opportunities </w:t>
      </w:r>
      <w:r w:rsidR="00982100">
        <w:rPr>
          <w:rFonts w:cs="Arial"/>
        </w:rPr>
        <w:t xml:space="preserve">therefore exists </w:t>
      </w:r>
      <w:r w:rsidR="00485005">
        <w:rPr>
          <w:rFonts w:cs="Arial"/>
        </w:rPr>
        <w:t xml:space="preserve">for logistics companies </w:t>
      </w:r>
      <w:r w:rsidR="00982100">
        <w:rPr>
          <w:rFonts w:cs="Arial"/>
        </w:rPr>
        <w:t xml:space="preserve">and local SMEs have been able to take advantage of these. Additionally, these opportunities </w:t>
      </w:r>
      <w:r w:rsidR="00485005">
        <w:rPr>
          <w:rFonts w:cs="Arial"/>
        </w:rPr>
        <w:t>could increase as manufacturing sites are increasingly established locally and in other areas of the UK.</w:t>
      </w:r>
    </w:p>
    <w:p w14:paraId="3A4650A8" w14:textId="77777777" w:rsidR="00030C7C" w:rsidRPr="00030C7C" w:rsidRDefault="00030C7C" w:rsidP="00C93734">
      <w:pPr>
        <w:jc w:val="both"/>
        <w:rPr>
          <w:rFonts w:cs="Arial"/>
          <w:b/>
        </w:rPr>
      </w:pPr>
      <w:r>
        <w:rPr>
          <w:rFonts w:cs="Arial"/>
          <w:b/>
        </w:rPr>
        <w:t>Port Operators</w:t>
      </w:r>
    </w:p>
    <w:p w14:paraId="36910F14" w14:textId="77777777" w:rsidR="009F753F" w:rsidRDefault="00485005" w:rsidP="00C93734">
      <w:pPr>
        <w:jc w:val="both"/>
        <w:rPr>
          <w:rFonts w:cs="Arial"/>
        </w:rPr>
      </w:pPr>
      <w:r>
        <w:rPr>
          <w:rFonts w:cs="Arial"/>
        </w:rPr>
        <w:t>Port operators are critical to the success of the sector, as often they are proprietor</w:t>
      </w:r>
      <w:r w:rsidR="00982100">
        <w:rPr>
          <w:rFonts w:cs="Arial"/>
        </w:rPr>
        <w:t>s of ports</w:t>
      </w:r>
      <w:r>
        <w:rPr>
          <w:rFonts w:cs="Arial"/>
        </w:rPr>
        <w:t xml:space="preserve"> and are </w:t>
      </w:r>
      <w:r w:rsidR="00982100">
        <w:rPr>
          <w:rFonts w:cs="Arial"/>
        </w:rPr>
        <w:t>central to</w:t>
      </w:r>
      <w:r>
        <w:rPr>
          <w:rFonts w:cs="Arial"/>
        </w:rPr>
        <w:t xml:space="preserve"> </w:t>
      </w:r>
      <w:r w:rsidR="00982100">
        <w:rPr>
          <w:rFonts w:cs="Arial"/>
        </w:rPr>
        <w:t>decision-</w:t>
      </w:r>
      <w:r>
        <w:rPr>
          <w:rFonts w:cs="Arial"/>
        </w:rPr>
        <w:t xml:space="preserve">making and investment. ABP’s port ownership is ultimately important and the support for the industry from </w:t>
      </w:r>
      <w:r w:rsidRPr="009F753F">
        <w:t>Grimsby </w:t>
      </w:r>
      <w:r w:rsidRPr="009F753F">
        <w:rPr>
          <w:rFonts w:cs="Arial"/>
        </w:rPr>
        <w:t xml:space="preserve">Fish Dock Enterprises Ltd has enabled the growth of facilities and </w:t>
      </w:r>
      <w:r w:rsidR="009F753F" w:rsidRPr="009F753F">
        <w:rPr>
          <w:rFonts w:cs="Arial"/>
        </w:rPr>
        <w:t xml:space="preserve">activities in the Grimsby area. </w:t>
      </w:r>
      <w:r w:rsidR="006308A5" w:rsidRPr="006308A5">
        <w:rPr>
          <w:rFonts w:cs="Arial"/>
        </w:rPr>
        <w:t>Flexibility</w:t>
      </w:r>
      <w:r w:rsidR="009F753F">
        <w:rPr>
          <w:rFonts w:cs="Arial"/>
        </w:rPr>
        <w:t xml:space="preserve"> </w:t>
      </w:r>
      <w:r w:rsidR="00982100">
        <w:rPr>
          <w:rFonts w:cs="Arial"/>
        </w:rPr>
        <w:t>in</w:t>
      </w:r>
      <w:r w:rsidR="006308A5" w:rsidRPr="006308A5">
        <w:rPr>
          <w:rFonts w:cs="Arial"/>
        </w:rPr>
        <w:t xml:space="preserve"> work</w:t>
      </w:r>
      <w:r w:rsidR="00982100">
        <w:rPr>
          <w:rFonts w:cs="Arial"/>
        </w:rPr>
        <w:t>ing</w:t>
      </w:r>
      <w:r w:rsidR="006308A5" w:rsidRPr="006308A5">
        <w:rPr>
          <w:rFonts w:cs="Arial"/>
        </w:rPr>
        <w:t xml:space="preserve"> closely with </w:t>
      </w:r>
      <w:r w:rsidR="00F81FCB">
        <w:rPr>
          <w:rFonts w:cs="Arial"/>
        </w:rPr>
        <w:t>windfarm</w:t>
      </w:r>
      <w:r w:rsidR="009F753F">
        <w:rPr>
          <w:rFonts w:cs="Arial"/>
        </w:rPr>
        <w:t xml:space="preserve"> </w:t>
      </w:r>
      <w:r w:rsidR="006308A5" w:rsidRPr="006308A5">
        <w:rPr>
          <w:rFonts w:cs="Arial"/>
        </w:rPr>
        <w:t>developer</w:t>
      </w:r>
      <w:r w:rsidR="009F753F">
        <w:rPr>
          <w:rFonts w:cs="Arial"/>
        </w:rPr>
        <w:t>s and other organisations</w:t>
      </w:r>
      <w:r w:rsidR="006308A5" w:rsidRPr="006308A5">
        <w:rPr>
          <w:rFonts w:cs="Arial"/>
        </w:rPr>
        <w:t xml:space="preserve"> is vital particularly since the </w:t>
      </w:r>
      <w:r w:rsidR="002E0D85">
        <w:rPr>
          <w:rFonts w:cs="Arial"/>
        </w:rPr>
        <w:t xml:space="preserve">port </w:t>
      </w:r>
      <w:r w:rsidR="006308A5" w:rsidRPr="006308A5">
        <w:rPr>
          <w:rFonts w:cs="Arial"/>
        </w:rPr>
        <w:t>facility is likely to remain operational for at least 20 years</w:t>
      </w:r>
      <w:r w:rsidR="009F753F">
        <w:rPr>
          <w:rFonts w:cs="Arial"/>
        </w:rPr>
        <w:t>. Furthermore, access is also important</w:t>
      </w:r>
      <w:r w:rsidR="00982100">
        <w:rPr>
          <w:rFonts w:cs="Arial"/>
        </w:rPr>
        <w:t>;</w:t>
      </w:r>
      <w:r w:rsidR="009F753F">
        <w:rPr>
          <w:rFonts w:cs="Arial"/>
        </w:rPr>
        <w:t xml:space="preserve"> </w:t>
      </w:r>
      <w:r w:rsidR="006308A5" w:rsidRPr="006308A5">
        <w:rPr>
          <w:rFonts w:cs="Arial"/>
        </w:rPr>
        <w:t xml:space="preserve">most </w:t>
      </w:r>
      <w:r w:rsidR="00973D26">
        <w:rPr>
          <w:rFonts w:cs="Arial"/>
        </w:rPr>
        <w:t xml:space="preserve">O&amp;M facilities currently </w:t>
      </w:r>
      <w:r w:rsidR="00982100">
        <w:rPr>
          <w:rFonts w:cs="Arial"/>
        </w:rPr>
        <w:t>operate</w:t>
      </w:r>
      <w:r w:rsidR="00982100" w:rsidRPr="006308A5">
        <w:rPr>
          <w:rFonts w:cs="Arial"/>
        </w:rPr>
        <w:t xml:space="preserve"> </w:t>
      </w:r>
      <w:r w:rsidR="00973D26">
        <w:rPr>
          <w:rFonts w:cs="Arial"/>
        </w:rPr>
        <w:t xml:space="preserve">a 12 hour </w:t>
      </w:r>
      <w:r w:rsidR="00982100">
        <w:rPr>
          <w:rFonts w:cs="Arial"/>
        </w:rPr>
        <w:t>day, whilst i</w:t>
      </w:r>
      <w:r w:rsidR="009F753F">
        <w:rPr>
          <w:rFonts w:cs="Arial"/>
        </w:rPr>
        <w:t xml:space="preserve">n the future </w:t>
      </w:r>
      <w:r w:rsidR="006308A5" w:rsidRPr="006308A5">
        <w:rPr>
          <w:rFonts w:cs="Arial"/>
        </w:rPr>
        <w:t xml:space="preserve">24 hour access </w:t>
      </w:r>
      <w:r w:rsidR="009F753F">
        <w:rPr>
          <w:rFonts w:cs="Arial"/>
        </w:rPr>
        <w:t xml:space="preserve">will be required. The building of the ABLE </w:t>
      </w:r>
      <w:r w:rsidR="00F81FCB">
        <w:rPr>
          <w:rFonts w:cs="Arial"/>
        </w:rPr>
        <w:t>M</w:t>
      </w:r>
      <w:r w:rsidR="009F753F">
        <w:rPr>
          <w:rFonts w:cs="Arial"/>
        </w:rPr>
        <w:t>arine</w:t>
      </w:r>
      <w:r w:rsidR="00F81FCB">
        <w:rPr>
          <w:rFonts w:cs="Arial"/>
        </w:rPr>
        <w:t xml:space="preserve"> Energy</w:t>
      </w:r>
      <w:r w:rsidR="009F753F">
        <w:rPr>
          <w:rFonts w:cs="Arial"/>
        </w:rPr>
        <w:t xml:space="preserve"> </w:t>
      </w:r>
      <w:r w:rsidR="00F81FCB">
        <w:rPr>
          <w:rFonts w:cs="Arial"/>
        </w:rPr>
        <w:t>P</w:t>
      </w:r>
      <w:r w:rsidR="009F753F">
        <w:rPr>
          <w:rFonts w:cs="Arial"/>
        </w:rPr>
        <w:t>ark</w:t>
      </w:r>
      <w:r w:rsidR="00973D26">
        <w:rPr>
          <w:rFonts w:cs="Arial"/>
        </w:rPr>
        <w:t xml:space="preserve"> and Hull Green Port</w:t>
      </w:r>
      <w:r w:rsidR="009F753F">
        <w:rPr>
          <w:rFonts w:cs="Arial"/>
        </w:rPr>
        <w:t xml:space="preserve"> will also further support</w:t>
      </w:r>
      <w:r w:rsidR="00973D26">
        <w:rPr>
          <w:rFonts w:cs="Arial"/>
        </w:rPr>
        <w:t xml:space="preserve"> substantial investment in the renewables sector.  </w:t>
      </w:r>
      <w:r w:rsidR="009F753F">
        <w:rPr>
          <w:rFonts w:cs="Arial"/>
        </w:rPr>
        <w:t xml:space="preserve"> </w:t>
      </w:r>
    </w:p>
    <w:p w14:paraId="75FC4821" w14:textId="77777777" w:rsidR="008D7250" w:rsidRDefault="00030C7C">
      <w:pPr>
        <w:tabs>
          <w:tab w:val="left" w:pos="7890"/>
        </w:tabs>
        <w:jc w:val="both"/>
        <w:rPr>
          <w:rFonts w:cs="Arial"/>
          <w:b/>
        </w:rPr>
      </w:pPr>
      <w:r>
        <w:rPr>
          <w:rFonts w:cs="Arial"/>
          <w:b/>
        </w:rPr>
        <w:t>Marine Engineering</w:t>
      </w:r>
      <w:r w:rsidR="007C3A3C">
        <w:rPr>
          <w:rFonts w:cs="Arial"/>
          <w:b/>
        </w:rPr>
        <w:tab/>
      </w:r>
    </w:p>
    <w:p w14:paraId="6A682055" w14:textId="77777777" w:rsidR="006E52FE" w:rsidRDefault="006E52FE" w:rsidP="006E52FE">
      <w:pPr>
        <w:jc w:val="both"/>
        <w:rPr>
          <w:rFonts w:cs="Arial"/>
        </w:rPr>
      </w:pPr>
      <w:r>
        <w:rPr>
          <w:rFonts w:cs="Arial"/>
        </w:rPr>
        <w:t xml:space="preserve">A range of marine engineering firms exist which have previously served the trawler fleet and currently serve the leisure boating and freight </w:t>
      </w:r>
      <w:r w:rsidR="00982100">
        <w:rPr>
          <w:rFonts w:cs="Arial"/>
        </w:rPr>
        <w:t>activities</w:t>
      </w:r>
      <w:r>
        <w:rPr>
          <w:rFonts w:cs="Arial"/>
        </w:rPr>
        <w:t xml:space="preserve">. </w:t>
      </w:r>
      <w:r w:rsidR="00982100">
        <w:rPr>
          <w:rFonts w:cs="Arial"/>
        </w:rPr>
        <w:t>Existing</w:t>
      </w:r>
      <w:r>
        <w:rPr>
          <w:rFonts w:cs="Arial"/>
        </w:rPr>
        <w:t xml:space="preserve"> facilities </w:t>
      </w:r>
      <w:r w:rsidR="00982100">
        <w:rPr>
          <w:rFonts w:cs="Arial"/>
        </w:rPr>
        <w:t xml:space="preserve">including </w:t>
      </w:r>
      <w:r>
        <w:rPr>
          <w:rFonts w:cs="Arial"/>
        </w:rPr>
        <w:t>slipways, dock gates and cranes can be used by firms</w:t>
      </w:r>
      <w:r w:rsidR="00982100">
        <w:rPr>
          <w:rFonts w:cs="Arial"/>
        </w:rPr>
        <w:t xml:space="preserve">, </w:t>
      </w:r>
      <w:r>
        <w:rPr>
          <w:rFonts w:cs="Arial"/>
        </w:rPr>
        <w:t xml:space="preserve">although some are in poor condition or unsuitable for larger vessels. These organisations and facilities play an important role in all aspects of the current supply chain by providing design, construction and maintenance engineering solutions. A range of other services also exist that contribute to the </w:t>
      </w:r>
      <w:r w:rsidR="00982100">
        <w:rPr>
          <w:rFonts w:cs="Arial"/>
        </w:rPr>
        <w:t xml:space="preserve">area’s </w:t>
      </w:r>
      <w:r>
        <w:rPr>
          <w:rFonts w:cs="Arial"/>
        </w:rPr>
        <w:t>marine engineering and wider offshore wind offer</w:t>
      </w:r>
      <w:r w:rsidR="00982100">
        <w:rPr>
          <w:rFonts w:cs="Arial"/>
        </w:rPr>
        <w:t>s</w:t>
      </w:r>
      <w:r>
        <w:rPr>
          <w:rFonts w:cs="Arial"/>
        </w:rPr>
        <w:t xml:space="preserve">, </w:t>
      </w:r>
      <w:r w:rsidR="00982100">
        <w:rPr>
          <w:rFonts w:cs="Arial"/>
        </w:rPr>
        <w:t>including</w:t>
      </w:r>
      <w:r>
        <w:rPr>
          <w:rFonts w:cs="Arial"/>
        </w:rPr>
        <w:t xml:space="preserve"> naval architects, shipwrights, painting, fuel bunkering, electrical, fuel &amp; water services and construction.</w:t>
      </w:r>
    </w:p>
    <w:p w14:paraId="37AD50F2" w14:textId="77777777" w:rsidR="00030C7C" w:rsidRPr="00030C7C" w:rsidRDefault="00030C7C" w:rsidP="006E52FE">
      <w:pPr>
        <w:jc w:val="both"/>
        <w:rPr>
          <w:rFonts w:cs="Arial"/>
          <w:b/>
        </w:rPr>
      </w:pPr>
      <w:r>
        <w:rPr>
          <w:rFonts w:cs="Arial"/>
          <w:b/>
        </w:rPr>
        <w:t>Manufacturing</w:t>
      </w:r>
    </w:p>
    <w:p w14:paraId="0F071541" w14:textId="77777777" w:rsidR="006144F2" w:rsidRDefault="00982100" w:rsidP="00C93734">
      <w:pPr>
        <w:jc w:val="both"/>
        <w:rPr>
          <w:rFonts w:cs="Arial"/>
        </w:rPr>
      </w:pPr>
      <w:r>
        <w:rPr>
          <w:rFonts w:cs="Arial"/>
        </w:rPr>
        <w:t>A current government goal</w:t>
      </w:r>
      <w:r w:rsidR="00A67AE7">
        <w:rPr>
          <w:rStyle w:val="FootnoteReference"/>
          <w:rFonts w:cs="Arial"/>
        </w:rPr>
        <w:footnoteReference w:id="24"/>
      </w:r>
      <w:r w:rsidR="00A67AE7">
        <w:rPr>
          <w:rFonts w:cs="Arial"/>
        </w:rPr>
        <w:t xml:space="preserve"> </w:t>
      </w:r>
      <w:r>
        <w:rPr>
          <w:rFonts w:cs="Arial"/>
        </w:rPr>
        <w:t xml:space="preserve">is </w:t>
      </w:r>
      <w:r w:rsidR="00A67AE7">
        <w:rPr>
          <w:rFonts w:cs="Arial"/>
        </w:rPr>
        <w:t xml:space="preserve">to attract </w:t>
      </w:r>
      <w:r w:rsidR="00A67AE7" w:rsidRPr="00A67AE7">
        <w:rPr>
          <w:rFonts w:cs="Arial"/>
        </w:rPr>
        <w:t>major manufacturing facilities</w:t>
      </w:r>
      <w:r w:rsidR="00A67AE7">
        <w:rPr>
          <w:rFonts w:cs="Arial"/>
        </w:rPr>
        <w:t xml:space="preserve"> to </w:t>
      </w:r>
      <w:r w:rsidR="00A67AE7" w:rsidRPr="00A67AE7">
        <w:rPr>
          <w:rFonts w:cs="Arial"/>
        </w:rPr>
        <w:t>the UK</w:t>
      </w:r>
      <w:r w:rsidR="00A67AE7">
        <w:rPr>
          <w:rFonts w:cs="Arial"/>
        </w:rPr>
        <w:t xml:space="preserve"> </w:t>
      </w:r>
      <w:r w:rsidR="00612EBD">
        <w:rPr>
          <w:rFonts w:cs="Arial"/>
        </w:rPr>
        <w:t>in order to</w:t>
      </w:r>
      <w:r w:rsidR="00A67AE7">
        <w:rPr>
          <w:rFonts w:cs="Arial"/>
        </w:rPr>
        <w:t xml:space="preserve"> </w:t>
      </w:r>
      <w:r w:rsidR="00612EBD">
        <w:rPr>
          <w:rFonts w:cs="Arial"/>
        </w:rPr>
        <w:t>provide</w:t>
      </w:r>
      <w:r w:rsidR="00A67AE7">
        <w:rPr>
          <w:rFonts w:cs="Arial"/>
        </w:rPr>
        <w:t xml:space="preserve"> </w:t>
      </w:r>
      <w:r w:rsidR="00612EBD">
        <w:rPr>
          <w:rFonts w:cs="Arial"/>
        </w:rPr>
        <w:t>for l</w:t>
      </w:r>
      <w:r w:rsidR="00612EBD" w:rsidRPr="00A67AE7">
        <w:rPr>
          <w:rFonts w:cs="Arial"/>
        </w:rPr>
        <w:t>ong</w:t>
      </w:r>
      <w:r w:rsidR="00612EBD">
        <w:rPr>
          <w:rFonts w:cs="Arial"/>
        </w:rPr>
        <w:t>-</w:t>
      </w:r>
      <w:r w:rsidR="00A67AE7" w:rsidRPr="00A67AE7">
        <w:rPr>
          <w:rFonts w:cs="Arial"/>
        </w:rPr>
        <w:t>term growth</w:t>
      </w:r>
      <w:r w:rsidR="00612EBD">
        <w:rPr>
          <w:rFonts w:cs="Arial"/>
        </w:rPr>
        <w:t>. Potential manufacturing activities for the wind sector include</w:t>
      </w:r>
      <w:r w:rsidR="00A67AE7">
        <w:rPr>
          <w:rFonts w:cs="Arial"/>
        </w:rPr>
        <w:t xml:space="preserve"> </w:t>
      </w:r>
      <w:r w:rsidR="00A67AE7" w:rsidRPr="00A67AE7">
        <w:rPr>
          <w:rFonts w:cs="Arial"/>
        </w:rPr>
        <w:t xml:space="preserve">turbines, foundations, cables and substations </w:t>
      </w:r>
      <w:r w:rsidR="00A67AE7">
        <w:rPr>
          <w:rFonts w:cs="Arial"/>
        </w:rPr>
        <w:t>and</w:t>
      </w:r>
      <w:r w:rsidR="00A67AE7" w:rsidRPr="00A67AE7">
        <w:rPr>
          <w:rFonts w:cs="Arial"/>
        </w:rPr>
        <w:t xml:space="preserve"> </w:t>
      </w:r>
      <w:r w:rsidR="00A67AE7">
        <w:rPr>
          <w:rFonts w:cs="Arial"/>
        </w:rPr>
        <w:t xml:space="preserve">related operations like </w:t>
      </w:r>
      <w:r w:rsidR="00A67AE7" w:rsidRPr="00A67AE7">
        <w:rPr>
          <w:rFonts w:cs="Arial"/>
        </w:rPr>
        <w:t>installation, operations and maintenance.</w:t>
      </w:r>
      <w:r w:rsidR="00A67AE7">
        <w:rPr>
          <w:rFonts w:cs="Arial"/>
        </w:rPr>
        <w:t xml:space="preserve"> The ABLE Marine Energy </w:t>
      </w:r>
      <w:r w:rsidR="00612EBD">
        <w:rPr>
          <w:rFonts w:cs="Arial"/>
        </w:rPr>
        <w:t>Park</w:t>
      </w:r>
      <w:r w:rsidR="00A67AE7">
        <w:rPr>
          <w:rFonts w:cs="Arial"/>
        </w:rPr>
        <w:t xml:space="preserve"> has signed memora</w:t>
      </w:r>
      <w:r w:rsidR="00612EBD">
        <w:rPr>
          <w:rFonts w:cs="Arial"/>
        </w:rPr>
        <w:t>ndu</w:t>
      </w:r>
      <w:r w:rsidR="00A67AE7">
        <w:rPr>
          <w:rFonts w:cs="Arial"/>
        </w:rPr>
        <w:t xml:space="preserve">ms of understanding with key manufacturing firms </w:t>
      </w:r>
      <w:r w:rsidR="00612EBD">
        <w:rPr>
          <w:rFonts w:cs="Arial"/>
        </w:rPr>
        <w:t xml:space="preserve">such as </w:t>
      </w:r>
      <w:r w:rsidR="00A67AE7" w:rsidRPr="00A67AE7">
        <w:rPr>
          <w:rFonts w:cs="Arial"/>
        </w:rPr>
        <w:t>Strabag</w:t>
      </w:r>
      <w:r w:rsidR="00612EBD">
        <w:rPr>
          <w:rFonts w:cs="Arial"/>
        </w:rPr>
        <w:t>,</w:t>
      </w:r>
      <w:r w:rsidR="00A67AE7">
        <w:rPr>
          <w:rFonts w:cs="Arial"/>
        </w:rPr>
        <w:t xml:space="preserve"> and </w:t>
      </w:r>
      <w:r w:rsidR="00612EBD">
        <w:rPr>
          <w:rFonts w:cs="Arial"/>
        </w:rPr>
        <w:t>plans for a turbine manufacturing facility at Hull Green Port have received approval</w:t>
      </w:r>
      <w:r w:rsidR="00A67AE7">
        <w:rPr>
          <w:rFonts w:cs="Arial"/>
        </w:rPr>
        <w:t xml:space="preserve">. This will </w:t>
      </w:r>
      <w:r w:rsidR="00612EBD">
        <w:rPr>
          <w:rFonts w:cs="Arial"/>
        </w:rPr>
        <w:t xml:space="preserve">create </w:t>
      </w:r>
      <w:r w:rsidR="00A67AE7">
        <w:rPr>
          <w:rFonts w:cs="Arial"/>
        </w:rPr>
        <w:t>a critical mass of economic activities locally and provide a range of employment opportunities</w:t>
      </w:r>
      <w:r w:rsidR="006144F2">
        <w:rPr>
          <w:rFonts w:cs="Arial"/>
        </w:rPr>
        <w:t>.</w:t>
      </w:r>
    </w:p>
    <w:p w14:paraId="1DC72114" w14:textId="77777777" w:rsidR="00030C7C" w:rsidRPr="00030C7C" w:rsidRDefault="00030C7C" w:rsidP="00C93734">
      <w:pPr>
        <w:jc w:val="both"/>
        <w:rPr>
          <w:rFonts w:cs="Arial"/>
          <w:b/>
        </w:rPr>
      </w:pPr>
      <w:r>
        <w:rPr>
          <w:rFonts w:cs="Arial"/>
          <w:b/>
        </w:rPr>
        <w:t>Facilities</w:t>
      </w:r>
    </w:p>
    <w:p w14:paraId="7B4CB429" w14:textId="77777777" w:rsidR="00113414" w:rsidRDefault="00113414" w:rsidP="00C93734">
      <w:pPr>
        <w:jc w:val="both"/>
        <w:rPr>
          <w:rFonts w:cs="Arial"/>
        </w:rPr>
      </w:pPr>
      <w:r>
        <w:rPr>
          <w:rFonts w:cs="Arial"/>
        </w:rPr>
        <w:t xml:space="preserve">Facilities built for </w:t>
      </w:r>
      <w:r w:rsidR="00612EBD">
        <w:rPr>
          <w:rFonts w:cs="Arial"/>
        </w:rPr>
        <w:t xml:space="preserve">use by </w:t>
      </w:r>
      <w:r>
        <w:rPr>
          <w:rFonts w:cs="Arial"/>
        </w:rPr>
        <w:t xml:space="preserve">other sectors (e.g. </w:t>
      </w:r>
      <w:r w:rsidR="00612EBD">
        <w:rPr>
          <w:rFonts w:cs="Arial"/>
        </w:rPr>
        <w:t>the chemicals, oil and gas sector</w:t>
      </w:r>
      <w:r>
        <w:rPr>
          <w:rFonts w:cs="Arial"/>
        </w:rPr>
        <w:t xml:space="preserve">) are seen as </w:t>
      </w:r>
      <w:r w:rsidR="00612EBD">
        <w:rPr>
          <w:rFonts w:cs="Arial"/>
        </w:rPr>
        <w:t xml:space="preserve">supporting the area’s ability </w:t>
      </w:r>
      <w:r>
        <w:rPr>
          <w:rFonts w:cs="Arial"/>
        </w:rPr>
        <w:t xml:space="preserve">to attract and maintain </w:t>
      </w:r>
      <w:r w:rsidR="00612EBD">
        <w:rPr>
          <w:rFonts w:cs="Arial"/>
        </w:rPr>
        <w:t xml:space="preserve">.investment. Specific facilities include: </w:t>
      </w:r>
    </w:p>
    <w:p w14:paraId="48A87611" w14:textId="77777777" w:rsidR="00113414" w:rsidRPr="00C75AB8" w:rsidRDefault="00113414" w:rsidP="00C93734">
      <w:pPr>
        <w:pStyle w:val="ListParagraph"/>
        <w:numPr>
          <w:ilvl w:val="0"/>
          <w:numId w:val="35"/>
        </w:numPr>
        <w:spacing w:after="0"/>
        <w:jc w:val="both"/>
        <w:outlineLvl w:val="9"/>
        <w:rPr>
          <w:rFonts w:cs="Arial"/>
        </w:rPr>
      </w:pPr>
      <w:r w:rsidRPr="00C75AB8">
        <w:rPr>
          <w:rFonts w:cs="Arial"/>
        </w:rPr>
        <w:t xml:space="preserve">CATCH – The CATCH facility is being developed to </w:t>
      </w:r>
      <w:r w:rsidR="00612EBD">
        <w:rPr>
          <w:rFonts w:cs="Arial"/>
        </w:rPr>
        <w:t>provide training infrastructure to</w:t>
      </w:r>
      <w:r w:rsidR="00612EBD" w:rsidRPr="00C75AB8">
        <w:rPr>
          <w:rFonts w:cs="Arial"/>
        </w:rPr>
        <w:t xml:space="preserve"> </w:t>
      </w:r>
      <w:r w:rsidRPr="00C75AB8">
        <w:rPr>
          <w:rFonts w:cs="Arial"/>
        </w:rPr>
        <w:t xml:space="preserve">a </w:t>
      </w:r>
      <w:r w:rsidR="00612EBD">
        <w:rPr>
          <w:rFonts w:cs="Arial"/>
        </w:rPr>
        <w:t>large number of</w:t>
      </w:r>
      <w:r w:rsidRPr="00C75AB8">
        <w:rPr>
          <w:rFonts w:cs="Arial"/>
        </w:rPr>
        <w:t xml:space="preserve"> </w:t>
      </w:r>
      <w:r w:rsidR="00F36DA5">
        <w:rPr>
          <w:rFonts w:cs="Arial"/>
        </w:rPr>
        <w:t>organisation</w:t>
      </w:r>
      <w:r w:rsidR="00612EBD">
        <w:rPr>
          <w:rFonts w:cs="Arial"/>
        </w:rPr>
        <w:t>s. A</w:t>
      </w:r>
      <w:r w:rsidRPr="00C75AB8">
        <w:rPr>
          <w:rFonts w:cs="Arial"/>
        </w:rPr>
        <w:t xml:space="preserve"> conversion of the Stallingborough site</w:t>
      </w:r>
      <w:r w:rsidR="009D5E00">
        <w:rPr>
          <w:rFonts w:cs="Arial"/>
        </w:rPr>
        <w:t>’</w:t>
      </w:r>
      <w:r w:rsidRPr="00C75AB8">
        <w:rPr>
          <w:rFonts w:cs="Arial"/>
        </w:rPr>
        <w:t xml:space="preserve">s existing 22m column and supporting structure </w:t>
      </w:r>
      <w:r w:rsidR="00612EBD">
        <w:rPr>
          <w:rFonts w:cs="Arial"/>
        </w:rPr>
        <w:t xml:space="preserve">is used </w:t>
      </w:r>
      <w:r w:rsidRPr="00C75AB8">
        <w:rPr>
          <w:rFonts w:cs="Arial"/>
        </w:rPr>
        <w:t>to mimic a typical wind turbine tower.</w:t>
      </w:r>
    </w:p>
    <w:p w14:paraId="01C636AF" w14:textId="77777777" w:rsidR="00113414" w:rsidRPr="00216530" w:rsidRDefault="00113414" w:rsidP="00C93734">
      <w:pPr>
        <w:pStyle w:val="ListParagraph"/>
        <w:numPr>
          <w:ilvl w:val="0"/>
          <w:numId w:val="35"/>
        </w:numPr>
        <w:spacing w:after="0"/>
        <w:jc w:val="both"/>
        <w:outlineLvl w:val="9"/>
        <w:rPr>
          <w:rFonts w:cs="Arial"/>
        </w:rPr>
      </w:pPr>
      <w:r w:rsidRPr="00C75AB8">
        <w:rPr>
          <w:rFonts w:cs="Arial"/>
        </w:rPr>
        <w:t>Grimsby Institute</w:t>
      </w:r>
      <w:r>
        <w:rPr>
          <w:rFonts w:cs="Arial"/>
        </w:rPr>
        <w:t xml:space="preserve"> – The </w:t>
      </w:r>
      <w:r w:rsidR="00EF6B39">
        <w:rPr>
          <w:rFonts w:cs="Arial"/>
        </w:rPr>
        <w:t>i</w:t>
      </w:r>
      <w:r w:rsidR="00EF6B39" w:rsidRPr="00216530">
        <w:rPr>
          <w:rFonts w:cs="Arial"/>
        </w:rPr>
        <w:t xml:space="preserve">nstitute </w:t>
      </w:r>
      <w:r w:rsidRPr="00216530">
        <w:rPr>
          <w:rFonts w:cs="Arial"/>
        </w:rPr>
        <w:t xml:space="preserve">is </w:t>
      </w:r>
      <w:r>
        <w:rPr>
          <w:rFonts w:cs="Arial"/>
        </w:rPr>
        <w:t xml:space="preserve">currently </w:t>
      </w:r>
      <w:r w:rsidRPr="00216530">
        <w:rPr>
          <w:rFonts w:cs="Arial"/>
        </w:rPr>
        <w:t xml:space="preserve">working with key offshore wind </w:t>
      </w:r>
      <w:r>
        <w:rPr>
          <w:rFonts w:cs="Arial"/>
        </w:rPr>
        <w:t xml:space="preserve">businesses like </w:t>
      </w:r>
      <w:r w:rsidRPr="00216530">
        <w:rPr>
          <w:rFonts w:cs="Arial"/>
        </w:rPr>
        <w:t>Siem</w:t>
      </w:r>
      <w:r>
        <w:rPr>
          <w:rFonts w:cs="Arial"/>
        </w:rPr>
        <w:t xml:space="preserve">ens, RES and </w:t>
      </w:r>
      <w:r w:rsidR="00F36DA5">
        <w:rPr>
          <w:rFonts w:cs="Arial"/>
        </w:rPr>
        <w:t xml:space="preserve">in </w:t>
      </w:r>
      <w:r w:rsidR="00EF6B39">
        <w:rPr>
          <w:rFonts w:cs="Arial"/>
        </w:rPr>
        <w:t>previously with</w:t>
      </w:r>
      <w:r w:rsidR="00F36DA5">
        <w:rPr>
          <w:rFonts w:cs="Arial"/>
        </w:rPr>
        <w:t xml:space="preserve"> </w:t>
      </w:r>
      <w:r>
        <w:rPr>
          <w:rFonts w:cs="Arial"/>
        </w:rPr>
        <w:t>Cosalt Wind Energy</w:t>
      </w:r>
      <w:r w:rsidRPr="00216530">
        <w:rPr>
          <w:rFonts w:cs="Arial"/>
        </w:rPr>
        <w:t xml:space="preserve"> to develop tailor-made courses</w:t>
      </w:r>
      <w:r w:rsidR="00EF6B39">
        <w:rPr>
          <w:rFonts w:cs="Arial"/>
        </w:rPr>
        <w:t>,</w:t>
      </w:r>
      <w:r>
        <w:rPr>
          <w:rFonts w:cs="Arial"/>
        </w:rPr>
        <w:t xml:space="preserve"> through the </w:t>
      </w:r>
      <w:r w:rsidRPr="00216530">
        <w:rPr>
          <w:rFonts w:cs="Arial"/>
        </w:rPr>
        <w:t xml:space="preserve">state-of-the-art Engineering and Renewable Energy Centre. This will develop engineering skills for young people and the existing workforce and also look to </w:t>
      </w:r>
      <w:r w:rsidR="00EF6B39">
        <w:rPr>
          <w:rFonts w:cs="Arial"/>
        </w:rPr>
        <w:t>provide training in other</w:t>
      </w:r>
      <w:r w:rsidRPr="00216530">
        <w:rPr>
          <w:rFonts w:cs="Arial"/>
        </w:rPr>
        <w:t xml:space="preserve"> areas of </w:t>
      </w:r>
      <w:r w:rsidR="00EF6B39">
        <w:rPr>
          <w:rFonts w:cs="Arial"/>
        </w:rPr>
        <w:t xml:space="preserve">the </w:t>
      </w:r>
      <w:r w:rsidRPr="00216530">
        <w:rPr>
          <w:rFonts w:cs="Arial"/>
        </w:rPr>
        <w:t>renewables</w:t>
      </w:r>
      <w:r w:rsidR="00EF6B39">
        <w:rPr>
          <w:rFonts w:cs="Arial"/>
        </w:rPr>
        <w:t xml:space="preserve"> sector</w:t>
      </w:r>
      <w:r w:rsidRPr="00216530">
        <w:rPr>
          <w:rFonts w:cs="Arial"/>
        </w:rPr>
        <w:t xml:space="preserve"> such as biomass (e.g</w:t>
      </w:r>
      <w:r w:rsidR="008910F3">
        <w:rPr>
          <w:rFonts w:cs="Arial"/>
        </w:rPr>
        <w:t>.</w:t>
      </w:r>
      <w:r w:rsidRPr="00216530">
        <w:rPr>
          <w:rFonts w:cs="Arial"/>
        </w:rPr>
        <w:t xml:space="preserve"> through the HETAS Solid Fuel &amp; Biomass Training Centre).</w:t>
      </w:r>
    </w:p>
    <w:p w14:paraId="2C2C7626" w14:textId="77777777" w:rsidR="00113414" w:rsidRPr="00C75AB8" w:rsidRDefault="00113414" w:rsidP="00C93734">
      <w:pPr>
        <w:pStyle w:val="ListParagraph"/>
        <w:numPr>
          <w:ilvl w:val="0"/>
          <w:numId w:val="35"/>
        </w:numPr>
        <w:spacing w:after="0"/>
        <w:jc w:val="both"/>
        <w:outlineLvl w:val="9"/>
        <w:rPr>
          <w:rFonts w:cs="Arial"/>
        </w:rPr>
      </w:pPr>
      <w:r w:rsidRPr="00C75AB8">
        <w:rPr>
          <w:rFonts w:cs="Arial"/>
        </w:rPr>
        <w:t>Humberside Engineering Training Association</w:t>
      </w:r>
      <w:r>
        <w:rPr>
          <w:rFonts w:cs="Arial"/>
        </w:rPr>
        <w:t xml:space="preserve"> – HETA is a key organisation in providing suitably skilled apprentices to the sector and is developing its renewables capabilities in biofuels.</w:t>
      </w:r>
    </w:p>
    <w:p w14:paraId="40BD477B" w14:textId="77777777" w:rsidR="00113414" w:rsidRDefault="00113414" w:rsidP="00C93734">
      <w:pPr>
        <w:pStyle w:val="ListParagraph"/>
        <w:numPr>
          <w:ilvl w:val="0"/>
          <w:numId w:val="35"/>
        </w:numPr>
        <w:spacing w:after="0"/>
        <w:jc w:val="both"/>
        <w:outlineLvl w:val="9"/>
        <w:rPr>
          <w:rFonts w:cs="Arial"/>
        </w:rPr>
      </w:pPr>
      <w:r w:rsidRPr="00C75AB8">
        <w:rPr>
          <w:rFonts w:cs="Arial"/>
        </w:rPr>
        <w:t>Private Training Providers</w:t>
      </w:r>
      <w:r>
        <w:rPr>
          <w:rFonts w:cs="Arial"/>
        </w:rPr>
        <w:t xml:space="preserve"> &amp; Partnerships </w:t>
      </w:r>
      <w:r w:rsidR="009D5E00">
        <w:rPr>
          <w:rFonts w:cs="Arial"/>
        </w:rPr>
        <w:t>–</w:t>
      </w:r>
      <w:r w:rsidR="007317CF">
        <w:rPr>
          <w:rFonts w:cs="Arial"/>
        </w:rPr>
        <w:t xml:space="preserve"> a</w:t>
      </w:r>
      <w:r>
        <w:rPr>
          <w:rFonts w:cs="Arial"/>
        </w:rPr>
        <w:t xml:space="preserve"> range of private training providers have been attracted, established themselves or adapted their course offer to meet the needs of the industry. There are a range of courses</w:t>
      </w:r>
      <w:r w:rsidR="00EF6B39">
        <w:rPr>
          <w:rFonts w:cs="Arial"/>
        </w:rPr>
        <w:t xml:space="preserve"> on offer</w:t>
      </w:r>
      <w:r>
        <w:rPr>
          <w:rFonts w:cs="Arial"/>
        </w:rPr>
        <w:t xml:space="preserve"> support</w:t>
      </w:r>
      <w:r w:rsidR="00EF6B39">
        <w:rPr>
          <w:rFonts w:cs="Arial"/>
        </w:rPr>
        <w:t>ing</w:t>
      </w:r>
      <w:r>
        <w:rPr>
          <w:rFonts w:cs="Arial"/>
        </w:rPr>
        <w:t xml:space="preserve"> skills development throughout the supply chain</w:t>
      </w:r>
      <w:r w:rsidR="00EF6B39">
        <w:rPr>
          <w:rFonts w:cs="Arial"/>
        </w:rPr>
        <w:t>,</w:t>
      </w:r>
      <w:r>
        <w:rPr>
          <w:rFonts w:cs="Arial"/>
        </w:rPr>
        <w:t xml:space="preserve"> including health and safety, experiential learning and regulatory training.</w:t>
      </w:r>
    </w:p>
    <w:p w14:paraId="386C0297" w14:textId="77777777" w:rsidR="00DD0DCB" w:rsidRPr="00C75AB8" w:rsidRDefault="00DD0DCB" w:rsidP="00C93734">
      <w:pPr>
        <w:pStyle w:val="ListParagraph"/>
        <w:numPr>
          <w:ilvl w:val="0"/>
          <w:numId w:val="0"/>
        </w:numPr>
        <w:spacing w:after="0"/>
        <w:ind w:left="720"/>
        <w:jc w:val="both"/>
        <w:outlineLvl w:val="9"/>
        <w:rPr>
          <w:rFonts w:cs="Arial"/>
        </w:rPr>
      </w:pPr>
    </w:p>
    <w:p w14:paraId="22AC2A95" w14:textId="77777777" w:rsidR="00B86E49" w:rsidRDefault="007317CF" w:rsidP="00C93734">
      <w:pPr>
        <w:jc w:val="both"/>
      </w:pPr>
      <w:r>
        <w:t xml:space="preserve">The </w:t>
      </w:r>
      <w:r w:rsidR="00DD0DCB">
        <w:t xml:space="preserve">renewables </w:t>
      </w:r>
      <w:r>
        <w:t>sector</w:t>
      </w:r>
      <w:r w:rsidR="00EF6B39">
        <w:t xml:space="preserve"> therefore</w:t>
      </w:r>
      <w:r>
        <w:t xml:space="preserve"> </w:t>
      </w:r>
      <w:r w:rsidR="00EF6B39">
        <w:t xml:space="preserve">has linkages to </w:t>
      </w:r>
      <w:r>
        <w:t>a range of different sectors</w:t>
      </w:r>
      <w:r w:rsidR="00EF6B39">
        <w:t xml:space="preserve">, with particular </w:t>
      </w:r>
      <w:r w:rsidR="00DD0DCB">
        <w:t xml:space="preserve">linkages to the </w:t>
      </w:r>
      <w:r w:rsidR="00EF6B39">
        <w:t xml:space="preserve">port </w:t>
      </w:r>
      <w:r w:rsidR="00DD0DCB">
        <w:t xml:space="preserve">&amp; </w:t>
      </w:r>
      <w:r w:rsidR="00EF6B39">
        <w:t xml:space="preserve">logistics </w:t>
      </w:r>
      <w:r w:rsidR="00DD0DCB">
        <w:t xml:space="preserve">and </w:t>
      </w:r>
      <w:r w:rsidR="00EF6B39">
        <w:t xml:space="preserve">chemical </w:t>
      </w:r>
      <w:r w:rsidR="00DD0DCB">
        <w:t xml:space="preserve">and </w:t>
      </w:r>
      <w:r w:rsidR="00EF6B39">
        <w:t xml:space="preserve">process </w:t>
      </w:r>
      <w:r w:rsidR="00DD0DCB">
        <w:t xml:space="preserve">sectors </w:t>
      </w:r>
      <w:r w:rsidR="00EF6B39">
        <w:t>due to</w:t>
      </w:r>
      <w:r w:rsidR="00DD0DCB">
        <w:t xml:space="preserve"> the shared requirement</w:t>
      </w:r>
      <w:r w:rsidR="00EF6B39">
        <w:t>s</w:t>
      </w:r>
      <w:r w:rsidR="00DD0DCB">
        <w:t xml:space="preserve"> for transport and engineering expertise. Links to retail and tourism are less overt </w:t>
      </w:r>
      <w:r w:rsidR="00EA3771">
        <w:t xml:space="preserve">but </w:t>
      </w:r>
      <w:r w:rsidR="00DD0DCB">
        <w:t xml:space="preserve">may </w:t>
      </w:r>
      <w:r w:rsidR="00EA3771">
        <w:t xml:space="preserve">be </w:t>
      </w:r>
      <w:r w:rsidR="00EF6B39">
        <w:t xml:space="preserve">stimulated </w:t>
      </w:r>
      <w:r w:rsidR="00EA3771">
        <w:t>by</w:t>
      </w:r>
      <w:r w:rsidR="00EF6B39">
        <w:t xml:space="preserve"> an</w:t>
      </w:r>
      <w:r w:rsidR="00EA3771">
        <w:t xml:space="preserve"> increased </w:t>
      </w:r>
      <w:r w:rsidR="00EF6B39">
        <w:t xml:space="preserve">influx </w:t>
      </w:r>
      <w:r w:rsidR="00EA3771">
        <w:t>of workers to the local area requir</w:t>
      </w:r>
      <w:r w:rsidR="00EF6B39">
        <w:t xml:space="preserve">ing </w:t>
      </w:r>
      <w:r w:rsidR="00EA3771">
        <w:t>retail and tourism facilities</w:t>
      </w:r>
      <w:r w:rsidR="00EF6B39">
        <w:t xml:space="preserve">, </w:t>
      </w:r>
      <w:r w:rsidR="00EA3771">
        <w:t>and regeneration of the port area.</w:t>
      </w:r>
    </w:p>
    <w:p w14:paraId="41EA53CC" w14:textId="77777777" w:rsidR="002F7137" w:rsidRDefault="002F7137" w:rsidP="00C93734">
      <w:pPr>
        <w:pStyle w:val="Heading3"/>
        <w:numPr>
          <w:ilvl w:val="2"/>
          <w:numId w:val="5"/>
        </w:numPr>
        <w:jc w:val="both"/>
      </w:pPr>
      <w:r>
        <w:t>Local Strengths</w:t>
      </w:r>
    </w:p>
    <w:p w14:paraId="559D7F64" w14:textId="77777777" w:rsidR="00EA3771" w:rsidRDefault="00EA3771" w:rsidP="00C93734">
      <w:pPr>
        <w:jc w:val="both"/>
      </w:pPr>
      <w:r>
        <w:t>As discussed, the SIC system</w:t>
      </w:r>
      <w:r w:rsidR="00973D26">
        <w:t xml:space="preserve"> does not </w:t>
      </w:r>
      <w:r w:rsidR="00EF6B39">
        <w:t>provide for direct</w:t>
      </w:r>
      <w:r w:rsidR="00973D26">
        <w:t xml:space="preserve"> </w:t>
      </w:r>
      <w:r w:rsidR="00EF6B39">
        <w:t xml:space="preserve">analysis of </w:t>
      </w:r>
      <w:r w:rsidR="00973D26">
        <w:t xml:space="preserve">the renewables sector.  However, as a form of proxy, the </w:t>
      </w:r>
      <w:r>
        <w:t xml:space="preserve">following LQ analysis identifies relevant sub-sectors </w:t>
      </w:r>
      <w:r w:rsidR="00973D26">
        <w:t>which may capture some renewables and related activities.</w:t>
      </w:r>
    </w:p>
    <w:p w14:paraId="162D07B5" w14:textId="77777777" w:rsidR="00ED4C3F" w:rsidRDefault="00ED4C3F" w:rsidP="00C93734">
      <w:pPr>
        <w:pStyle w:val="Caption"/>
        <w:jc w:val="both"/>
      </w:pPr>
      <w:bookmarkStart w:id="596" w:name="_Toc383159698"/>
      <w:r>
        <w:t xml:space="preserve">Table </w:t>
      </w:r>
      <w:fldSimple w:instr=" STYLEREF 1 \s  \* MERGEFORMAT ">
        <w:r w:rsidR="00E95E1A">
          <w:rPr>
            <w:noProof/>
          </w:rPr>
          <w:t>7</w:t>
        </w:r>
      </w:fldSimple>
      <w:r>
        <w:t>-</w:t>
      </w:r>
      <w:fldSimple w:instr=" SEQ Table \* ARABIC \s 1  \* MERGEFORMAT ">
        <w:r w:rsidR="00E95E1A">
          <w:rPr>
            <w:noProof/>
          </w:rPr>
          <w:t>8</w:t>
        </w:r>
      </w:fldSimple>
      <w:r>
        <w:tab/>
      </w:r>
      <w:r w:rsidR="002A4A83">
        <w:t xml:space="preserve">Employment </w:t>
      </w:r>
      <w:r>
        <w:t>LQ Analysis</w:t>
      </w:r>
      <w:bookmarkEnd w:id="596"/>
      <w:r w:rsidR="00E95E1A">
        <w:t xml:space="preserve"> – Renewables &amp; Energy</w:t>
      </w:r>
    </w:p>
    <w:tbl>
      <w:tblPr>
        <w:tblStyle w:val="Atkins14pt"/>
        <w:tblW w:w="9390" w:type="dxa"/>
        <w:tblLook w:val="04A0" w:firstRow="1" w:lastRow="0" w:firstColumn="1" w:lastColumn="0" w:noHBand="0" w:noVBand="1"/>
      </w:tblPr>
      <w:tblGrid>
        <w:gridCol w:w="8752"/>
        <w:gridCol w:w="638"/>
      </w:tblGrid>
      <w:tr w:rsidR="00EA3771" w:rsidRPr="00EA3771" w14:paraId="49FD78C7" w14:textId="77777777" w:rsidTr="00EA3771">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8752" w:type="dxa"/>
            <w:noWrap/>
            <w:hideMark/>
          </w:tcPr>
          <w:p w14:paraId="588D5F34" w14:textId="77777777" w:rsidR="00EA3771" w:rsidRPr="00EA3771" w:rsidRDefault="00EA3771" w:rsidP="00C93734">
            <w:pPr>
              <w:spacing w:after="0"/>
              <w:jc w:val="both"/>
              <w:rPr>
                <w:rFonts w:eastAsia="Times New Roman"/>
                <w:color w:val="000000"/>
              </w:rPr>
            </w:pPr>
            <w:r w:rsidRPr="00EA3771">
              <w:rPr>
                <w:rFonts w:eastAsia="Times New Roman"/>
                <w:color w:val="000000"/>
              </w:rPr>
              <w:t>Industry</w:t>
            </w:r>
          </w:p>
        </w:tc>
        <w:tc>
          <w:tcPr>
            <w:tcW w:w="638" w:type="dxa"/>
            <w:noWrap/>
            <w:hideMark/>
          </w:tcPr>
          <w:p w14:paraId="428A2D6D" w14:textId="77777777" w:rsidR="00EA3771" w:rsidRPr="00EA3771" w:rsidRDefault="00EA3771"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Emp LQ</w:t>
            </w:r>
          </w:p>
        </w:tc>
      </w:tr>
      <w:tr w:rsidR="00EA3771" w:rsidRPr="00EA3771" w14:paraId="5DBAEB68" w14:textId="77777777" w:rsidTr="00EA3771">
        <w:trPr>
          <w:trHeight w:val="255"/>
        </w:trPr>
        <w:tc>
          <w:tcPr>
            <w:cnfStyle w:val="001000000000" w:firstRow="0" w:lastRow="0" w:firstColumn="1" w:lastColumn="0" w:oddVBand="0" w:evenVBand="0" w:oddHBand="0" w:evenHBand="0" w:firstRowFirstColumn="0" w:firstRowLastColumn="0" w:lastRowFirstColumn="0" w:lastRowLastColumn="0"/>
            <w:tcW w:w="8752" w:type="dxa"/>
            <w:noWrap/>
            <w:hideMark/>
          </w:tcPr>
          <w:p w14:paraId="1C0F3D64" w14:textId="77777777" w:rsidR="00EA3771" w:rsidRPr="00EA3771" w:rsidRDefault="00EA3771" w:rsidP="00C93734">
            <w:pPr>
              <w:spacing w:after="0"/>
              <w:jc w:val="both"/>
              <w:rPr>
                <w:rFonts w:eastAsia="Times New Roman"/>
                <w:color w:val="000000"/>
              </w:rPr>
            </w:pPr>
            <w:r w:rsidRPr="00EA3771">
              <w:rPr>
                <w:rFonts w:eastAsia="Times New Roman"/>
                <w:color w:val="000000"/>
              </w:rPr>
              <w:t>52241 : Cargo handling for water transport activities of division 50</w:t>
            </w:r>
          </w:p>
        </w:tc>
        <w:tc>
          <w:tcPr>
            <w:tcW w:w="638" w:type="dxa"/>
            <w:noWrap/>
            <w:hideMark/>
          </w:tcPr>
          <w:p w14:paraId="0FB2E9AA" w14:textId="77777777" w:rsidR="00EA3771" w:rsidRPr="00EA3771" w:rsidRDefault="00EA3771"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A3771">
              <w:rPr>
                <w:rFonts w:eastAsia="Times New Roman"/>
                <w:color w:val="000000"/>
              </w:rPr>
              <w:t>31.8</w:t>
            </w:r>
          </w:p>
        </w:tc>
      </w:tr>
      <w:tr w:rsidR="00EA3771" w:rsidRPr="00EA3771" w14:paraId="0AAF7AE8" w14:textId="77777777" w:rsidTr="00EA3771">
        <w:trPr>
          <w:trHeight w:val="255"/>
        </w:trPr>
        <w:tc>
          <w:tcPr>
            <w:cnfStyle w:val="001000000000" w:firstRow="0" w:lastRow="0" w:firstColumn="1" w:lastColumn="0" w:oddVBand="0" w:evenVBand="0" w:oddHBand="0" w:evenHBand="0" w:firstRowFirstColumn="0" w:firstRowLastColumn="0" w:lastRowFirstColumn="0" w:lastRowLastColumn="0"/>
            <w:tcW w:w="8752" w:type="dxa"/>
            <w:noWrap/>
            <w:hideMark/>
          </w:tcPr>
          <w:p w14:paraId="66E5EE03" w14:textId="77777777" w:rsidR="00EA3771" w:rsidRPr="00EA3771" w:rsidRDefault="00EA3771" w:rsidP="00C93734">
            <w:pPr>
              <w:spacing w:after="0"/>
              <w:jc w:val="both"/>
              <w:rPr>
                <w:rFonts w:eastAsia="Times New Roman"/>
                <w:color w:val="000000"/>
              </w:rPr>
            </w:pPr>
            <w:r w:rsidRPr="00EA3771">
              <w:rPr>
                <w:rFonts w:eastAsia="Times New Roman"/>
                <w:color w:val="000000"/>
              </w:rPr>
              <w:t>52220 : Service activities incidental to water transportation</w:t>
            </w:r>
          </w:p>
        </w:tc>
        <w:tc>
          <w:tcPr>
            <w:tcW w:w="638" w:type="dxa"/>
            <w:noWrap/>
            <w:hideMark/>
          </w:tcPr>
          <w:p w14:paraId="1DE8E540" w14:textId="77777777" w:rsidR="00EA3771" w:rsidRPr="00EA3771" w:rsidRDefault="00EA3771"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A3771">
              <w:rPr>
                <w:rFonts w:eastAsia="Times New Roman"/>
                <w:color w:val="000000"/>
              </w:rPr>
              <w:t>22.0</w:t>
            </w:r>
          </w:p>
        </w:tc>
      </w:tr>
      <w:tr w:rsidR="00EA3771" w:rsidRPr="00EA3771" w14:paraId="324A8401" w14:textId="77777777" w:rsidTr="00EA3771">
        <w:trPr>
          <w:trHeight w:val="255"/>
        </w:trPr>
        <w:tc>
          <w:tcPr>
            <w:cnfStyle w:val="001000000000" w:firstRow="0" w:lastRow="0" w:firstColumn="1" w:lastColumn="0" w:oddVBand="0" w:evenVBand="0" w:oddHBand="0" w:evenHBand="0" w:firstRowFirstColumn="0" w:firstRowLastColumn="0" w:lastRowFirstColumn="0" w:lastRowLastColumn="0"/>
            <w:tcW w:w="8752" w:type="dxa"/>
            <w:noWrap/>
            <w:hideMark/>
          </w:tcPr>
          <w:p w14:paraId="090AC1AB" w14:textId="77777777" w:rsidR="00EA3771" w:rsidRPr="00EA3771" w:rsidRDefault="00EA3771" w:rsidP="00C93734">
            <w:pPr>
              <w:spacing w:after="0"/>
              <w:jc w:val="both"/>
              <w:rPr>
                <w:rFonts w:eastAsia="Times New Roman"/>
                <w:color w:val="000000"/>
              </w:rPr>
            </w:pPr>
            <w:r w:rsidRPr="00EA3771">
              <w:rPr>
                <w:rFonts w:eastAsia="Times New Roman"/>
                <w:color w:val="000000"/>
              </w:rPr>
              <w:t>33120 : Repair of machinery</w:t>
            </w:r>
          </w:p>
        </w:tc>
        <w:tc>
          <w:tcPr>
            <w:tcW w:w="638" w:type="dxa"/>
            <w:noWrap/>
            <w:hideMark/>
          </w:tcPr>
          <w:p w14:paraId="7CB4771D" w14:textId="77777777" w:rsidR="00EA3771" w:rsidRPr="00EA3771" w:rsidRDefault="00EA3771"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A3771">
              <w:rPr>
                <w:rFonts w:eastAsia="Times New Roman"/>
                <w:color w:val="000000"/>
              </w:rPr>
              <w:t>13.1</w:t>
            </w:r>
          </w:p>
        </w:tc>
      </w:tr>
      <w:tr w:rsidR="00EA3771" w:rsidRPr="00EA3771" w14:paraId="6F816599" w14:textId="77777777" w:rsidTr="00EA3771">
        <w:trPr>
          <w:trHeight w:val="255"/>
        </w:trPr>
        <w:tc>
          <w:tcPr>
            <w:cnfStyle w:val="001000000000" w:firstRow="0" w:lastRow="0" w:firstColumn="1" w:lastColumn="0" w:oddVBand="0" w:evenVBand="0" w:oddHBand="0" w:evenHBand="0" w:firstRowFirstColumn="0" w:firstRowLastColumn="0" w:lastRowFirstColumn="0" w:lastRowLastColumn="0"/>
            <w:tcW w:w="8752" w:type="dxa"/>
            <w:noWrap/>
            <w:hideMark/>
          </w:tcPr>
          <w:p w14:paraId="6FB6E690" w14:textId="77777777" w:rsidR="00EA3771" w:rsidRPr="00EA3771" w:rsidRDefault="00EA3771" w:rsidP="00C93734">
            <w:pPr>
              <w:spacing w:after="0"/>
              <w:jc w:val="both"/>
              <w:rPr>
                <w:rFonts w:eastAsia="Times New Roman"/>
                <w:color w:val="000000"/>
              </w:rPr>
            </w:pPr>
            <w:r w:rsidRPr="00EA3771">
              <w:rPr>
                <w:rFonts w:eastAsia="Times New Roman"/>
                <w:color w:val="000000"/>
              </w:rPr>
              <w:t>52290 : Other transportation support activities</w:t>
            </w:r>
          </w:p>
        </w:tc>
        <w:tc>
          <w:tcPr>
            <w:tcW w:w="638" w:type="dxa"/>
            <w:noWrap/>
            <w:hideMark/>
          </w:tcPr>
          <w:p w14:paraId="56B81819" w14:textId="77777777" w:rsidR="00EA3771" w:rsidRPr="00EA3771" w:rsidRDefault="00EA3771"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A3771">
              <w:rPr>
                <w:rFonts w:eastAsia="Times New Roman"/>
                <w:color w:val="000000"/>
              </w:rPr>
              <w:t>6.8</w:t>
            </w:r>
          </w:p>
        </w:tc>
      </w:tr>
      <w:tr w:rsidR="00EA3771" w:rsidRPr="00EA3771" w14:paraId="5BBC67EA" w14:textId="77777777" w:rsidTr="00EA3771">
        <w:trPr>
          <w:trHeight w:val="255"/>
        </w:trPr>
        <w:tc>
          <w:tcPr>
            <w:cnfStyle w:val="001000000000" w:firstRow="0" w:lastRow="0" w:firstColumn="1" w:lastColumn="0" w:oddVBand="0" w:evenVBand="0" w:oddHBand="0" w:evenHBand="0" w:firstRowFirstColumn="0" w:firstRowLastColumn="0" w:lastRowFirstColumn="0" w:lastRowLastColumn="0"/>
            <w:tcW w:w="8752" w:type="dxa"/>
            <w:noWrap/>
            <w:hideMark/>
          </w:tcPr>
          <w:p w14:paraId="52239BB6" w14:textId="77777777" w:rsidR="00EA3771" w:rsidRPr="00EA3771" w:rsidRDefault="00EA3771" w:rsidP="00C93734">
            <w:pPr>
              <w:spacing w:after="0"/>
              <w:jc w:val="both"/>
              <w:rPr>
                <w:rFonts w:eastAsia="Times New Roman"/>
                <w:color w:val="000000"/>
              </w:rPr>
            </w:pPr>
            <w:r w:rsidRPr="00EA3771">
              <w:rPr>
                <w:rFonts w:eastAsia="Times New Roman"/>
                <w:color w:val="000000"/>
              </w:rPr>
              <w:t>38210 : Treatment and disposal of non-hazardous waste</w:t>
            </w:r>
          </w:p>
        </w:tc>
        <w:tc>
          <w:tcPr>
            <w:tcW w:w="638" w:type="dxa"/>
            <w:noWrap/>
            <w:hideMark/>
          </w:tcPr>
          <w:p w14:paraId="3B197C25" w14:textId="77777777" w:rsidR="00EA3771" w:rsidRPr="00EA3771" w:rsidRDefault="00EA3771"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A3771">
              <w:rPr>
                <w:rFonts w:eastAsia="Times New Roman"/>
                <w:color w:val="000000"/>
              </w:rPr>
              <w:t>4.8</w:t>
            </w:r>
          </w:p>
        </w:tc>
      </w:tr>
      <w:tr w:rsidR="00EA3771" w:rsidRPr="00EA3771" w14:paraId="7B7088A8" w14:textId="77777777" w:rsidTr="00EA3771">
        <w:trPr>
          <w:trHeight w:val="255"/>
        </w:trPr>
        <w:tc>
          <w:tcPr>
            <w:cnfStyle w:val="001000000000" w:firstRow="0" w:lastRow="0" w:firstColumn="1" w:lastColumn="0" w:oddVBand="0" w:evenVBand="0" w:oddHBand="0" w:evenHBand="0" w:firstRowFirstColumn="0" w:firstRowLastColumn="0" w:lastRowFirstColumn="0" w:lastRowLastColumn="0"/>
            <w:tcW w:w="8752" w:type="dxa"/>
            <w:noWrap/>
            <w:hideMark/>
          </w:tcPr>
          <w:p w14:paraId="65EB58FE" w14:textId="77777777" w:rsidR="00EA3771" w:rsidRPr="00EA3771" w:rsidRDefault="00EA3771" w:rsidP="00C93734">
            <w:pPr>
              <w:spacing w:after="0"/>
              <w:jc w:val="both"/>
              <w:rPr>
                <w:rFonts w:eastAsia="Times New Roman"/>
                <w:color w:val="000000"/>
              </w:rPr>
            </w:pPr>
            <w:r w:rsidRPr="00EA3771">
              <w:rPr>
                <w:rFonts w:eastAsia="Times New Roman"/>
                <w:color w:val="000000"/>
              </w:rPr>
              <w:t xml:space="preserve">71129 : Other engineering activities </w:t>
            </w:r>
          </w:p>
        </w:tc>
        <w:tc>
          <w:tcPr>
            <w:tcW w:w="638" w:type="dxa"/>
            <w:noWrap/>
            <w:hideMark/>
          </w:tcPr>
          <w:p w14:paraId="10C1F213" w14:textId="77777777" w:rsidR="00EA3771" w:rsidRPr="00EA3771" w:rsidRDefault="00EA3771"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A3771">
              <w:rPr>
                <w:rFonts w:eastAsia="Times New Roman"/>
                <w:color w:val="000000"/>
              </w:rPr>
              <w:t>1.6</w:t>
            </w:r>
          </w:p>
        </w:tc>
      </w:tr>
      <w:tr w:rsidR="00EA3771" w:rsidRPr="00EA3771" w14:paraId="5E9084B6" w14:textId="77777777" w:rsidTr="00EA3771">
        <w:trPr>
          <w:trHeight w:val="255"/>
        </w:trPr>
        <w:tc>
          <w:tcPr>
            <w:cnfStyle w:val="001000000000" w:firstRow="0" w:lastRow="0" w:firstColumn="1" w:lastColumn="0" w:oddVBand="0" w:evenVBand="0" w:oddHBand="0" w:evenHBand="0" w:firstRowFirstColumn="0" w:firstRowLastColumn="0" w:lastRowFirstColumn="0" w:lastRowLastColumn="0"/>
            <w:tcW w:w="8752" w:type="dxa"/>
            <w:noWrap/>
            <w:hideMark/>
          </w:tcPr>
          <w:p w14:paraId="2737995B" w14:textId="77777777" w:rsidR="00EA3771" w:rsidRPr="00EA3771" w:rsidRDefault="00EA3771" w:rsidP="00C93734">
            <w:pPr>
              <w:spacing w:after="0"/>
              <w:jc w:val="both"/>
              <w:rPr>
                <w:rFonts w:eastAsia="Times New Roman"/>
                <w:color w:val="000000"/>
              </w:rPr>
            </w:pPr>
            <w:r w:rsidRPr="00EA3771">
              <w:rPr>
                <w:rFonts w:eastAsia="Times New Roman"/>
                <w:color w:val="000000"/>
              </w:rPr>
              <w:t>71121 : Engineering design activities for industrial process and production</w:t>
            </w:r>
          </w:p>
        </w:tc>
        <w:tc>
          <w:tcPr>
            <w:tcW w:w="638" w:type="dxa"/>
            <w:noWrap/>
            <w:hideMark/>
          </w:tcPr>
          <w:p w14:paraId="1B030982" w14:textId="77777777" w:rsidR="00EA3771" w:rsidRPr="00EA3771" w:rsidRDefault="00EA3771"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A3771">
              <w:rPr>
                <w:rFonts w:eastAsia="Times New Roman"/>
                <w:color w:val="000000"/>
              </w:rPr>
              <w:t>1.3</w:t>
            </w:r>
          </w:p>
        </w:tc>
      </w:tr>
    </w:tbl>
    <w:p w14:paraId="694014B4" w14:textId="77777777" w:rsidR="00EA3771" w:rsidRDefault="00ED4C3F" w:rsidP="002A4A83">
      <w:pPr>
        <w:pStyle w:val="TableSource"/>
      </w:pPr>
      <w:r>
        <w:t>Source: BRES 2013</w:t>
      </w:r>
    </w:p>
    <w:p w14:paraId="5A672E62" w14:textId="77777777" w:rsidR="00EA3771" w:rsidRDefault="00EF6B39" w:rsidP="00C93734">
      <w:pPr>
        <w:jc w:val="both"/>
      </w:pPr>
      <w:r>
        <w:t>The</w:t>
      </w:r>
      <w:r w:rsidR="00EA3771">
        <w:t xml:space="preserve"> LQ analysis appears to support the qualitative findings </w:t>
      </w:r>
      <w:r>
        <w:t xml:space="preserve">regarding </w:t>
      </w:r>
      <w:r w:rsidR="00EA3771">
        <w:t>the strengths of the local area</w:t>
      </w:r>
      <w:r w:rsidR="005145ED">
        <w:t>. Strengths are particularly evident</w:t>
      </w:r>
      <w:r w:rsidR="00EA3771">
        <w:t xml:space="preserve"> in:</w:t>
      </w:r>
    </w:p>
    <w:p w14:paraId="436B3C25" w14:textId="77777777" w:rsidR="00EA3771" w:rsidRDefault="00EA3771" w:rsidP="00C93734">
      <w:pPr>
        <w:pStyle w:val="ListParagraph"/>
        <w:numPr>
          <w:ilvl w:val="0"/>
          <w:numId w:val="37"/>
        </w:numPr>
        <w:jc w:val="both"/>
      </w:pPr>
      <w:r>
        <w:t xml:space="preserve">O&amp;M activities: </w:t>
      </w:r>
      <w:r w:rsidR="00F81FCB">
        <w:t>Five</w:t>
      </w:r>
      <w:r>
        <w:t xml:space="preserve"> </w:t>
      </w:r>
      <w:r w:rsidRPr="00EA3771">
        <w:t>of the largest</w:t>
      </w:r>
      <w:r w:rsidR="005145ED">
        <w:t xml:space="preserve"> offshore wind</w:t>
      </w:r>
      <w:r w:rsidRPr="00EA3771">
        <w:t xml:space="preserve"> </w:t>
      </w:r>
      <w:r>
        <w:t>firms</w:t>
      </w:r>
      <w:r w:rsidRPr="00EA3771">
        <w:t xml:space="preserve"> </w:t>
      </w:r>
      <w:r w:rsidR="005145ED">
        <w:t>(</w:t>
      </w:r>
      <w:r w:rsidRPr="00EA3771">
        <w:t>Centrica</w:t>
      </w:r>
      <w:r>
        <w:t xml:space="preserve">, </w:t>
      </w:r>
      <w:r w:rsidR="00F81FCB">
        <w:t>DONG Energy, E</w:t>
      </w:r>
      <w:r w:rsidR="00577236">
        <w:t>.ON</w:t>
      </w:r>
      <w:r w:rsidR="00F81FCB">
        <w:t xml:space="preserve">, </w:t>
      </w:r>
      <w:r w:rsidRPr="00EA3771">
        <w:t>Siemens</w:t>
      </w:r>
      <w:r w:rsidR="00F81FCB">
        <w:t xml:space="preserve"> and Vestas</w:t>
      </w:r>
      <w:r w:rsidR="005145ED">
        <w:t>)</w:t>
      </w:r>
      <w:r w:rsidRPr="00EA3771">
        <w:t xml:space="preserve"> have chosen to base their O&amp;M teams in Grimsby.</w:t>
      </w:r>
    </w:p>
    <w:p w14:paraId="03EF296B" w14:textId="77777777" w:rsidR="00EA3771" w:rsidRPr="00293441" w:rsidRDefault="00EA3771" w:rsidP="00C93734">
      <w:pPr>
        <w:pStyle w:val="ListParagraph"/>
        <w:numPr>
          <w:ilvl w:val="0"/>
          <w:numId w:val="37"/>
        </w:numPr>
        <w:jc w:val="both"/>
      </w:pPr>
      <w:r>
        <w:t>Logistics:</w:t>
      </w:r>
      <w:r w:rsidR="00293441">
        <w:t xml:space="preserve"> </w:t>
      </w:r>
      <w:r w:rsidR="00F36DA5">
        <w:t>T</w:t>
      </w:r>
      <w:r w:rsidR="00293441">
        <w:t>ransport connections including</w:t>
      </w:r>
      <w:r>
        <w:t xml:space="preserve"> </w:t>
      </w:r>
      <w:r w:rsidRPr="00293441">
        <w:t xml:space="preserve">direct access to the world’s </w:t>
      </w:r>
      <w:r w:rsidR="005145ED">
        <w:t>largest</w:t>
      </w:r>
      <w:r w:rsidR="005145ED" w:rsidRPr="00293441">
        <w:t xml:space="preserve"> </w:t>
      </w:r>
      <w:r w:rsidRPr="00293441">
        <w:t xml:space="preserve">offshore </w:t>
      </w:r>
      <w:r w:rsidR="00F81FCB">
        <w:t>windfarm</w:t>
      </w:r>
      <w:r w:rsidRPr="00293441">
        <w:t xml:space="preserve">s and the </w:t>
      </w:r>
      <w:r w:rsidR="005145ED">
        <w:t>largest UK</w:t>
      </w:r>
      <w:r w:rsidRPr="00293441">
        <w:t xml:space="preserve"> port capable of handling major projects.</w:t>
      </w:r>
    </w:p>
    <w:p w14:paraId="09149669" w14:textId="77777777" w:rsidR="00EA3771" w:rsidRDefault="00EA3771" w:rsidP="00C93734">
      <w:pPr>
        <w:pStyle w:val="ListParagraph"/>
        <w:numPr>
          <w:ilvl w:val="0"/>
          <w:numId w:val="37"/>
        </w:numPr>
        <w:jc w:val="both"/>
      </w:pPr>
      <w:r>
        <w:t xml:space="preserve">Engineering: </w:t>
      </w:r>
      <w:r w:rsidR="005145ED">
        <w:t>Local e</w:t>
      </w:r>
      <w:r>
        <w:t>ngineering expertise</w:t>
      </w:r>
      <w:r w:rsidR="005145ED">
        <w:t xml:space="preserve"> has</w:t>
      </w:r>
      <w:r>
        <w:t xml:space="preserve"> </w:t>
      </w:r>
      <w:r w:rsidR="005145ED">
        <w:t>developed</w:t>
      </w:r>
      <w:r>
        <w:t xml:space="preserve"> over many years with</w:t>
      </w:r>
      <w:r w:rsidR="005145ED">
        <w:t xml:space="preserve"> particular</w:t>
      </w:r>
      <w:r>
        <w:t xml:space="preserve"> </w:t>
      </w:r>
      <w:r w:rsidR="005145ED">
        <w:t xml:space="preserve">specialisation </w:t>
      </w:r>
      <w:r>
        <w:t xml:space="preserve">in </w:t>
      </w:r>
      <w:r w:rsidR="00293441">
        <w:t xml:space="preserve">marine construction, design and manufacturing </w:t>
      </w:r>
      <w:r w:rsidR="005145ED">
        <w:t>due to</w:t>
      </w:r>
      <w:r w:rsidR="00293441">
        <w:t xml:space="preserve"> the economic history of the area.</w:t>
      </w:r>
    </w:p>
    <w:p w14:paraId="75DAF7E2" w14:textId="77777777" w:rsidR="00EA3771" w:rsidRDefault="00EA3771" w:rsidP="00C93734">
      <w:pPr>
        <w:pStyle w:val="ListParagraph"/>
        <w:numPr>
          <w:ilvl w:val="0"/>
          <w:numId w:val="37"/>
        </w:numPr>
        <w:jc w:val="both"/>
      </w:pPr>
      <w:r>
        <w:t xml:space="preserve">Biomass: </w:t>
      </w:r>
      <w:r w:rsidR="005145ED">
        <w:t xml:space="preserve">Local </w:t>
      </w:r>
      <w:r>
        <w:t>strengths in the sector</w:t>
      </w:r>
      <w:r w:rsidR="00293441">
        <w:t xml:space="preserve"> </w:t>
      </w:r>
      <w:r w:rsidR="005145ED">
        <w:t xml:space="preserve">are becoming increasingly apparent, </w:t>
      </w:r>
      <w:r w:rsidR="00293441">
        <w:t xml:space="preserve">including port facilities (described as </w:t>
      </w:r>
      <w:r w:rsidR="00293441" w:rsidRPr="00293441">
        <w:t>UK</w:t>
      </w:r>
      <w:r w:rsidR="009D5E00">
        <w:t>’</w:t>
      </w:r>
      <w:r w:rsidR="00293441" w:rsidRPr="00293441">
        <w:t>s most technically-advanced biomass handling termina</w:t>
      </w:r>
      <w:r w:rsidR="00293441">
        <w:t>l) and further planned developments and training centres.</w:t>
      </w:r>
    </w:p>
    <w:p w14:paraId="6C648CB7" w14:textId="77777777" w:rsidR="002F7137" w:rsidRDefault="002F7137" w:rsidP="00C93734">
      <w:pPr>
        <w:pStyle w:val="Heading3"/>
        <w:numPr>
          <w:ilvl w:val="2"/>
          <w:numId w:val="5"/>
        </w:numPr>
        <w:jc w:val="both"/>
      </w:pPr>
      <w:r>
        <w:t xml:space="preserve">Economic Trends </w:t>
      </w:r>
    </w:p>
    <w:p w14:paraId="68772CCF" w14:textId="77777777" w:rsidR="00A67AE7" w:rsidRDefault="005145ED" w:rsidP="00C93734">
      <w:pPr>
        <w:jc w:val="both"/>
      </w:pPr>
      <w:r>
        <w:t>Current trends in number of firms and employment</w:t>
      </w:r>
      <w:r w:rsidR="00973D26">
        <w:t xml:space="preserve"> in the r</w:t>
      </w:r>
      <w:r w:rsidR="00A67AE7">
        <w:t xml:space="preserve">enewables sector </w:t>
      </w:r>
      <w:r>
        <w:t>indicate</w:t>
      </w:r>
      <w:r w:rsidR="00A67AE7">
        <w:t xml:space="preserve"> growth, </w:t>
      </w:r>
      <w:r>
        <w:t xml:space="preserve">and </w:t>
      </w:r>
      <w:r w:rsidR="00A67AE7">
        <w:t xml:space="preserve">it is expected that future growth will be </w:t>
      </w:r>
      <w:r w:rsidR="00973D26">
        <w:t xml:space="preserve">much </w:t>
      </w:r>
      <w:r w:rsidR="00A67AE7">
        <w:t xml:space="preserve">more </w:t>
      </w:r>
      <w:r w:rsidR="00973D26">
        <w:t>substantial</w:t>
      </w:r>
      <w:r w:rsidR="00A67AE7">
        <w:t xml:space="preserve">. The recession appears to have had a delayed impact on the sector with fewer firms in 2011 than 2009. This may </w:t>
      </w:r>
      <w:r w:rsidR="00DD0DCB">
        <w:t xml:space="preserve">also </w:t>
      </w:r>
      <w:r w:rsidR="00A67AE7">
        <w:t>highlight the polit</w:t>
      </w:r>
      <w:r w:rsidR="00DD0DCB">
        <w:t xml:space="preserve">ical and economic sensitivity of </w:t>
      </w:r>
      <w:r>
        <w:t xml:space="preserve">the </w:t>
      </w:r>
      <w:r w:rsidR="00DD0DCB">
        <w:t>sector, with change</w:t>
      </w:r>
      <w:r>
        <w:t>s</w:t>
      </w:r>
      <w:r w:rsidR="00DD0DCB">
        <w:t xml:space="preserve"> in </w:t>
      </w:r>
      <w:r>
        <w:t xml:space="preserve">government </w:t>
      </w:r>
      <w:r w:rsidR="00DD0DCB">
        <w:t>and</w:t>
      </w:r>
      <w:r>
        <w:t xml:space="preserve"> the</w:t>
      </w:r>
      <w:r w:rsidR="00DD0DCB">
        <w:t xml:space="preserve"> economic </w:t>
      </w:r>
      <w:r>
        <w:t xml:space="preserve">climate </w:t>
      </w:r>
      <w:r w:rsidR="00DD0DCB">
        <w:t xml:space="preserve">leading to a lack of </w:t>
      </w:r>
      <w:r>
        <w:t xml:space="preserve">clarity regarding the future </w:t>
      </w:r>
      <w:r w:rsidR="00DD0DCB">
        <w:t xml:space="preserve">direction </w:t>
      </w:r>
      <w:r>
        <w:t xml:space="preserve">of </w:t>
      </w:r>
      <w:r w:rsidR="00DD0DCB">
        <w:t xml:space="preserve">the sector. Despite this, future growth is expected to be </w:t>
      </w:r>
      <w:r>
        <w:t xml:space="preserve">significant, </w:t>
      </w:r>
      <w:r w:rsidR="00DD0DCB">
        <w:t xml:space="preserve">with the ABLE Marine and Logistics </w:t>
      </w:r>
      <w:r>
        <w:t xml:space="preserve">Parks </w:t>
      </w:r>
      <w:r w:rsidR="00DD0DCB">
        <w:t xml:space="preserve">to </w:t>
      </w:r>
      <w:r>
        <w:t xml:space="preserve">provide </w:t>
      </w:r>
      <w:r w:rsidR="00DD0DCB">
        <w:t>4</w:t>
      </w:r>
      <w:r w:rsidR="007C3A3C">
        <w:t>,1</w:t>
      </w:r>
      <w:r w:rsidR="00DD0DCB">
        <w:t>00</w:t>
      </w:r>
      <w:r w:rsidR="007C3A3C">
        <w:t xml:space="preserve"> jobs on site</w:t>
      </w:r>
      <w:r w:rsidR="00DD0DCB">
        <w:t xml:space="preserve"> and 10,000 jobs</w:t>
      </w:r>
      <w:r w:rsidR="007C3A3C">
        <w:t xml:space="preserve"> in total</w:t>
      </w:r>
      <w:r w:rsidR="00DD0DCB">
        <w:t>.</w:t>
      </w:r>
      <w:r w:rsidR="007C3A3C">
        <w:t xml:space="preserve"> </w:t>
      </w:r>
      <w:r w:rsidR="00A41838">
        <w:t xml:space="preserve">If NEL capture of these jobs is consistent with the estimations of renewables &amp; energy jobs created in NEL and elsewhere in </w:t>
      </w:r>
      <w:r w:rsidR="00781CD3">
        <w:fldChar w:fldCharType="begin"/>
      </w:r>
      <w:r w:rsidR="00A41838">
        <w:instrText xml:space="preserve"> REF _Ref394479720 \h </w:instrText>
      </w:r>
      <w:r w:rsidR="00781CD3">
        <w:fldChar w:fldCharType="separate"/>
      </w:r>
      <w:r w:rsidR="00E95E1A">
        <w:t xml:space="preserve">Table </w:t>
      </w:r>
      <w:r w:rsidR="00E95E1A">
        <w:rPr>
          <w:noProof/>
        </w:rPr>
        <w:t>7</w:t>
      </w:r>
      <w:r w:rsidR="00E95E1A">
        <w:t>-</w:t>
      </w:r>
      <w:r w:rsidR="00E95E1A">
        <w:rPr>
          <w:noProof/>
        </w:rPr>
        <w:t>3</w:t>
      </w:r>
      <w:r w:rsidR="00781CD3">
        <w:fldChar w:fldCharType="end"/>
      </w:r>
      <w:r w:rsidR="00A41838">
        <w:t xml:space="preserve">, it might be expected that this results in 3,700 jobs for NEL. </w:t>
      </w:r>
      <w:r w:rsidR="00973D26">
        <w:t xml:space="preserve">In addition, </w:t>
      </w:r>
      <w:r>
        <w:t xml:space="preserve">Hull </w:t>
      </w:r>
      <w:r w:rsidR="00973D26">
        <w:t>Green Port is projected to support around 1,000 direct jobs.</w:t>
      </w:r>
    </w:p>
    <w:p w14:paraId="3EFEE36E" w14:textId="77777777" w:rsidR="00DD0DCB" w:rsidRDefault="00505915" w:rsidP="00C93734">
      <w:pPr>
        <w:jc w:val="both"/>
      </w:pPr>
      <w:r>
        <w:t xml:space="preserve">Despite drops in </w:t>
      </w:r>
      <w:r w:rsidR="003433B7">
        <w:t>the number of firms</w:t>
      </w:r>
      <w:r>
        <w:t xml:space="preserve"> between 2010 and 2011,</w:t>
      </w:r>
      <w:r w:rsidR="00F36DA5">
        <w:t xml:space="preserve"> </w:t>
      </w:r>
      <w:r w:rsidR="003433B7">
        <w:t>employment in the sector has expanded</w:t>
      </w:r>
      <w:r w:rsidR="00DD0DCB">
        <w:t xml:space="preserve"> between 2011 and 2013, demonstrating the contribution</w:t>
      </w:r>
      <w:r w:rsidR="003433B7">
        <w:t xml:space="preserve"> of the sector</w:t>
      </w:r>
      <w:r w:rsidR="00DD0DCB">
        <w:t xml:space="preserve"> to</w:t>
      </w:r>
      <w:r w:rsidR="003433B7">
        <w:t xml:space="preserve"> local</w:t>
      </w:r>
      <w:r w:rsidR="00DD0DCB">
        <w:t xml:space="preserve"> </w:t>
      </w:r>
      <w:r w:rsidR="006655A5">
        <w:t>economic growth and diversification</w:t>
      </w:r>
      <w:r w:rsidR="003433B7">
        <w:t>.</w:t>
      </w:r>
      <w:r w:rsidR="00DD0DCB">
        <w:t xml:space="preserve"> </w:t>
      </w:r>
      <w:r w:rsidR="003433B7">
        <w:t>That 50 firms were created between 2011</w:t>
      </w:r>
      <w:r>
        <w:t xml:space="preserve"> </w:t>
      </w:r>
      <w:r w:rsidR="00DD0DCB">
        <w:t xml:space="preserve"> and </w:t>
      </w:r>
      <w:r w:rsidR="003433B7">
        <w:t>2013</w:t>
      </w:r>
      <w:r w:rsidR="00F36DA5">
        <w:t xml:space="preserve"> </w:t>
      </w:r>
      <w:r w:rsidR="003433B7">
        <w:t>is a strong indication of the dynamism of the sector</w:t>
      </w:r>
      <w:r>
        <w:t>.</w:t>
      </w:r>
    </w:p>
    <w:p w14:paraId="5367D1D2" w14:textId="77777777" w:rsidR="00755506" w:rsidRDefault="00755506">
      <w:pPr>
        <w:spacing w:after="200" w:line="276" w:lineRule="auto"/>
        <w:rPr>
          <w:b/>
          <w:bCs/>
          <w:noProof/>
          <w:szCs w:val="18"/>
          <w:lang w:eastAsia="en-GB"/>
        </w:rPr>
      </w:pPr>
      <w:bookmarkStart w:id="597" w:name="_Toc383159675"/>
      <w:r>
        <w:rPr>
          <w:noProof/>
          <w:lang w:eastAsia="en-GB"/>
        </w:rPr>
        <w:br w:type="page"/>
      </w:r>
    </w:p>
    <w:p w14:paraId="50E93D7B" w14:textId="77777777" w:rsidR="002F7137" w:rsidRDefault="00ED4C3F" w:rsidP="00C93734">
      <w:pPr>
        <w:pStyle w:val="Caption"/>
        <w:jc w:val="both"/>
        <w:rPr>
          <w:noProof/>
          <w:lang w:eastAsia="en-GB"/>
        </w:rPr>
      </w:pPr>
      <w:r>
        <w:rPr>
          <w:noProof/>
          <w:lang w:eastAsia="en-GB"/>
        </w:rPr>
        <w:t xml:space="preserve">Figure </w:t>
      </w:r>
      <w:fldSimple w:instr=" STYLEREF 1 \s  \* MERGEFORMAT ">
        <w:r w:rsidR="00E95E1A">
          <w:rPr>
            <w:noProof/>
            <w:lang w:eastAsia="en-GB"/>
          </w:rPr>
          <w:t>7</w:t>
        </w:r>
      </w:fldSimple>
      <w:r>
        <w:rPr>
          <w:noProof/>
          <w:lang w:eastAsia="en-GB"/>
        </w:rPr>
        <w:t>-</w:t>
      </w:r>
      <w:fldSimple w:instr=" SEQ Figure \* ARABIC \s 1  \* MERGEFORMAT ">
        <w:r w:rsidR="00E95E1A">
          <w:rPr>
            <w:noProof/>
            <w:lang w:eastAsia="en-GB"/>
          </w:rPr>
          <w:t>2</w:t>
        </w:r>
      </w:fldSimple>
      <w:r>
        <w:rPr>
          <w:noProof/>
          <w:lang w:eastAsia="en-GB"/>
        </w:rPr>
        <w:tab/>
        <w:t xml:space="preserve">Renewables </w:t>
      </w:r>
      <w:r w:rsidR="002A4A83">
        <w:rPr>
          <w:noProof/>
          <w:lang w:eastAsia="en-GB"/>
        </w:rPr>
        <w:t>Firms Trends</w:t>
      </w:r>
      <w:r>
        <w:rPr>
          <w:noProof/>
          <w:lang w:eastAsia="en-GB"/>
        </w:rPr>
        <w:t xml:space="preserve"> (2009 </w:t>
      </w:r>
      <w:r w:rsidR="009D5E00">
        <w:rPr>
          <w:noProof/>
          <w:lang w:eastAsia="en-GB"/>
        </w:rPr>
        <w:t>–</w:t>
      </w:r>
      <w:r>
        <w:rPr>
          <w:noProof/>
          <w:lang w:eastAsia="en-GB"/>
        </w:rPr>
        <w:t xml:space="preserve"> 2013)</w:t>
      </w:r>
      <w:bookmarkEnd w:id="597"/>
    </w:p>
    <w:p w14:paraId="1EE86982" w14:textId="77777777" w:rsidR="00ED4C3F" w:rsidRDefault="00505915" w:rsidP="00C93734">
      <w:pPr>
        <w:jc w:val="both"/>
        <w:rPr>
          <w:lang w:eastAsia="en-GB"/>
        </w:rPr>
      </w:pPr>
      <w:r w:rsidRPr="00505915">
        <w:rPr>
          <w:noProof/>
          <w:lang w:eastAsia="en-GB"/>
        </w:rPr>
        <w:drawing>
          <wp:inline distT="0" distB="0" distL="0" distR="0" wp14:anchorId="300B719E" wp14:editId="4212773E">
            <wp:extent cx="6120130" cy="2901482"/>
            <wp:effectExtent l="0" t="0" r="0" b="0"/>
            <wp:docPr id="6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5246130" w14:textId="77777777" w:rsidR="002A4A83" w:rsidRPr="00ED4C3F" w:rsidRDefault="002A4A83" w:rsidP="002A4A83">
      <w:pPr>
        <w:pStyle w:val="TableSource"/>
        <w:rPr>
          <w:lang w:eastAsia="en-GB"/>
        </w:rPr>
      </w:pPr>
      <w:r>
        <w:rPr>
          <w:lang w:eastAsia="en-GB"/>
        </w:rPr>
        <w:t xml:space="preserve">Source: IDBR 2013 </w:t>
      </w:r>
    </w:p>
    <w:p w14:paraId="6FB15AC8" w14:textId="77777777" w:rsidR="00DD0DCB" w:rsidRDefault="008F3F98" w:rsidP="00C93734">
      <w:pPr>
        <w:jc w:val="both"/>
      </w:pPr>
      <w:r>
        <w:t xml:space="preserve">Employment </w:t>
      </w:r>
      <w:r w:rsidR="003433B7">
        <w:t>in the sector experienced a</w:t>
      </w:r>
      <w:r>
        <w:t xml:space="preserve"> small decline</w:t>
      </w:r>
      <w:r w:rsidR="003433B7">
        <w:t xml:space="preserve"> of around 200 jobs</w:t>
      </w:r>
      <w:r>
        <w:t xml:space="preserve"> </w:t>
      </w:r>
      <w:r w:rsidR="00DD0DCB">
        <w:t>between 2009 and 201</w:t>
      </w:r>
      <w:r>
        <w:t>0</w:t>
      </w:r>
      <w:r w:rsidR="003433B7">
        <w:t>,</w:t>
      </w:r>
      <w:r w:rsidR="00DD0DCB">
        <w:t xml:space="preserve"> b</w:t>
      </w:r>
      <w:r>
        <w:t>ut</w:t>
      </w:r>
      <w:r w:rsidR="003433B7">
        <w:t xml:space="preserve"> has risen by 850 jobs over the period as a whole.</w:t>
      </w:r>
      <w:r w:rsidR="00F36DA5">
        <w:t xml:space="preserve"> This may reflect </w:t>
      </w:r>
      <w:r w:rsidR="003433B7">
        <w:t xml:space="preserve">variation in </w:t>
      </w:r>
      <w:r w:rsidR="00F36DA5">
        <w:t xml:space="preserve">commercial confidence </w:t>
      </w:r>
      <w:r w:rsidR="003433B7">
        <w:t xml:space="preserve">regarding </w:t>
      </w:r>
      <w:r w:rsidR="00F36DA5">
        <w:t xml:space="preserve">the sector’s prospects </w:t>
      </w:r>
      <w:r w:rsidR="003433B7">
        <w:t>and</w:t>
      </w:r>
      <w:r w:rsidR="00F36DA5">
        <w:t xml:space="preserve"> strong growth by a number of firms.</w:t>
      </w:r>
    </w:p>
    <w:p w14:paraId="01F49D87" w14:textId="77777777" w:rsidR="00EA376B" w:rsidRDefault="00ED4C3F" w:rsidP="00C93734">
      <w:pPr>
        <w:pStyle w:val="Caption"/>
        <w:jc w:val="both"/>
        <w:rPr>
          <w:noProof/>
          <w:lang w:eastAsia="en-GB"/>
        </w:rPr>
      </w:pPr>
      <w:bookmarkStart w:id="598" w:name="_Toc383159676"/>
      <w:r>
        <w:rPr>
          <w:noProof/>
          <w:lang w:eastAsia="en-GB"/>
        </w:rPr>
        <w:t xml:space="preserve">Figure </w:t>
      </w:r>
      <w:fldSimple w:instr=" STYLEREF 1 \s  \* MERGEFORMAT ">
        <w:r w:rsidR="00E95E1A">
          <w:rPr>
            <w:noProof/>
            <w:lang w:eastAsia="en-GB"/>
          </w:rPr>
          <w:t>7</w:t>
        </w:r>
      </w:fldSimple>
      <w:r>
        <w:rPr>
          <w:noProof/>
          <w:lang w:eastAsia="en-GB"/>
        </w:rPr>
        <w:t>-</w:t>
      </w:r>
      <w:fldSimple w:instr=" SEQ Figure \* ARABIC \s 1  \* MERGEFORMAT ">
        <w:r w:rsidR="00E95E1A">
          <w:rPr>
            <w:noProof/>
            <w:lang w:eastAsia="en-GB"/>
          </w:rPr>
          <w:t>3</w:t>
        </w:r>
      </w:fldSimple>
      <w:r>
        <w:rPr>
          <w:noProof/>
          <w:lang w:eastAsia="en-GB"/>
        </w:rPr>
        <w:tab/>
        <w:t xml:space="preserve">Renewables Employment Trends (2009 </w:t>
      </w:r>
      <w:r w:rsidR="009D5E00">
        <w:rPr>
          <w:noProof/>
          <w:lang w:eastAsia="en-GB"/>
        </w:rPr>
        <w:t>–</w:t>
      </w:r>
      <w:r>
        <w:rPr>
          <w:noProof/>
          <w:lang w:eastAsia="en-GB"/>
        </w:rPr>
        <w:t xml:space="preserve"> 2013)</w:t>
      </w:r>
      <w:r w:rsidR="00BA1CE7">
        <w:rPr>
          <w:noProof/>
          <w:lang w:eastAsia="en-GB"/>
        </w:rPr>
        <w:drawing>
          <wp:inline distT="0" distB="0" distL="0" distR="0" wp14:anchorId="59754BE1" wp14:editId="03ECE616">
            <wp:extent cx="5648325" cy="3343275"/>
            <wp:effectExtent l="0" t="0" r="0" b="0"/>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bookmarkEnd w:id="598"/>
    </w:p>
    <w:p w14:paraId="204BE2B1" w14:textId="77777777" w:rsidR="002A4A83" w:rsidRPr="002A4A83" w:rsidRDefault="002A4A83" w:rsidP="002A4A83">
      <w:pPr>
        <w:pStyle w:val="TableSource"/>
        <w:rPr>
          <w:lang w:eastAsia="en-GB"/>
        </w:rPr>
      </w:pPr>
      <w:r>
        <w:rPr>
          <w:lang w:eastAsia="en-GB"/>
        </w:rPr>
        <w:t xml:space="preserve">Source: IDBR 2013 </w:t>
      </w:r>
    </w:p>
    <w:p w14:paraId="1A445EF2" w14:textId="77777777" w:rsidR="002F7137" w:rsidRDefault="002F7137" w:rsidP="00C93734">
      <w:pPr>
        <w:pStyle w:val="Heading3"/>
        <w:numPr>
          <w:ilvl w:val="2"/>
          <w:numId w:val="5"/>
        </w:numPr>
        <w:jc w:val="both"/>
      </w:pPr>
      <w:r w:rsidRPr="004A7709">
        <w:t xml:space="preserve">Competition </w:t>
      </w:r>
    </w:p>
    <w:p w14:paraId="4BFB2EB3" w14:textId="77777777" w:rsidR="00920CBC" w:rsidRDefault="00920CBC" w:rsidP="00C93734">
      <w:pPr>
        <w:jc w:val="both"/>
        <w:rPr>
          <w:rFonts w:cs="Arial"/>
        </w:rPr>
      </w:pPr>
      <w:r>
        <w:rPr>
          <w:rFonts w:cs="Arial"/>
        </w:rPr>
        <w:t xml:space="preserve">Competition </w:t>
      </w:r>
      <w:r w:rsidR="003433B7">
        <w:rPr>
          <w:rFonts w:cs="Arial"/>
        </w:rPr>
        <w:t>in taking advantage of the</w:t>
      </w:r>
      <w:r>
        <w:rPr>
          <w:rFonts w:cs="Arial"/>
        </w:rPr>
        <w:t xml:space="preserve"> offshore renewables industry is strong. Although </w:t>
      </w:r>
      <w:r w:rsidR="003433B7">
        <w:rPr>
          <w:rFonts w:cs="Arial"/>
        </w:rPr>
        <w:t>NEL</w:t>
      </w:r>
      <w:r>
        <w:rPr>
          <w:rFonts w:cs="Arial"/>
        </w:rPr>
        <w:t xml:space="preserve"> </w:t>
      </w:r>
      <w:r w:rsidR="003433B7">
        <w:rPr>
          <w:rFonts w:cs="Arial"/>
        </w:rPr>
        <w:t>has the capability to meet</w:t>
      </w:r>
      <w:r>
        <w:rPr>
          <w:rFonts w:cs="Arial"/>
        </w:rPr>
        <w:t xml:space="preserve"> demand and</w:t>
      </w:r>
      <w:r w:rsidR="003433B7">
        <w:rPr>
          <w:rFonts w:cs="Arial"/>
        </w:rPr>
        <w:t xml:space="preserve"> enjoys a strategic location in terms of</w:t>
      </w:r>
      <w:r>
        <w:rPr>
          <w:rFonts w:cs="Arial"/>
        </w:rPr>
        <w:t xml:space="preserve"> access</w:t>
      </w:r>
      <w:r w:rsidR="003433B7">
        <w:rPr>
          <w:rFonts w:cs="Arial"/>
        </w:rPr>
        <w:t xml:space="preserve"> to</w:t>
      </w:r>
      <w:r>
        <w:rPr>
          <w:rFonts w:cs="Arial"/>
        </w:rPr>
        <w:t xml:space="preserve"> </w:t>
      </w:r>
      <w:r w:rsidR="00F81FCB">
        <w:rPr>
          <w:rFonts w:cs="Arial"/>
        </w:rPr>
        <w:t>windfarm</w:t>
      </w:r>
      <w:r>
        <w:rPr>
          <w:rFonts w:cs="Arial"/>
        </w:rPr>
        <w:t xml:space="preserve">s, other areas on the </w:t>
      </w:r>
      <w:r w:rsidR="003433B7">
        <w:rPr>
          <w:rFonts w:cs="Arial"/>
        </w:rPr>
        <w:t>e</w:t>
      </w:r>
      <w:r>
        <w:rPr>
          <w:rFonts w:cs="Arial"/>
        </w:rPr>
        <w:t xml:space="preserve">ast </w:t>
      </w:r>
      <w:r w:rsidR="003433B7">
        <w:rPr>
          <w:rFonts w:cs="Arial"/>
        </w:rPr>
        <w:t>c</w:t>
      </w:r>
      <w:r>
        <w:rPr>
          <w:rFonts w:cs="Arial"/>
        </w:rPr>
        <w:t xml:space="preserve">oast of England are </w:t>
      </w:r>
      <w:r w:rsidR="009F43F1">
        <w:rPr>
          <w:rFonts w:cs="Arial"/>
        </w:rPr>
        <w:t xml:space="preserve">viewed </w:t>
      </w:r>
      <w:r>
        <w:rPr>
          <w:rFonts w:cs="Arial"/>
        </w:rPr>
        <w:t>as direct competitors for</w:t>
      </w:r>
      <w:r w:rsidR="009F43F1">
        <w:rPr>
          <w:rFonts w:cs="Arial"/>
        </w:rPr>
        <w:t xml:space="preserve"> attracting</w:t>
      </w:r>
      <w:r>
        <w:rPr>
          <w:rFonts w:cs="Arial"/>
        </w:rPr>
        <w:t xml:space="preserve"> inward investment and </w:t>
      </w:r>
      <w:r w:rsidR="009F43F1">
        <w:rPr>
          <w:rFonts w:cs="Arial"/>
        </w:rPr>
        <w:t>securing employment</w:t>
      </w:r>
      <w:r>
        <w:rPr>
          <w:rFonts w:cs="Arial"/>
        </w:rPr>
        <w:t xml:space="preserve"> growth</w:t>
      </w:r>
      <w:r w:rsidR="009F43F1">
        <w:rPr>
          <w:rFonts w:cs="Arial"/>
        </w:rPr>
        <w:t xml:space="preserve"> opportunities</w:t>
      </w:r>
      <w:r>
        <w:rPr>
          <w:rFonts w:cs="Arial"/>
        </w:rPr>
        <w:t>. These include:</w:t>
      </w:r>
    </w:p>
    <w:p w14:paraId="7E3B591F" w14:textId="77777777" w:rsidR="00920CBC" w:rsidRPr="00AF6EDE" w:rsidRDefault="00920CBC" w:rsidP="00C93734">
      <w:pPr>
        <w:pStyle w:val="ListParagraph"/>
        <w:numPr>
          <w:ilvl w:val="0"/>
          <w:numId w:val="33"/>
        </w:numPr>
        <w:spacing w:after="0"/>
        <w:jc w:val="both"/>
        <w:outlineLvl w:val="9"/>
        <w:rPr>
          <w:rFonts w:cs="Arial"/>
        </w:rPr>
      </w:pPr>
      <w:r w:rsidRPr="00AF6EDE">
        <w:rPr>
          <w:rFonts w:cs="Arial"/>
        </w:rPr>
        <w:t xml:space="preserve">Scotland – Although recently </w:t>
      </w:r>
      <w:r w:rsidR="009F43F1">
        <w:rPr>
          <w:rFonts w:cs="Arial"/>
        </w:rPr>
        <w:t>subject to some uncertainty</w:t>
      </w:r>
      <w:r>
        <w:rPr>
          <w:rStyle w:val="FootnoteReference"/>
          <w:rFonts w:cs="Arial"/>
        </w:rPr>
        <w:footnoteReference w:id="25"/>
      </w:r>
      <w:r w:rsidRPr="00AF6EDE">
        <w:rPr>
          <w:rFonts w:cs="Arial"/>
        </w:rPr>
        <w:t xml:space="preserve">, there is strong political </w:t>
      </w:r>
      <w:r w:rsidR="009F43F1">
        <w:rPr>
          <w:rFonts w:cs="Arial"/>
        </w:rPr>
        <w:t>support</w:t>
      </w:r>
      <w:r w:rsidR="009F43F1" w:rsidRPr="00AF6EDE">
        <w:rPr>
          <w:rFonts w:cs="Arial"/>
        </w:rPr>
        <w:t xml:space="preserve"> </w:t>
      </w:r>
      <w:r w:rsidRPr="00AF6EDE">
        <w:rPr>
          <w:rFonts w:cs="Arial"/>
        </w:rPr>
        <w:t xml:space="preserve">for </w:t>
      </w:r>
      <w:r w:rsidR="009F43F1">
        <w:rPr>
          <w:rFonts w:cs="Arial"/>
        </w:rPr>
        <w:t xml:space="preserve">expansion of </w:t>
      </w:r>
      <w:r w:rsidRPr="00AF6EDE">
        <w:rPr>
          <w:rFonts w:cs="Arial"/>
        </w:rPr>
        <w:t xml:space="preserve">Scotland’s offshore wind </w:t>
      </w:r>
      <w:r w:rsidR="009F43F1">
        <w:rPr>
          <w:rFonts w:cs="Arial"/>
        </w:rPr>
        <w:t>capabilities</w:t>
      </w:r>
      <w:r w:rsidRPr="00AF6EDE">
        <w:rPr>
          <w:rFonts w:cs="Arial"/>
        </w:rPr>
        <w:t xml:space="preserve">. Public investment continues to assist the sector’s development and the transferable skills, occupations and commercial acumen </w:t>
      </w:r>
      <w:r w:rsidR="009F43F1">
        <w:rPr>
          <w:rFonts w:cs="Arial"/>
        </w:rPr>
        <w:t>of</w:t>
      </w:r>
      <w:r w:rsidR="009F43F1" w:rsidRPr="00AF6EDE">
        <w:rPr>
          <w:rFonts w:cs="Arial"/>
        </w:rPr>
        <w:t xml:space="preserve"> </w:t>
      </w:r>
      <w:r w:rsidRPr="00AF6EDE">
        <w:rPr>
          <w:rFonts w:cs="Arial"/>
        </w:rPr>
        <w:t xml:space="preserve">the </w:t>
      </w:r>
      <w:r w:rsidR="009F43F1">
        <w:rPr>
          <w:rFonts w:cs="Arial"/>
        </w:rPr>
        <w:t xml:space="preserve">established </w:t>
      </w:r>
      <w:r w:rsidRPr="00AF6EDE">
        <w:rPr>
          <w:rFonts w:cs="Arial"/>
        </w:rPr>
        <w:t xml:space="preserve">oil and gas sector are seen to </w:t>
      </w:r>
      <w:r w:rsidR="009F43F1">
        <w:rPr>
          <w:rFonts w:cs="Arial"/>
        </w:rPr>
        <w:t>contribute to</w:t>
      </w:r>
      <w:r w:rsidR="009F43F1" w:rsidRPr="00AF6EDE">
        <w:rPr>
          <w:rFonts w:cs="Arial"/>
        </w:rPr>
        <w:t xml:space="preserve"> </w:t>
      </w:r>
      <w:r w:rsidR="009F43F1">
        <w:rPr>
          <w:rFonts w:cs="Arial"/>
        </w:rPr>
        <w:t xml:space="preserve">a </w:t>
      </w:r>
      <w:r w:rsidRPr="00AF6EDE">
        <w:rPr>
          <w:rFonts w:cs="Arial"/>
        </w:rPr>
        <w:t xml:space="preserve">compelling offer. </w:t>
      </w:r>
    </w:p>
    <w:p w14:paraId="45D70122" w14:textId="77777777" w:rsidR="00920CBC" w:rsidRPr="00AF6EDE" w:rsidRDefault="00920CBC" w:rsidP="00C93734">
      <w:pPr>
        <w:pStyle w:val="ListParagraph"/>
        <w:numPr>
          <w:ilvl w:val="0"/>
          <w:numId w:val="33"/>
        </w:numPr>
        <w:spacing w:after="0"/>
        <w:jc w:val="both"/>
        <w:outlineLvl w:val="9"/>
        <w:rPr>
          <w:rFonts w:cs="Arial"/>
        </w:rPr>
      </w:pPr>
      <w:r w:rsidRPr="00AF6EDE">
        <w:rPr>
          <w:rFonts w:cs="Arial"/>
        </w:rPr>
        <w:t>Teesside – Teesside is seen to be competitive because of the local support, the land available</w:t>
      </w:r>
      <w:r w:rsidR="00BF64E6">
        <w:rPr>
          <w:rFonts w:cs="Arial"/>
        </w:rPr>
        <w:t xml:space="preserve"> and</w:t>
      </w:r>
      <w:r w:rsidR="00BF64E6" w:rsidRPr="00AF6EDE">
        <w:rPr>
          <w:rFonts w:cs="Arial"/>
        </w:rPr>
        <w:t xml:space="preserve"> </w:t>
      </w:r>
      <w:r w:rsidRPr="00AF6EDE">
        <w:rPr>
          <w:rFonts w:cs="Arial"/>
        </w:rPr>
        <w:t>nearby universities</w:t>
      </w:r>
      <w:r w:rsidR="00BF64E6">
        <w:rPr>
          <w:rFonts w:cs="Arial"/>
        </w:rPr>
        <w:t>.</w:t>
      </w:r>
      <w:r w:rsidRPr="00AF6EDE">
        <w:rPr>
          <w:rFonts w:cs="Arial"/>
        </w:rPr>
        <w:t xml:space="preserve"> </w:t>
      </w:r>
    </w:p>
    <w:p w14:paraId="64534D64" w14:textId="77777777" w:rsidR="00920CBC" w:rsidRDefault="00920CBC" w:rsidP="00C93734">
      <w:pPr>
        <w:pStyle w:val="ListParagraph"/>
        <w:numPr>
          <w:ilvl w:val="0"/>
          <w:numId w:val="33"/>
        </w:numPr>
        <w:spacing w:after="0"/>
        <w:jc w:val="both"/>
        <w:outlineLvl w:val="9"/>
        <w:rPr>
          <w:rFonts w:cs="Arial"/>
        </w:rPr>
      </w:pPr>
      <w:r w:rsidRPr="00AF6EDE">
        <w:rPr>
          <w:rFonts w:cs="Arial"/>
        </w:rPr>
        <w:t>Lowestoft/Great Yarmouth – Both ports, although much smaller than ports in Scotland, Teesside and the Humber provide a competitive location for access to</w:t>
      </w:r>
      <w:r w:rsidR="009F43F1">
        <w:rPr>
          <w:rFonts w:cs="Arial"/>
        </w:rPr>
        <w:t xml:space="preserve"> the</w:t>
      </w:r>
      <w:r w:rsidRPr="00AF6EDE">
        <w:rPr>
          <w:rFonts w:cs="Arial"/>
        </w:rPr>
        <w:t xml:space="preserve"> Dogger Bank, Hornsea and Norfolk windfarms.</w:t>
      </w:r>
    </w:p>
    <w:p w14:paraId="6ACCDF93" w14:textId="77777777" w:rsidR="009F753F" w:rsidRPr="00AF6EDE" w:rsidRDefault="009F753F" w:rsidP="00C93734">
      <w:pPr>
        <w:pStyle w:val="ListParagraph"/>
        <w:numPr>
          <w:ilvl w:val="0"/>
          <w:numId w:val="0"/>
        </w:numPr>
        <w:spacing w:after="0"/>
        <w:ind w:left="720"/>
        <w:jc w:val="both"/>
        <w:outlineLvl w:val="9"/>
        <w:rPr>
          <w:rFonts w:cs="Arial"/>
        </w:rPr>
      </w:pPr>
    </w:p>
    <w:p w14:paraId="50A9F9F8" w14:textId="77777777" w:rsidR="00920CBC" w:rsidRDefault="00920CBC" w:rsidP="00C93734">
      <w:pPr>
        <w:jc w:val="both"/>
        <w:rPr>
          <w:rFonts w:cs="Arial"/>
        </w:rPr>
      </w:pPr>
      <w:r w:rsidRPr="00023DD0">
        <w:rPr>
          <w:rFonts w:cs="Arial"/>
        </w:rPr>
        <w:t>The UK is in fierce competition with the rest of Europe for the jobs that will be created</w:t>
      </w:r>
      <w:r>
        <w:rPr>
          <w:rFonts w:cs="Arial"/>
        </w:rPr>
        <w:t xml:space="preserve"> </w:t>
      </w:r>
      <w:r w:rsidRPr="00023DD0">
        <w:rPr>
          <w:rFonts w:cs="Arial"/>
        </w:rPr>
        <w:t xml:space="preserve">by the offshore wind industry. </w:t>
      </w:r>
      <w:r>
        <w:rPr>
          <w:rFonts w:cs="Arial"/>
        </w:rPr>
        <w:t>A</w:t>
      </w:r>
      <w:r w:rsidRPr="00023DD0">
        <w:rPr>
          <w:rFonts w:cs="Arial"/>
        </w:rPr>
        <w:t>nticipated increase</w:t>
      </w:r>
      <w:r>
        <w:rPr>
          <w:rFonts w:cs="Arial"/>
        </w:rPr>
        <w:t>s</w:t>
      </w:r>
      <w:r w:rsidRPr="00023DD0">
        <w:rPr>
          <w:rFonts w:cs="Arial"/>
        </w:rPr>
        <w:t xml:space="preserve"> in</w:t>
      </w:r>
      <w:r>
        <w:rPr>
          <w:rFonts w:cs="Arial"/>
        </w:rPr>
        <w:t xml:space="preserve"> </w:t>
      </w:r>
      <w:r w:rsidRPr="00023DD0">
        <w:rPr>
          <w:rFonts w:cs="Arial"/>
        </w:rPr>
        <w:t>installation activity from 2017</w:t>
      </w:r>
      <w:r w:rsidR="00757588">
        <w:rPr>
          <w:rFonts w:cs="Arial"/>
        </w:rPr>
        <w:t xml:space="preserve"> onwards</w:t>
      </w:r>
      <w:r>
        <w:rPr>
          <w:rFonts w:cs="Arial"/>
        </w:rPr>
        <w:t xml:space="preserve"> will drive </w:t>
      </w:r>
      <w:r w:rsidRPr="00023DD0">
        <w:rPr>
          <w:rFonts w:cs="Arial"/>
        </w:rPr>
        <w:t xml:space="preserve">many companies to invest in new facilities and port infrastructure </w:t>
      </w:r>
      <w:r>
        <w:rPr>
          <w:rFonts w:cs="Arial"/>
        </w:rPr>
        <w:t xml:space="preserve">between now and 2017. In consultation with businesses, all were in agreement that the renewables industry </w:t>
      </w:r>
      <w:r w:rsidR="00757588">
        <w:rPr>
          <w:rFonts w:cs="Arial"/>
        </w:rPr>
        <w:t>promised benefits</w:t>
      </w:r>
      <w:r>
        <w:rPr>
          <w:rFonts w:cs="Arial"/>
        </w:rPr>
        <w:t xml:space="preserve"> for the profile, the economic diversity and the future of </w:t>
      </w:r>
      <w:r w:rsidR="00D93C8C">
        <w:rPr>
          <w:rFonts w:cs="Arial"/>
        </w:rPr>
        <w:t>NEL</w:t>
      </w:r>
      <w:r>
        <w:rPr>
          <w:rFonts w:cs="Arial"/>
        </w:rPr>
        <w:t xml:space="preserve">. However, there </w:t>
      </w:r>
      <w:r w:rsidR="00D93C8C">
        <w:rPr>
          <w:rFonts w:cs="Arial"/>
        </w:rPr>
        <w:t xml:space="preserve">was some uncertainty regarding </w:t>
      </w:r>
      <w:r>
        <w:rPr>
          <w:rFonts w:cs="Arial"/>
        </w:rPr>
        <w:t xml:space="preserve">the </w:t>
      </w:r>
      <w:r w:rsidR="00D93C8C">
        <w:rPr>
          <w:rFonts w:cs="Arial"/>
        </w:rPr>
        <w:t xml:space="preserve">potential </w:t>
      </w:r>
      <w:r>
        <w:rPr>
          <w:rFonts w:cs="Arial"/>
        </w:rPr>
        <w:t xml:space="preserve">impact </w:t>
      </w:r>
      <w:r w:rsidR="00D93C8C">
        <w:rPr>
          <w:rFonts w:cs="Arial"/>
        </w:rPr>
        <w:t>of</w:t>
      </w:r>
      <w:r>
        <w:rPr>
          <w:rFonts w:cs="Arial"/>
        </w:rPr>
        <w:t xml:space="preserve"> the industry on the local labour market</w:t>
      </w:r>
      <w:r w:rsidR="00D93C8C">
        <w:rPr>
          <w:rFonts w:cs="Arial"/>
        </w:rPr>
        <w:t>, regarding both</w:t>
      </w:r>
      <w:r>
        <w:rPr>
          <w:rFonts w:cs="Arial"/>
        </w:rPr>
        <w:t xml:space="preserve"> the extent to which jobs would be filled by local people</w:t>
      </w:r>
      <w:r w:rsidR="00D93C8C">
        <w:rPr>
          <w:rFonts w:cs="Arial"/>
        </w:rPr>
        <w:t>,</w:t>
      </w:r>
      <w:r>
        <w:rPr>
          <w:rFonts w:cs="Arial"/>
        </w:rPr>
        <w:t xml:space="preserve"> and how many jobs would be created. This suggests that key impacts </w:t>
      </w:r>
      <w:r w:rsidR="00A3797F">
        <w:rPr>
          <w:rFonts w:cs="Arial"/>
        </w:rPr>
        <w:t xml:space="preserve">of </w:t>
      </w:r>
      <w:r>
        <w:rPr>
          <w:rFonts w:cs="Arial"/>
        </w:rPr>
        <w:t>developments</w:t>
      </w:r>
      <w:r w:rsidR="00A3797F">
        <w:rPr>
          <w:rFonts w:cs="Arial"/>
        </w:rPr>
        <w:t xml:space="preserve"> in the sector</w:t>
      </w:r>
      <w:r>
        <w:rPr>
          <w:rFonts w:cs="Arial"/>
        </w:rPr>
        <w:t xml:space="preserve"> on the local labour market could be better communicated</w:t>
      </w:r>
      <w:r w:rsidR="00A3797F">
        <w:rPr>
          <w:rFonts w:cs="Arial"/>
        </w:rPr>
        <w:t>,</w:t>
      </w:r>
      <w:r>
        <w:rPr>
          <w:rFonts w:cs="Arial"/>
        </w:rPr>
        <w:t xml:space="preserve"> and there is a willingness from local firms to see renewable industry jobs taken by local people. Although a complex </w:t>
      </w:r>
      <w:r w:rsidR="0006478B">
        <w:rPr>
          <w:rFonts w:cs="Arial"/>
        </w:rPr>
        <w:t>sector of the labour market</w:t>
      </w:r>
      <w:r>
        <w:rPr>
          <w:rFonts w:cs="Arial"/>
        </w:rPr>
        <w:t xml:space="preserve">, the offshore renewables workforce </w:t>
      </w:r>
      <w:r w:rsidR="0006478B">
        <w:rPr>
          <w:rFonts w:cs="Arial"/>
        </w:rPr>
        <w:t>are often highly mobile</w:t>
      </w:r>
      <w:r>
        <w:rPr>
          <w:rFonts w:cs="Arial"/>
        </w:rPr>
        <w:t xml:space="preserve"> and workers </w:t>
      </w:r>
      <w:r w:rsidR="0006478B">
        <w:rPr>
          <w:rFonts w:cs="Arial"/>
        </w:rPr>
        <w:t>may be attracted from elsewhere by a particular development,</w:t>
      </w:r>
      <w:r>
        <w:rPr>
          <w:rFonts w:cs="Arial"/>
        </w:rPr>
        <w:t xml:space="preserve"> although this depends</w:t>
      </w:r>
      <w:r w:rsidR="0006478B">
        <w:rPr>
          <w:rFonts w:cs="Arial"/>
        </w:rPr>
        <w:t xml:space="preserve"> in part</w:t>
      </w:r>
      <w:r>
        <w:rPr>
          <w:rFonts w:cs="Arial"/>
        </w:rPr>
        <w:t xml:space="preserve"> on the</w:t>
      </w:r>
      <w:r w:rsidR="0006478B">
        <w:rPr>
          <w:rFonts w:cs="Arial"/>
        </w:rPr>
        <w:t xml:space="preserve"> development’s</w:t>
      </w:r>
      <w:r>
        <w:rPr>
          <w:rFonts w:cs="Arial"/>
        </w:rPr>
        <w:t xml:space="preserve"> supply chain activities. However, there have been </w:t>
      </w:r>
      <w:r w:rsidR="002B63CF">
        <w:rPr>
          <w:rFonts w:cs="Arial"/>
        </w:rPr>
        <w:t xml:space="preserve">efforts </w:t>
      </w:r>
      <w:r>
        <w:rPr>
          <w:rFonts w:cs="Arial"/>
        </w:rPr>
        <w:t>by some windfarm developers and O&amp;M firms to recruit locally to reduce costs</w:t>
      </w:r>
      <w:r w:rsidR="002B63CF">
        <w:rPr>
          <w:rFonts w:cs="Arial"/>
        </w:rPr>
        <w:t>. Such behaviour maximises the benefits received by local communities and is therefore an approach to be encouraged in the sector.</w:t>
      </w:r>
    </w:p>
    <w:p w14:paraId="23E78AC5" w14:textId="77777777" w:rsidR="002F7137" w:rsidRDefault="002F7137" w:rsidP="00C93734">
      <w:pPr>
        <w:pStyle w:val="Heading3"/>
        <w:numPr>
          <w:ilvl w:val="2"/>
          <w:numId w:val="5"/>
        </w:numPr>
        <w:jc w:val="both"/>
      </w:pPr>
      <w:r>
        <w:t>Prospects for sector</w:t>
      </w:r>
    </w:p>
    <w:p w14:paraId="04C35BB8" w14:textId="77777777" w:rsidR="00920CBC" w:rsidRDefault="00920CBC" w:rsidP="00C93734">
      <w:pPr>
        <w:jc w:val="both"/>
        <w:rPr>
          <w:rFonts w:cs="Arial"/>
        </w:rPr>
      </w:pPr>
      <w:r w:rsidRPr="00B1188E">
        <w:rPr>
          <w:rFonts w:cs="Arial"/>
        </w:rPr>
        <w:t xml:space="preserve">Round 3 developments are the </w:t>
      </w:r>
      <w:r w:rsidR="002B63CF">
        <w:rPr>
          <w:rFonts w:cs="Arial"/>
        </w:rPr>
        <w:t xml:space="preserve">most </w:t>
      </w:r>
      <w:r w:rsidR="00737DB2">
        <w:rPr>
          <w:rFonts w:cs="Arial"/>
        </w:rPr>
        <w:t>significant</w:t>
      </w:r>
      <w:r w:rsidR="002B63CF" w:rsidRPr="00B1188E">
        <w:rPr>
          <w:rFonts w:cs="Arial"/>
        </w:rPr>
        <w:t xml:space="preserve"> </w:t>
      </w:r>
      <w:r w:rsidRPr="00B1188E">
        <w:rPr>
          <w:rFonts w:cs="Arial"/>
        </w:rPr>
        <w:t xml:space="preserve">opportunity for </w:t>
      </w:r>
      <w:r w:rsidR="002B63CF" w:rsidRPr="00B1188E">
        <w:rPr>
          <w:rFonts w:cs="Arial"/>
        </w:rPr>
        <w:t>large</w:t>
      </w:r>
      <w:r w:rsidR="002B63CF">
        <w:rPr>
          <w:rFonts w:cs="Arial"/>
        </w:rPr>
        <w:t>-</w:t>
      </w:r>
      <w:r w:rsidRPr="00B1188E">
        <w:rPr>
          <w:rFonts w:cs="Arial"/>
        </w:rPr>
        <w:t>scale offshore wind O&amp;M, manufacturing and supply chain activities in the UK</w:t>
      </w:r>
      <w:r w:rsidR="002B63CF">
        <w:rPr>
          <w:rFonts w:cs="Arial"/>
        </w:rPr>
        <w:t xml:space="preserve"> to date</w:t>
      </w:r>
      <w:r w:rsidRPr="00B1188E">
        <w:rPr>
          <w:rFonts w:cs="Arial"/>
        </w:rPr>
        <w:t xml:space="preserve">. Round 3 </w:t>
      </w:r>
      <w:r w:rsidR="00045D66">
        <w:rPr>
          <w:rFonts w:cs="Arial"/>
        </w:rPr>
        <w:t>has</w:t>
      </w:r>
      <w:r w:rsidR="002B63CF">
        <w:rPr>
          <w:rFonts w:cs="Arial"/>
        </w:rPr>
        <w:t xml:space="preserve"> a far larger scope than </w:t>
      </w:r>
      <w:r w:rsidR="00045D66">
        <w:rPr>
          <w:rFonts w:cs="Arial"/>
        </w:rPr>
        <w:t xml:space="preserve">previous </w:t>
      </w:r>
      <w:r w:rsidR="002B63CF">
        <w:rPr>
          <w:rFonts w:cs="Arial"/>
        </w:rPr>
        <w:t>rounds,</w:t>
      </w:r>
      <w:r w:rsidRPr="00B1188E">
        <w:rPr>
          <w:rFonts w:cs="Arial"/>
        </w:rPr>
        <w:t xml:space="preserve"> </w:t>
      </w:r>
      <w:r w:rsidR="00045D66">
        <w:rPr>
          <w:rFonts w:cs="Arial"/>
        </w:rPr>
        <w:t>featuring</w:t>
      </w:r>
      <w:r w:rsidR="002B63CF" w:rsidRPr="00B1188E">
        <w:rPr>
          <w:rFonts w:cs="Arial"/>
        </w:rPr>
        <w:t xml:space="preserve"> </w:t>
      </w:r>
      <w:r w:rsidRPr="00B1188E">
        <w:rPr>
          <w:rFonts w:cs="Arial"/>
        </w:rPr>
        <w:t>nine zones across the UK</w:t>
      </w:r>
      <w:r>
        <w:rPr>
          <w:rFonts w:cs="Arial"/>
        </w:rPr>
        <w:t xml:space="preserve">. </w:t>
      </w:r>
      <w:r w:rsidR="00F81FCB">
        <w:rPr>
          <w:rFonts w:cs="Arial"/>
        </w:rPr>
        <w:t>Windfarm</w:t>
      </w:r>
      <w:r w:rsidRPr="00B1188E">
        <w:rPr>
          <w:rFonts w:cs="Arial"/>
        </w:rPr>
        <w:t xml:space="preserve"> developers will be selecting the most appropriate sites for </w:t>
      </w:r>
      <w:r w:rsidR="00F81FCB">
        <w:rPr>
          <w:rFonts w:cs="Arial"/>
        </w:rPr>
        <w:t>windfarm</w:t>
      </w:r>
      <w:r>
        <w:rPr>
          <w:rFonts w:cs="Arial"/>
        </w:rPr>
        <w:t xml:space="preserve"> development within the zones, d</w:t>
      </w:r>
      <w:r w:rsidRPr="00B1188E">
        <w:rPr>
          <w:rFonts w:cs="Arial"/>
        </w:rPr>
        <w:t>evelop</w:t>
      </w:r>
      <w:r>
        <w:rPr>
          <w:rFonts w:cs="Arial"/>
        </w:rPr>
        <w:t>ing</w:t>
      </w:r>
      <w:r w:rsidRPr="00B1188E">
        <w:rPr>
          <w:rFonts w:cs="Arial"/>
        </w:rPr>
        <w:t xml:space="preserve"> project plans for individual </w:t>
      </w:r>
      <w:r w:rsidR="00F81FCB">
        <w:rPr>
          <w:rFonts w:cs="Arial"/>
        </w:rPr>
        <w:t>windfarm</w:t>
      </w:r>
      <w:r w:rsidRPr="00B1188E">
        <w:rPr>
          <w:rFonts w:cs="Arial"/>
        </w:rPr>
        <w:t>s</w:t>
      </w:r>
      <w:r>
        <w:rPr>
          <w:rFonts w:cs="Arial"/>
        </w:rPr>
        <w:t>, c</w:t>
      </w:r>
      <w:r w:rsidRPr="00B1188E">
        <w:rPr>
          <w:rFonts w:cs="Arial"/>
        </w:rPr>
        <w:t>onsult</w:t>
      </w:r>
      <w:r>
        <w:rPr>
          <w:rFonts w:cs="Arial"/>
        </w:rPr>
        <w:t>ing</w:t>
      </w:r>
      <w:r w:rsidRPr="00B1188E">
        <w:rPr>
          <w:rFonts w:cs="Arial"/>
        </w:rPr>
        <w:t xml:space="preserve"> with stakeholders </w:t>
      </w:r>
      <w:r>
        <w:rPr>
          <w:rFonts w:cs="Arial"/>
        </w:rPr>
        <w:t xml:space="preserve">(e.g. </w:t>
      </w:r>
      <w:r w:rsidR="00BF64E6">
        <w:rPr>
          <w:rFonts w:cs="Arial"/>
        </w:rPr>
        <w:t xml:space="preserve">the </w:t>
      </w:r>
      <w:r>
        <w:rPr>
          <w:rFonts w:cs="Arial"/>
        </w:rPr>
        <w:t xml:space="preserve">Marine Management Organisation, Local Authorities, Natural England etc) and </w:t>
      </w:r>
      <w:r w:rsidR="00045D66">
        <w:rPr>
          <w:rFonts w:cs="Arial"/>
        </w:rPr>
        <w:t xml:space="preserve">then applying for project consent. Successful projects will then be installed and operated. </w:t>
      </w:r>
    </w:p>
    <w:p w14:paraId="55A26581" w14:textId="77777777" w:rsidR="00113414" w:rsidRDefault="00920CBC" w:rsidP="00C93734">
      <w:pPr>
        <w:tabs>
          <w:tab w:val="left" w:pos="2268"/>
        </w:tabs>
        <w:jc w:val="both"/>
        <w:rPr>
          <w:rFonts w:cs="Arial"/>
        </w:rPr>
      </w:pPr>
      <w:r w:rsidRPr="00845034">
        <w:rPr>
          <w:rFonts w:cs="Arial"/>
        </w:rPr>
        <w:t xml:space="preserve">Initial </w:t>
      </w:r>
      <w:r w:rsidR="00045D66">
        <w:rPr>
          <w:rFonts w:cs="Arial"/>
        </w:rPr>
        <w:t>preparation for Round 3 applications is already generating business opportunities and further stages will see jobs created in the manufacture of components and the construction and operation of the windfarms</w:t>
      </w:r>
      <w:r w:rsidRPr="00845034">
        <w:rPr>
          <w:rFonts w:cs="Arial"/>
        </w:rPr>
        <w:t xml:space="preserve">. </w:t>
      </w:r>
      <w:r w:rsidR="00113414">
        <w:rPr>
          <w:rFonts w:cs="Arial"/>
        </w:rPr>
        <w:t xml:space="preserve">Although the </w:t>
      </w:r>
      <w:r w:rsidR="00045D66">
        <w:rPr>
          <w:rFonts w:cs="Arial"/>
        </w:rPr>
        <w:t xml:space="preserve">proposed site </w:t>
      </w:r>
      <w:r w:rsidR="00113414">
        <w:rPr>
          <w:rFonts w:cs="Arial"/>
        </w:rPr>
        <w:t xml:space="preserve">at Dogger Bank has recently been scaled back in size from 9GW to 7GW, this is </w:t>
      </w:r>
      <w:r w:rsidR="00045D66">
        <w:rPr>
          <w:rFonts w:cs="Arial"/>
        </w:rPr>
        <w:t xml:space="preserve">still </w:t>
      </w:r>
      <w:r w:rsidR="00113414">
        <w:rPr>
          <w:rFonts w:cs="Arial"/>
        </w:rPr>
        <w:t xml:space="preserve">likely to </w:t>
      </w:r>
      <w:r w:rsidR="00045D66">
        <w:rPr>
          <w:rFonts w:cs="Arial"/>
        </w:rPr>
        <w:t>generate</w:t>
      </w:r>
      <w:r w:rsidR="00113414">
        <w:rPr>
          <w:rFonts w:cs="Arial"/>
        </w:rPr>
        <w:t xml:space="preserve"> a significant </w:t>
      </w:r>
      <w:r w:rsidR="00045D66">
        <w:rPr>
          <w:rFonts w:cs="Arial"/>
        </w:rPr>
        <w:t xml:space="preserve">number </w:t>
      </w:r>
      <w:r w:rsidR="00113414">
        <w:rPr>
          <w:rFonts w:cs="Arial"/>
        </w:rPr>
        <w:t xml:space="preserve">of jobs. </w:t>
      </w:r>
      <w:r w:rsidR="00045D66">
        <w:rPr>
          <w:rFonts w:cs="Arial"/>
        </w:rPr>
        <w:t xml:space="preserve">Previous </w:t>
      </w:r>
      <w:r w:rsidR="00113414">
        <w:rPr>
          <w:rFonts w:cs="Arial"/>
        </w:rPr>
        <w:t xml:space="preserve">estimates </w:t>
      </w:r>
      <w:r w:rsidR="00BF64E6">
        <w:rPr>
          <w:rFonts w:cs="Arial"/>
        </w:rPr>
        <w:t>suggest</w:t>
      </w:r>
      <w:r w:rsidR="00045D66">
        <w:rPr>
          <w:rFonts w:cs="Arial"/>
        </w:rPr>
        <w:t xml:space="preserve"> each MW installed creates around 15 jobs, and around 0.4 jobs in O&amp;M</w:t>
      </w:r>
      <w:r w:rsidR="00113414" w:rsidRPr="00DC27B7">
        <w:rPr>
          <w:rStyle w:val="FootnoteReference"/>
          <w:rFonts w:cs="Arial"/>
        </w:rPr>
        <w:footnoteReference w:id="26"/>
      </w:r>
      <w:r w:rsidR="00113414">
        <w:rPr>
          <w:rFonts w:cs="Arial"/>
        </w:rPr>
        <w:t>.</w:t>
      </w:r>
    </w:p>
    <w:p w14:paraId="521CE087" w14:textId="77777777" w:rsidR="00113414" w:rsidRDefault="00113414" w:rsidP="00C93734">
      <w:pPr>
        <w:jc w:val="both"/>
        <w:rPr>
          <w:rFonts w:cs="Arial"/>
        </w:rPr>
      </w:pPr>
      <w:r>
        <w:rPr>
          <w:rFonts w:cs="Arial"/>
        </w:rPr>
        <w:t>A number of key supply chain advantages exist for the</w:t>
      </w:r>
      <w:r w:rsidR="00536065">
        <w:rPr>
          <w:rFonts w:cs="Arial"/>
        </w:rPr>
        <w:t xml:space="preserve"> </w:t>
      </w:r>
      <w:r>
        <w:rPr>
          <w:rFonts w:cs="Arial"/>
        </w:rPr>
        <w:t>offshore renewables industry</w:t>
      </w:r>
      <w:r w:rsidR="00536065">
        <w:rPr>
          <w:rFonts w:cs="Arial"/>
        </w:rPr>
        <w:t xml:space="preserve"> in NEL and the surrounding area:</w:t>
      </w:r>
    </w:p>
    <w:p w14:paraId="38DE6CA4" w14:textId="77777777" w:rsidR="00113414" w:rsidRPr="00C5158A" w:rsidRDefault="00113414" w:rsidP="00C93734">
      <w:pPr>
        <w:pStyle w:val="ListParagraph"/>
        <w:numPr>
          <w:ilvl w:val="0"/>
          <w:numId w:val="34"/>
        </w:numPr>
        <w:spacing w:after="0"/>
        <w:jc w:val="both"/>
        <w:outlineLvl w:val="9"/>
        <w:rPr>
          <w:rFonts w:cs="Arial"/>
        </w:rPr>
      </w:pPr>
      <w:r w:rsidRPr="00C5158A">
        <w:rPr>
          <w:rFonts w:cs="Arial"/>
        </w:rPr>
        <w:t xml:space="preserve">There is a legacy of marine engineering in the area and existing marine engineering firms are </w:t>
      </w:r>
      <w:r w:rsidR="00536065">
        <w:rPr>
          <w:rFonts w:cs="Arial"/>
        </w:rPr>
        <w:t>entering the</w:t>
      </w:r>
      <w:r w:rsidRPr="00C5158A">
        <w:rPr>
          <w:rFonts w:cs="Arial"/>
        </w:rPr>
        <w:t xml:space="preserve"> sector</w:t>
      </w:r>
      <w:r w:rsidR="00536065">
        <w:rPr>
          <w:rFonts w:cs="Arial"/>
        </w:rPr>
        <w:t>’s supply chains, from their more traditional base in fishing, logistics and shipping</w:t>
      </w:r>
      <w:r w:rsidRPr="00C5158A">
        <w:rPr>
          <w:rFonts w:cs="Arial"/>
        </w:rPr>
        <w:t>.</w:t>
      </w:r>
      <w:r>
        <w:rPr>
          <w:rFonts w:cs="Arial"/>
        </w:rPr>
        <w:t xml:space="preserve"> </w:t>
      </w:r>
      <w:r w:rsidR="00536065">
        <w:rPr>
          <w:rFonts w:cs="Arial"/>
        </w:rPr>
        <w:t>Businesses in the local area who have expanded into supporting wind activities have experienced growth.</w:t>
      </w:r>
    </w:p>
    <w:p w14:paraId="47FAA200" w14:textId="77777777" w:rsidR="00113414" w:rsidRPr="00C5158A" w:rsidRDefault="00113414" w:rsidP="00C93734">
      <w:pPr>
        <w:pStyle w:val="ListParagraph"/>
        <w:numPr>
          <w:ilvl w:val="0"/>
          <w:numId w:val="34"/>
        </w:numPr>
        <w:spacing w:after="0"/>
        <w:jc w:val="both"/>
        <w:outlineLvl w:val="9"/>
        <w:rPr>
          <w:rFonts w:cs="Arial"/>
        </w:rPr>
      </w:pPr>
      <w:r w:rsidRPr="00C5158A">
        <w:rPr>
          <w:rFonts w:cs="Arial"/>
        </w:rPr>
        <w:t>The sector receives support from training providers in the area who are willing to create and adapt courses to meet employers</w:t>
      </w:r>
      <w:r w:rsidR="00326DB6">
        <w:rPr>
          <w:rFonts w:cs="Arial"/>
        </w:rPr>
        <w:t>’</w:t>
      </w:r>
      <w:r w:rsidRPr="00C5158A">
        <w:rPr>
          <w:rFonts w:cs="Arial"/>
        </w:rPr>
        <w:t xml:space="preserve"> needs. </w:t>
      </w:r>
      <w:r w:rsidR="00536065">
        <w:rPr>
          <w:rFonts w:cs="Arial"/>
        </w:rPr>
        <w:t xml:space="preserve">The </w:t>
      </w:r>
      <w:r>
        <w:rPr>
          <w:rFonts w:cs="Arial"/>
        </w:rPr>
        <w:t>G</w:t>
      </w:r>
      <w:r w:rsidR="00536065">
        <w:rPr>
          <w:rFonts w:cs="Arial"/>
        </w:rPr>
        <w:t>ri</w:t>
      </w:r>
      <w:r>
        <w:rPr>
          <w:rFonts w:cs="Arial"/>
        </w:rPr>
        <w:t xml:space="preserve">msby </w:t>
      </w:r>
      <w:r w:rsidR="006E541A">
        <w:rPr>
          <w:rFonts w:cs="Arial"/>
        </w:rPr>
        <w:t>Institute for F</w:t>
      </w:r>
      <w:r>
        <w:rPr>
          <w:rFonts w:cs="Arial"/>
        </w:rPr>
        <w:t xml:space="preserve">urther </w:t>
      </w:r>
      <w:r w:rsidR="006E541A">
        <w:rPr>
          <w:rFonts w:cs="Arial"/>
        </w:rPr>
        <w:t>Education</w:t>
      </w:r>
      <w:r>
        <w:rPr>
          <w:rFonts w:cs="Arial"/>
        </w:rPr>
        <w:t xml:space="preserve"> has identified renewable</w:t>
      </w:r>
      <w:r w:rsidR="00536065">
        <w:rPr>
          <w:rFonts w:cs="Arial"/>
        </w:rPr>
        <w:t xml:space="preserve"> energy</w:t>
      </w:r>
      <w:r>
        <w:rPr>
          <w:rFonts w:cs="Arial"/>
        </w:rPr>
        <w:t xml:space="preserve"> as a key sector to be aligned with and is </w:t>
      </w:r>
      <w:r w:rsidR="00536065">
        <w:rPr>
          <w:rFonts w:cs="Arial"/>
        </w:rPr>
        <w:t xml:space="preserve">developing </w:t>
      </w:r>
      <w:r>
        <w:rPr>
          <w:rFonts w:cs="Arial"/>
        </w:rPr>
        <w:t xml:space="preserve">its </w:t>
      </w:r>
      <w:r w:rsidR="00536065">
        <w:rPr>
          <w:rFonts w:cs="Arial"/>
        </w:rPr>
        <w:t xml:space="preserve">ability to engage with the private sector. </w:t>
      </w:r>
    </w:p>
    <w:p w14:paraId="7525AC58" w14:textId="77777777" w:rsidR="00113414" w:rsidRPr="00C5158A" w:rsidRDefault="00113414" w:rsidP="00C93734">
      <w:pPr>
        <w:pStyle w:val="ListParagraph"/>
        <w:numPr>
          <w:ilvl w:val="0"/>
          <w:numId w:val="34"/>
        </w:numPr>
        <w:spacing w:after="120"/>
        <w:ind w:left="714" w:hanging="357"/>
        <w:jc w:val="both"/>
        <w:outlineLvl w:val="9"/>
        <w:rPr>
          <w:rFonts w:cs="Arial"/>
        </w:rPr>
      </w:pPr>
      <w:r w:rsidRPr="00C5158A">
        <w:rPr>
          <w:rFonts w:cs="Arial"/>
        </w:rPr>
        <w:t xml:space="preserve">The </w:t>
      </w:r>
      <w:r w:rsidR="00536065">
        <w:rPr>
          <w:rFonts w:cs="Arial"/>
        </w:rPr>
        <w:t xml:space="preserve">area’s </w:t>
      </w:r>
      <w:r w:rsidRPr="00C5158A">
        <w:rPr>
          <w:rFonts w:cs="Arial"/>
        </w:rPr>
        <w:t>ports are capable of handling major project infrastructure and can support equipment and material transfer.</w:t>
      </w:r>
      <w:r>
        <w:rPr>
          <w:rFonts w:cs="Arial"/>
        </w:rPr>
        <w:t xml:space="preserve"> This is important for supporting Round 3</w:t>
      </w:r>
      <w:r w:rsidR="00536065">
        <w:rPr>
          <w:rFonts w:cs="Arial"/>
        </w:rPr>
        <w:t xml:space="preserve"> projects</w:t>
      </w:r>
      <w:r>
        <w:rPr>
          <w:rFonts w:cs="Arial"/>
        </w:rPr>
        <w:t xml:space="preserve">, which are </w:t>
      </w:r>
      <w:r w:rsidR="006E541A">
        <w:rPr>
          <w:rFonts w:cs="Arial"/>
        </w:rPr>
        <w:t>likely</w:t>
      </w:r>
      <w:r>
        <w:rPr>
          <w:rFonts w:cs="Arial"/>
        </w:rPr>
        <w:t xml:space="preserve"> to be larger and require more </w:t>
      </w:r>
      <w:r w:rsidR="00536065">
        <w:rPr>
          <w:rFonts w:cs="Arial"/>
        </w:rPr>
        <w:t xml:space="preserve">complicated logistical arrangements than in the past, due to increased mass of </w:t>
      </w:r>
      <w:r>
        <w:rPr>
          <w:rFonts w:cs="Arial"/>
        </w:rPr>
        <w:t>materials and different construction methods.</w:t>
      </w:r>
    </w:p>
    <w:p w14:paraId="41519DB6" w14:textId="77777777" w:rsidR="00920CBC" w:rsidRDefault="00920CBC" w:rsidP="00C93734">
      <w:pPr>
        <w:jc w:val="both"/>
        <w:rPr>
          <w:rFonts w:cs="Arial"/>
        </w:rPr>
      </w:pPr>
      <w:r>
        <w:rPr>
          <w:rFonts w:cs="Arial"/>
        </w:rPr>
        <w:t xml:space="preserve">A range of offshore renewables operations and maintenance firms (e.g. </w:t>
      </w:r>
      <w:r w:rsidR="00577236">
        <w:rPr>
          <w:rFonts w:cs="Arial"/>
        </w:rPr>
        <w:t>DONG</w:t>
      </w:r>
      <w:r>
        <w:rPr>
          <w:rFonts w:cs="Arial"/>
        </w:rPr>
        <w:t>, Centrica, Siemens, E</w:t>
      </w:r>
      <w:r w:rsidR="00577236">
        <w:rPr>
          <w:rFonts w:cs="Arial"/>
        </w:rPr>
        <w:t>.ON</w:t>
      </w:r>
      <w:r>
        <w:rPr>
          <w:rFonts w:cs="Arial"/>
        </w:rPr>
        <w:t xml:space="preserve">) have established </w:t>
      </w:r>
      <w:r w:rsidR="00536065">
        <w:rPr>
          <w:rFonts w:cs="Arial"/>
        </w:rPr>
        <w:t xml:space="preserve">locations in </w:t>
      </w:r>
      <w:r>
        <w:rPr>
          <w:rFonts w:cs="Arial"/>
        </w:rPr>
        <w:t>the Port of Grim</w:t>
      </w:r>
      <w:r w:rsidR="00F81FCB">
        <w:rPr>
          <w:rFonts w:cs="Arial"/>
        </w:rPr>
        <w:t>s</w:t>
      </w:r>
      <w:r>
        <w:rPr>
          <w:rFonts w:cs="Arial"/>
        </w:rPr>
        <w:t>by</w:t>
      </w:r>
      <w:r w:rsidR="00536065">
        <w:rPr>
          <w:rFonts w:cs="Arial"/>
        </w:rPr>
        <w:t>;</w:t>
      </w:r>
      <w:r>
        <w:rPr>
          <w:rFonts w:cs="Arial"/>
        </w:rPr>
        <w:t xml:space="preserve"> many have chosen</w:t>
      </w:r>
      <w:r w:rsidR="00536065">
        <w:rPr>
          <w:rFonts w:cs="Arial"/>
        </w:rPr>
        <w:t xml:space="preserve"> the site</w:t>
      </w:r>
      <w:r>
        <w:rPr>
          <w:rFonts w:cs="Arial"/>
        </w:rPr>
        <w:t xml:space="preserve"> because of </w:t>
      </w:r>
      <w:r w:rsidR="00536065">
        <w:rPr>
          <w:rFonts w:cs="Arial"/>
        </w:rPr>
        <w:t>the available</w:t>
      </w:r>
      <w:r>
        <w:rPr>
          <w:rFonts w:cs="Arial"/>
        </w:rPr>
        <w:t xml:space="preserve"> </w:t>
      </w:r>
      <w:r w:rsidRPr="00972E84">
        <w:rPr>
          <w:rFonts w:cs="Arial"/>
        </w:rPr>
        <w:t>facilities and infrastructure</w:t>
      </w:r>
      <w:r>
        <w:rPr>
          <w:rFonts w:cs="Arial"/>
        </w:rPr>
        <w:t xml:space="preserve"> as well as proximity to</w:t>
      </w:r>
      <w:r w:rsidR="00536065">
        <w:rPr>
          <w:rFonts w:cs="Arial"/>
        </w:rPr>
        <w:t xml:space="preserve"> existing</w:t>
      </w:r>
      <w:r>
        <w:rPr>
          <w:rFonts w:cs="Arial"/>
        </w:rPr>
        <w:t xml:space="preserve"> </w:t>
      </w:r>
      <w:r w:rsidR="00F81FCB">
        <w:rPr>
          <w:rFonts w:cs="Arial"/>
        </w:rPr>
        <w:t>windfarm</w:t>
      </w:r>
      <w:r>
        <w:rPr>
          <w:rFonts w:cs="Arial"/>
        </w:rPr>
        <w:t xml:space="preserve">s </w:t>
      </w:r>
      <w:r w:rsidRPr="00D5766C">
        <w:rPr>
          <w:rFonts w:cs="Arial"/>
        </w:rPr>
        <w:t>and planned developments</w:t>
      </w:r>
      <w:r w:rsidR="00536065">
        <w:rPr>
          <w:rFonts w:cs="Arial"/>
        </w:rPr>
        <w:t>. Positive perceptions of the development of the O&amp;M sector in Grimsby are founded on</w:t>
      </w:r>
      <w:r w:rsidRPr="00D5766C">
        <w:rPr>
          <w:rFonts w:cs="Arial"/>
        </w:rPr>
        <w:t xml:space="preserve"> the need for </w:t>
      </w:r>
      <w:r w:rsidR="00536065">
        <w:rPr>
          <w:rFonts w:cs="Arial"/>
        </w:rPr>
        <w:t xml:space="preserve">continual </w:t>
      </w:r>
      <w:r w:rsidRPr="00D5766C">
        <w:rPr>
          <w:rFonts w:cs="Arial"/>
        </w:rPr>
        <w:t>O&amp;M</w:t>
      </w:r>
      <w:r w:rsidR="00536065">
        <w:rPr>
          <w:rFonts w:cs="Arial"/>
        </w:rPr>
        <w:t xml:space="preserve"> service</w:t>
      </w:r>
      <w:r w:rsidRPr="00D5766C">
        <w:rPr>
          <w:rFonts w:cs="Arial"/>
        </w:rPr>
        <w:t xml:space="preserve"> to existing </w:t>
      </w:r>
      <w:r w:rsidR="00F81FCB">
        <w:rPr>
          <w:rFonts w:cs="Arial"/>
        </w:rPr>
        <w:t>windfarm</w:t>
      </w:r>
      <w:r w:rsidRPr="00D5766C">
        <w:rPr>
          <w:rFonts w:cs="Arial"/>
        </w:rPr>
        <w:t xml:space="preserve">s and the </w:t>
      </w:r>
      <w:r w:rsidR="00536065">
        <w:rPr>
          <w:rFonts w:cs="Arial"/>
        </w:rPr>
        <w:t>likelihood of demand for such services to expand</w:t>
      </w:r>
      <w:r w:rsidRPr="00D5766C">
        <w:rPr>
          <w:rFonts w:cs="Arial"/>
        </w:rPr>
        <w:t xml:space="preserve">. However, it is expected that </w:t>
      </w:r>
      <w:r w:rsidR="007A3FED">
        <w:rPr>
          <w:rFonts w:cs="Arial"/>
        </w:rPr>
        <w:t>future wind farms</w:t>
      </w:r>
      <w:r w:rsidRPr="00D5766C">
        <w:rPr>
          <w:rFonts w:cs="Arial"/>
        </w:rPr>
        <w:t xml:space="preserve"> will</w:t>
      </w:r>
      <w:r>
        <w:rPr>
          <w:rFonts w:cs="Arial"/>
        </w:rPr>
        <w:t xml:space="preserve"> be larger</w:t>
      </w:r>
      <w:r>
        <w:rPr>
          <w:rStyle w:val="FootnoteReference"/>
          <w:rFonts w:cs="Arial"/>
        </w:rPr>
        <w:footnoteReference w:id="27"/>
      </w:r>
      <w:r w:rsidR="007A3FED">
        <w:rPr>
          <w:rFonts w:cs="Arial"/>
        </w:rPr>
        <w:t xml:space="preserve"> and situated further offshore,</w:t>
      </w:r>
      <w:r>
        <w:rPr>
          <w:rFonts w:cs="Arial"/>
        </w:rPr>
        <w:t xml:space="preserve"> and this</w:t>
      </w:r>
      <w:r w:rsidR="007A3FED">
        <w:rPr>
          <w:rFonts w:cs="Arial"/>
        </w:rPr>
        <w:t xml:space="preserve"> may</w:t>
      </w:r>
      <w:r>
        <w:rPr>
          <w:rFonts w:cs="Arial"/>
        </w:rPr>
        <w:t xml:space="preserve"> present </w:t>
      </w:r>
      <w:r w:rsidR="007A3FED">
        <w:rPr>
          <w:rFonts w:cs="Arial"/>
        </w:rPr>
        <w:t>a</w:t>
      </w:r>
      <w:r>
        <w:rPr>
          <w:rFonts w:cs="Arial"/>
        </w:rPr>
        <w:t xml:space="preserve"> </w:t>
      </w:r>
      <w:r w:rsidR="007A3FED">
        <w:rPr>
          <w:rFonts w:cs="Arial"/>
        </w:rPr>
        <w:t xml:space="preserve">challenges for </w:t>
      </w:r>
      <w:r>
        <w:rPr>
          <w:rFonts w:cs="Arial"/>
        </w:rPr>
        <w:t>the current O&amp;M facilities</w:t>
      </w:r>
      <w:r w:rsidR="007A3FED">
        <w:rPr>
          <w:rFonts w:cs="Arial"/>
        </w:rPr>
        <w:t xml:space="preserve"> and available infrastructure</w:t>
      </w:r>
      <w:r>
        <w:rPr>
          <w:rFonts w:cs="Arial"/>
        </w:rPr>
        <w:t xml:space="preserve"> in </w:t>
      </w:r>
      <w:r w:rsidR="007A3FED">
        <w:rPr>
          <w:rFonts w:cs="Arial"/>
        </w:rPr>
        <w:t>NEL.</w:t>
      </w:r>
    </w:p>
    <w:p w14:paraId="731C1EC3" w14:textId="77777777" w:rsidR="00113414" w:rsidRDefault="00113414" w:rsidP="00C93734">
      <w:pPr>
        <w:jc w:val="both"/>
        <w:rPr>
          <w:rFonts w:cs="Arial"/>
        </w:rPr>
      </w:pPr>
      <w:r>
        <w:rPr>
          <w:rFonts w:cs="Arial"/>
        </w:rPr>
        <w:t>Along with supply chain advantages there are skills and occupational experience advantages</w:t>
      </w:r>
      <w:r w:rsidR="007A3FED">
        <w:rPr>
          <w:rFonts w:cs="Arial"/>
        </w:rPr>
        <w:t xml:space="preserve"> to situating in the area</w:t>
      </w:r>
      <w:r>
        <w:rPr>
          <w:rFonts w:cs="Arial"/>
        </w:rPr>
        <w:t xml:space="preserve"> which can support future development in the sector, including:</w:t>
      </w:r>
    </w:p>
    <w:p w14:paraId="18D52244" w14:textId="77777777" w:rsidR="00113414" w:rsidRDefault="00113414" w:rsidP="00C93734">
      <w:pPr>
        <w:pStyle w:val="ListParagraph"/>
        <w:numPr>
          <w:ilvl w:val="0"/>
          <w:numId w:val="34"/>
        </w:numPr>
        <w:spacing w:after="0"/>
        <w:jc w:val="both"/>
        <w:outlineLvl w:val="9"/>
        <w:rPr>
          <w:rFonts w:cs="Arial"/>
        </w:rPr>
      </w:pPr>
      <w:r>
        <w:rPr>
          <w:rFonts w:cs="Arial"/>
        </w:rPr>
        <w:t xml:space="preserve">Skills for oil, gas and chemical operations including staff with similar skills such as </w:t>
      </w:r>
      <w:r w:rsidRPr="009006DD">
        <w:rPr>
          <w:rFonts w:cs="Arial"/>
        </w:rPr>
        <w:t>mechanical, electrical and civil engineers, project managers, coordinators, office based (e.g. finance, HR, communications) and other key work such as health and safety.</w:t>
      </w:r>
    </w:p>
    <w:p w14:paraId="43905542" w14:textId="77777777" w:rsidR="00113414" w:rsidRDefault="007A3FED" w:rsidP="00C93734">
      <w:pPr>
        <w:pStyle w:val="ListParagraph"/>
        <w:numPr>
          <w:ilvl w:val="0"/>
          <w:numId w:val="34"/>
        </w:numPr>
        <w:spacing w:after="0"/>
        <w:jc w:val="both"/>
        <w:outlineLvl w:val="9"/>
        <w:rPr>
          <w:rFonts w:cs="Arial"/>
        </w:rPr>
      </w:pPr>
      <w:r>
        <w:rPr>
          <w:rFonts w:cs="Arial"/>
        </w:rPr>
        <w:t>Current employment</w:t>
      </w:r>
      <w:r w:rsidR="00113414">
        <w:rPr>
          <w:rFonts w:cs="Arial"/>
        </w:rPr>
        <w:t xml:space="preserve"> in construction can be transferred to renewables including jobs that support construction, operation and maintenance of </w:t>
      </w:r>
      <w:r w:rsidR="00F81FCB">
        <w:rPr>
          <w:rFonts w:cs="Arial"/>
        </w:rPr>
        <w:t>windfarm</w:t>
      </w:r>
      <w:r w:rsidR="00113414">
        <w:rPr>
          <w:rFonts w:cs="Arial"/>
        </w:rPr>
        <w:t xml:space="preserve">s. Occupations include engineers, site managers, electricians, welders and </w:t>
      </w:r>
    </w:p>
    <w:p w14:paraId="1323948E" w14:textId="77777777" w:rsidR="00113414" w:rsidRDefault="00113414" w:rsidP="00C93734">
      <w:pPr>
        <w:pStyle w:val="ListParagraph"/>
        <w:numPr>
          <w:ilvl w:val="0"/>
          <w:numId w:val="34"/>
        </w:numPr>
        <w:spacing w:after="0"/>
        <w:jc w:val="both"/>
        <w:outlineLvl w:val="9"/>
        <w:rPr>
          <w:rFonts w:cs="Arial"/>
        </w:rPr>
      </w:pPr>
      <w:r>
        <w:rPr>
          <w:rFonts w:cs="Arial"/>
        </w:rPr>
        <w:t xml:space="preserve">There are a range of skills and occupations within traditional manufacturing and engineering which can be transferred across to the renewables industry (e.g. retrofitting and assembly). Engineers, </w:t>
      </w:r>
      <w:r w:rsidR="00E912B2">
        <w:rPr>
          <w:rFonts w:cs="Arial"/>
        </w:rPr>
        <w:t>technicians</w:t>
      </w:r>
      <w:r>
        <w:rPr>
          <w:rFonts w:cs="Arial"/>
        </w:rPr>
        <w:t xml:space="preserve"> and operatives often have the right skill set to make a transition.</w:t>
      </w:r>
    </w:p>
    <w:p w14:paraId="5706BB50" w14:textId="77777777" w:rsidR="00113414" w:rsidRDefault="00113414" w:rsidP="00C93734">
      <w:pPr>
        <w:pStyle w:val="ListParagraph"/>
        <w:numPr>
          <w:ilvl w:val="0"/>
          <w:numId w:val="34"/>
        </w:numPr>
        <w:spacing w:after="0"/>
        <w:jc w:val="both"/>
        <w:outlineLvl w:val="9"/>
        <w:rPr>
          <w:rFonts w:cs="Arial"/>
        </w:rPr>
      </w:pPr>
      <w:r>
        <w:rPr>
          <w:rFonts w:cs="Arial"/>
        </w:rPr>
        <w:t xml:space="preserve">Offshore </w:t>
      </w:r>
      <w:r w:rsidR="00F81FCB">
        <w:rPr>
          <w:rFonts w:cs="Arial"/>
        </w:rPr>
        <w:t>windfarm</w:t>
      </w:r>
      <w:r>
        <w:rPr>
          <w:rFonts w:cs="Arial"/>
        </w:rPr>
        <w:t xml:space="preserve">s often require seafaring, stevedore and navigation workers to contribute to the successful operation and management of </w:t>
      </w:r>
      <w:r w:rsidR="00F81FCB">
        <w:rPr>
          <w:rFonts w:cs="Arial"/>
        </w:rPr>
        <w:t>windfarm</w:t>
      </w:r>
      <w:r>
        <w:rPr>
          <w:rFonts w:cs="Arial"/>
        </w:rPr>
        <w:t>s. The local areas proud maritime history means that workers with these skill sets can be recruited locally.</w:t>
      </w:r>
    </w:p>
    <w:p w14:paraId="384CE0F4" w14:textId="77777777" w:rsidR="00113414" w:rsidRDefault="00BF64E6" w:rsidP="00C93734">
      <w:pPr>
        <w:pStyle w:val="ListParagraph"/>
        <w:numPr>
          <w:ilvl w:val="0"/>
          <w:numId w:val="34"/>
        </w:numPr>
        <w:spacing w:after="0"/>
        <w:jc w:val="both"/>
        <w:outlineLvl w:val="9"/>
        <w:rPr>
          <w:rFonts w:cs="Arial"/>
        </w:rPr>
      </w:pPr>
      <w:r>
        <w:rPr>
          <w:rFonts w:cs="Arial"/>
        </w:rPr>
        <w:t xml:space="preserve">Availability of local trades </w:t>
      </w:r>
      <w:r w:rsidR="00113414">
        <w:rPr>
          <w:rFonts w:cs="Arial"/>
        </w:rPr>
        <w:t xml:space="preserve">persons </w:t>
      </w:r>
      <w:r>
        <w:rPr>
          <w:rFonts w:cs="Arial"/>
        </w:rPr>
        <w:t xml:space="preserve">has </w:t>
      </w:r>
      <w:r w:rsidR="00113414">
        <w:rPr>
          <w:rFonts w:cs="Arial"/>
        </w:rPr>
        <w:t xml:space="preserve">also been identified by previous research, with the capacity for </w:t>
      </w:r>
      <w:r>
        <w:rPr>
          <w:rFonts w:cs="Arial"/>
        </w:rPr>
        <w:t>recruitment of p</w:t>
      </w:r>
      <w:r w:rsidRPr="00A7306C">
        <w:rPr>
          <w:rFonts w:cs="Arial"/>
        </w:rPr>
        <w:t xml:space="preserve">anel </w:t>
      </w:r>
      <w:r>
        <w:rPr>
          <w:rFonts w:cs="Arial"/>
        </w:rPr>
        <w:t>wi</w:t>
      </w:r>
      <w:r w:rsidRPr="00A7306C">
        <w:rPr>
          <w:rFonts w:cs="Arial"/>
        </w:rPr>
        <w:t>remen</w:t>
      </w:r>
      <w:r>
        <w:rPr>
          <w:rFonts w:cs="Arial"/>
        </w:rPr>
        <w:t>, i</w:t>
      </w:r>
      <w:r w:rsidR="00113414" w:rsidRPr="00A7306C">
        <w:rPr>
          <w:rFonts w:cs="Arial"/>
        </w:rPr>
        <w:t xml:space="preserve">ndustrial </w:t>
      </w:r>
      <w:r>
        <w:rPr>
          <w:rFonts w:cs="Arial"/>
        </w:rPr>
        <w:t>e</w:t>
      </w:r>
      <w:r w:rsidR="00113414" w:rsidRPr="00A7306C">
        <w:rPr>
          <w:rFonts w:cs="Arial"/>
        </w:rPr>
        <w:t>lectricians, high voltage wiremen, fully skilled welders, and skilled fitters.</w:t>
      </w:r>
      <w:r w:rsidR="00113414">
        <w:rPr>
          <w:rFonts w:cs="Arial"/>
        </w:rPr>
        <w:t xml:space="preserve"> </w:t>
      </w:r>
    </w:p>
    <w:p w14:paraId="785EB1E6" w14:textId="77777777" w:rsidR="00113414" w:rsidRPr="00113414" w:rsidRDefault="00577236" w:rsidP="00C93734">
      <w:pPr>
        <w:pStyle w:val="ListParagraph"/>
        <w:numPr>
          <w:ilvl w:val="0"/>
          <w:numId w:val="34"/>
        </w:numPr>
        <w:jc w:val="both"/>
        <w:rPr>
          <w:rFonts w:cs="Arial"/>
        </w:rPr>
      </w:pPr>
      <w:r>
        <w:rPr>
          <w:rFonts w:cs="Arial"/>
        </w:rPr>
        <w:t>NEL</w:t>
      </w:r>
      <w:r w:rsidR="00113414" w:rsidRPr="00113414">
        <w:rPr>
          <w:rFonts w:cs="Arial"/>
        </w:rPr>
        <w:t>’s historic links with Denmark and Germany are also felt to be supportive to the renewables industry. This is because of the leads that these two countries have in renewables is key to developing inward investment but also knowledge and partnership to support the local areas further. Key companies from these countries are already based in the local area (</w:t>
      </w:r>
      <w:r>
        <w:rPr>
          <w:rFonts w:cs="Arial"/>
        </w:rPr>
        <w:t>DONG</w:t>
      </w:r>
      <w:r w:rsidRPr="00113414">
        <w:rPr>
          <w:rFonts w:cs="Arial"/>
        </w:rPr>
        <w:t xml:space="preserve"> </w:t>
      </w:r>
      <w:r w:rsidR="00113414" w:rsidRPr="00113414">
        <w:rPr>
          <w:rFonts w:cs="Arial"/>
        </w:rPr>
        <w:t>– Denmark, E</w:t>
      </w:r>
      <w:r>
        <w:rPr>
          <w:rFonts w:cs="Arial"/>
        </w:rPr>
        <w:t>.</w:t>
      </w:r>
      <w:r w:rsidR="00113414" w:rsidRPr="00113414">
        <w:rPr>
          <w:rFonts w:cs="Arial"/>
        </w:rPr>
        <w:t>ON – Germany) and it is felt that nurturing these relationships could bring further investment and expertise to the local area. The area can benefit from the maturity of the Danish market and the significant investment that Germany is making into onshore and offshore renewables domestically. These linkages also form part of the relationships that exist in fish processing.</w:t>
      </w:r>
    </w:p>
    <w:p w14:paraId="63DBCCC6" w14:textId="77777777" w:rsidR="002F7137" w:rsidRDefault="002F7137" w:rsidP="00C93734">
      <w:pPr>
        <w:pStyle w:val="Heading3"/>
        <w:numPr>
          <w:ilvl w:val="2"/>
          <w:numId w:val="5"/>
        </w:numPr>
        <w:jc w:val="both"/>
      </w:pPr>
      <w:r>
        <w:t xml:space="preserve">Challenges </w:t>
      </w:r>
    </w:p>
    <w:p w14:paraId="024BAA77" w14:textId="77777777" w:rsidR="00920CBC" w:rsidRDefault="00DC7266" w:rsidP="00C93734">
      <w:pPr>
        <w:jc w:val="both"/>
        <w:rPr>
          <w:rFonts w:cs="Arial"/>
        </w:rPr>
      </w:pPr>
      <w:r>
        <w:t xml:space="preserve">The port infrastructure is not </w:t>
      </w:r>
      <w:r w:rsidR="00737DB2">
        <w:t>p</w:t>
      </w:r>
      <w:r w:rsidR="009D5E00">
        <w:t>erceived</w:t>
      </w:r>
      <w:r w:rsidR="007A3FED">
        <w:t xml:space="preserve"> </w:t>
      </w:r>
      <w:r>
        <w:t>positively</w:t>
      </w:r>
      <w:r w:rsidR="007A3FED">
        <w:t>,</w:t>
      </w:r>
      <w:r>
        <w:t xml:space="preserve"> </w:t>
      </w:r>
      <w:r w:rsidR="007A3FED">
        <w:t xml:space="preserve">attributed </w:t>
      </w:r>
      <w:r>
        <w:t xml:space="preserve">to </w:t>
      </w:r>
      <w:r w:rsidR="007A3FED">
        <w:t>insufficient</w:t>
      </w:r>
      <w:r>
        <w:t xml:space="preserve"> investment </w:t>
      </w:r>
      <w:r w:rsidR="007A3FED">
        <w:t xml:space="preserve">following </w:t>
      </w:r>
      <w:r>
        <w:t>the</w:t>
      </w:r>
      <w:r w:rsidR="007A3FED">
        <w:t xml:space="preserve"> decline of the</w:t>
      </w:r>
      <w:r>
        <w:t xml:space="preserve"> fishing industry. </w:t>
      </w:r>
      <w:r w:rsidR="00920CBC">
        <w:rPr>
          <w:rFonts w:cs="Arial"/>
        </w:rPr>
        <w:t xml:space="preserve">Many firms were vocal about the poor state of the dock area. This included buildings, facilities like the slip ways and the port locks. These facilities were felt to require significant investment and could unlock further development in the future if facilities, infrastructure and aesthetics are improved. New buildings on the Port of Grimsby quayside </w:t>
      </w:r>
      <w:r w:rsidR="00326DB6">
        <w:rPr>
          <w:rFonts w:cs="Arial"/>
        </w:rPr>
        <w:t>form</w:t>
      </w:r>
      <w:r w:rsidR="00920CBC">
        <w:rPr>
          <w:rFonts w:cs="Arial"/>
        </w:rPr>
        <w:t xml:space="preserve"> part of redevelopment of the </w:t>
      </w:r>
      <w:r w:rsidR="007A3FED">
        <w:rPr>
          <w:rFonts w:cs="Arial"/>
        </w:rPr>
        <w:t>north wall</w:t>
      </w:r>
      <w:r w:rsidR="006467B5">
        <w:rPr>
          <w:rFonts w:cs="Arial"/>
        </w:rPr>
        <w:t>.</w:t>
      </w:r>
      <w:r w:rsidR="00920CBC">
        <w:rPr>
          <w:rFonts w:cs="Arial"/>
        </w:rPr>
        <w:t xml:space="preserve"> These facilities and buildings </w:t>
      </w:r>
      <w:r w:rsidR="007A3FED">
        <w:rPr>
          <w:rFonts w:cs="Arial"/>
        </w:rPr>
        <w:t>were often highlighted as a point of contrast with</w:t>
      </w:r>
      <w:r w:rsidR="00920CBC">
        <w:rPr>
          <w:rFonts w:cs="Arial"/>
        </w:rPr>
        <w:t xml:space="preserve"> some of the poorer quality buildings and debris in other </w:t>
      </w:r>
      <w:r w:rsidR="007A3FED">
        <w:rPr>
          <w:rFonts w:cs="Arial"/>
        </w:rPr>
        <w:t>areas of the port</w:t>
      </w:r>
      <w:r w:rsidR="00920CBC">
        <w:rPr>
          <w:rFonts w:cs="Arial"/>
        </w:rPr>
        <w:t xml:space="preserve">. This is seen as a barrier to </w:t>
      </w:r>
      <w:r w:rsidR="00543FB0">
        <w:rPr>
          <w:rFonts w:cs="Arial"/>
        </w:rPr>
        <w:t>investment</w:t>
      </w:r>
      <w:r w:rsidR="00920CBC">
        <w:rPr>
          <w:rFonts w:cs="Arial"/>
        </w:rPr>
        <w:t xml:space="preserve">, as </w:t>
      </w:r>
      <w:r w:rsidR="00543FB0">
        <w:rPr>
          <w:rFonts w:cs="Arial"/>
        </w:rPr>
        <w:t xml:space="preserve">firms </w:t>
      </w:r>
      <w:r w:rsidR="00920CBC">
        <w:rPr>
          <w:rFonts w:cs="Arial"/>
        </w:rPr>
        <w:t>are hesitant to show clients and other stakeholder</w:t>
      </w:r>
      <w:r w:rsidR="00543FB0">
        <w:rPr>
          <w:rFonts w:cs="Arial"/>
        </w:rPr>
        <w:t>s</w:t>
      </w:r>
      <w:r w:rsidR="00920CBC">
        <w:rPr>
          <w:rFonts w:cs="Arial"/>
        </w:rPr>
        <w:t xml:space="preserve"> around</w:t>
      </w:r>
      <w:r w:rsidR="00543FB0">
        <w:rPr>
          <w:rFonts w:cs="Arial"/>
        </w:rPr>
        <w:t xml:space="preserve"> the port. </w:t>
      </w:r>
    </w:p>
    <w:p w14:paraId="2BD7453D" w14:textId="77777777" w:rsidR="00920CBC" w:rsidRDefault="00920CBC" w:rsidP="00C93734">
      <w:pPr>
        <w:jc w:val="both"/>
        <w:rPr>
          <w:rFonts w:cs="Arial"/>
        </w:rPr>
      </w:pPr>
      <w:r>
        <w:rPr>
          <w:rFonts w:cs="Arial"/>
        </w:rPr>
        <w:t>The ownership</w:t>
      </w:r>
      <w:r w:rsidR="00543FB0">
        <w:rPr>
          <w:rFonts w:cs="Arial"/>
        </w:rPr>
        <w:t xml:space="preserve"> structure</w:t>
      </w:r>
      <w:r>
        <w:rPr>
          <w:rFonts w:cs="Arial"/>
        </w:rPr>
        <w:t xml:space="preserve"> of much of</w:t>
      </w:r>
      <w:r w:rsidR="00543FB0">
        <w:rPr>
          <w:rFonts w:cs="Arial"/>
        </w:rPr>
        <w:t xml:space="preserve"> the</w:t>
      </w:r>
      <w:r>
        <w:rPr>
          <w:rFonts w:cs="Arial"/>
        </w:rPr>
        <w:t xml:space="preserve"> port</w:t>
      </w:r>
      <w:r w:rsidR="00543FB0">
        <w:rPr>
          <w:rFonts w:cs="Arial"/>
        </w:rPr>
        <w:t>’s</w:t>
      </w:r>
      <w:r>
        <w:rPr>
          <w:rFonts w:cs="Arial"/>
        </w:rPr>
        <w:t xml:space="preserve"> land is identified as a challenge for the future growth of the sector. Both</w:t>
      </w:r>
      <w:r w:rsidR="00543FB0">
        <w:rPr>
          <w:rFonts w:cs="Arial"/>
        </w:rPr>
        <w:t xml:space="preserve"> the Ports of</w:t>
      </w:r>
      <w:r>
        <w:rPr>
          <w:rFonts w:cs="Arial"/>
        </w:rPr>
        <w:t xml:space="preserve"> Immingham and Grimsby are owned by ABP and there is little </w:t>
      </w:r>
      <w:r w:rsidR="00543FB0">
        <w:rPr>
          <w:rFonts w:cs="Arial"/>
        </w:rPr>
        <w:t xml:space="preserve">prospect for </w:t>
      </w:r>
      <w:r w:rsidR="00F36DA5">
        <w:rPr>
          <w:rFonts w:cs="Arial"/>
        </w:rPr>
        <w:t xml:space="preserve">development without </w:t>
      </w:r>
      <w:r w:rsidR="00543FB0">
        <w:rPr>
          <w:rFonts w:cs="Arial"/>
        </w:rPr>
        <w:t>action</w:t>
      </w:r>
      <w:r w:rsidR="00F36DA5">
        <w:rPr>
          <w:rFonts w:cs="Arial"/>
        </w:rPr>
        <w:t xml:space="preserve"> </w:t>
      </w:r>
      <w:r w:rsidR="00543FB0">
        <w:rPr>
          <w:rFonts w:cs="Arial"/>
        </w:rPr>
        <w:t>by</w:t>
      </w:r>
      <w:r w:rsidR="00F36DA5">
        <w:rPr>
          <w:rFonts w:cs="Arial"/>
        </w:rPr>
        <w:t xml:space="preserve"> the owners</w:t>
      </w:r>
      <w:r>
        <w:rPr>
          <w:rFonts w:cs="Arial"/>
        </w:rPr>
        <w:t>. As such</w:t>
      </w:r>
      <w:r w:rsidR="00543FB0">
        <w:rPr>
          <w:rFonts w:cs="Arial"/>
        </w:rPr>
        <w:t>,</w:t>
      </w:r>
      <w:r>
        <w:rPr>
          <w:rFonts w:cs="Arial"/>
        </w:rPr>
        <w:t xml:space="preserve"> </w:t>
      </w:r>
      <w:r w:rsidR="00543FB0">
        <w:rPr>
          <w:rFonts w:cs="Arial"/>
        </w:rPr>
        <w:t>firms would prefer improved infrastructure</w:t>
      </w:r>
      <w:r>
        <w:rPr>
          <w:rFonts w:cs="Arial"/>
        </w:rPr>
        <w:t xml:space="preserve"> and </w:t>
      </w:r>
      <w:r w:rsidR="00543FB0">
        <w:rPr>
          <w:rFonts w:cs="Arial"/>
        </w:rPr>
        <w:t xml:space="preserve">note </w:t>
      </w:r>
      <w:r>
        <w:rPr>
          <w:rFonts w:cs="Arial"/>
        </w:rPr>
        <w:t>there is little proactive development</w:t>
      </w:r>
      <w:r w:rsidR="00543FB0">
        <w:rPr>
          <w:rFonts w:cs="Arial"/>
        </w:rPr>
        <w:t xml:space="preserve"> of the port</w:t>
      </w:r>
      <w:r>
        <w:rPr>
          <w:rFonts w:cs="Arial"/>
        </w:rPr>
        <w:t xml:space="preserve"> in</w:t>
      </w:r>
      <w:r w:rsidR="00543FB0">
        <w:rPr>
          <w:rFonts w:cs="Arial"/>
        </w:rPr>
        <w:t xml:space="preserve"> order to</w:t>
      </w:r>
      <w:r>
        <w:rPr>
          <w:rFonts w:cs="Arial"/>
        </w:rPr>
        <w:t xml:space="preserve"> attract firms, with </w:t>
      </w:r>
      <w:r w:rsidR="00543FB0">
        <w:rPr>
          <w:rFonts w:cs="Arial"/>
        </w:rPr>
        <w:t xml:space="preserve">improvements only </w:t>
      </w:r>
      <w:r>
        <w:rPr>
          <w:rFonts w:cs="Arial"/>
        </w:rPr>
        <w:t>occurring after a commercial contract has been agreed. Furthermore, there has been some consternation at tenancy costs</w:t>
      </w:r>
      <w:r w:rsidR="00543FB0">
        <w:rPr>
          <w:rFonts w:cs="Arial"/>
        </w:rPr>
        <w:t>.</w:t>
      </w:r>
      <w:r>
        <w:rPr>
          <w:rFonts w:cs="Arial"/>
        </w:rPr>
        <w:t xml:space="preserve">  Tenancy </w:t>
      </w:r>
      <w:r w:rsidR="00543FB0">
        <w:rPr>
          <w:rFonts w:cs="Arial"/>
        </w:rPr>
        <w:t xml:space="preserve">arrangements are often complicated </w:t>
      </w:r>
      <w:r>
        <w:rPr>
          <w:rFonts w:cs="Arial"/>
        </w:rPr>
        <w:t>and</w:t>
      </w:r>
      <w:r w:rsidR="00543FB0">
        <w:rPr>
          <w:rFonts w:cs="Arial"/>
        </w:rPr>
        <w:t xml:space="preserve"> combined with space constraints</w:t>
      </w:r>
      <w:r>
        <w:rPr>
          <w:rFonts w:cs="Arial"/>
        </w:rPr>
        <w:t xml:space="preserve"> </w:t>
      </w:r>
      <w:r w:rsidR="00543FB0">
        <w:rPr>
          <w:rFonts w:cs="Arial"/>
        </w:rPr>
        <w:t>are</w:t>
      </w:r>
      <w:r>
        <w:rPr>
          <w:rFonts w:cs="Arial"/>
        </w:rPr>
        <w:t xml:space="preserve"> felt by some </w:t>
      </w:r>
      <w:r w:rsidR="00543FB0">
        <w:rPr>
          <w:rFonts w:cs="Arial"/>
        </w:rPr>
        <w:t xml:space="preserve">firms </w:t>
      </w:r>
      <w:r>
        <w:rPr>
          <w:rFonts w:cs="Arial"/>
        </w:rPr>
        <w:t>to potentially restrict development and growth of the industry.</w:t>
      </w:r>
    </w:p>
    <w:p w14:paraId="7C87FCDE" w14:textId="77777777" w:rsidR="00920CBC" w:rsidRDefault="00920CBC" w:rsidP="00C93734">
      <w:pPr>
        <w:jc w:val="both"/>
        <w:rPr>
          <w:rFonts w:cs="Arial"/>
        </w:rPr>
      </w:pPr>
      <w:r>
        <w:rPr>
          <w:rFonts w:cs="Arial"/>
        </w:rPr>
        <w:t xml:space="preserve">There is </w:t>
      </w:r>
      <w:r w:rsidR="00543FB0">
        <w:rPr>
          <w:rFonts w:cs="Arial"/>
        </w:rPr>
        <w:t xml:space="preserve">significant </w:t>
      </w:r>
      <w:r>
        <w:rPr>
          <w:rFonts w:cs="Arial"/>
        </w:rPr>
        <w:t xml:space="preserve">uncertainty </w:t>
      </w:r>
      <w:r w:rsidR="00543FB0">
        <w:rPr>
          <w:rFonts w:cs="Arial"/>
        </w:rPr>
        <w:t>regarding the prospects for</w:t>
      </w:r>
      <w:r>
        <w:rPr>
          <w:rFonts w:cs="Arial"/>
        </w:rPr>
        <w:t xml:space="preserve"> renewable energy development in the UK. This is seen by all in the industry as a key stumbling block to future economic and employment growth. It is felt that that </w:t>
      </w:r>
      <w:r w:rsidR="00543FB0">
        <w:rPr>
          <w:rFonts w:cs="Arial"/>
        </w:rPr>
        <w:t xml:space="preserve">strategies </w:t>
      </w:r>
      <w:r>
        <w:rPr>
          <w:rFonts w:cs="Arial"/>
        </w:rPr>
        <w:t xml:space="preserve">such as the UK </w:t>
      </w:r>
      <w:r w:rsidR="00543FB0">
        <w:rPr>
          <w:rFonts w:cs="Arial"/>
        </w:rPr>
        <w:t>Renewable E</w:t>
      </w:r>
      <w:r w:rsidR="00543FB0" w:rsidRPr="00023DD0">
        <w:rPr>
          <w:rFonts w:cs="Arial"/>
        </w:rPr>
        <w:t xml:space="preserve">nergy </w:t>
      </w:r>
      <w:r w:rsidR="00543FB0">
        <w:rPr>
          <w:rFonts w:cs="Arial"/>
        </w:rPr>
        <w:t>R</w:t>
      </w:r>
      <w:r w:rsidR="00543FB0" w:rsidRPr="00023DD0">
        <w:rPr>
          <w:rFonts w:cs="Arial"/>
        </w:rPr>
        <w:t>oadmap</w:t>
      </w:r>
      <w:r w:rsidRPr="00023DD0">
        <w:rPr>
          <w:rFonts w:cs="Arial"/>
        </w:rPr>
        <w:t xml:space="preserve"> </w:t>
      </w:r>
      <w:r>
        <w:rPr>
          <w:rFonts w:cs="Arial"/>
        </w:rPr>
        <w:t xml:space="preserve">do not </w:t>
      </w:r>
      <w:r w:rsidR="00543FB0">
        <w:rPr>
          <w:rFonts w:cs="Arial"/>
        </w:rPr>
        <w:t>provide enough</w:t>
      </w:r>
      <w:r>
        <w:rPr>
          <w:rFonts w:cs="Arial"/>
        </w:rPr>
        <w:t xml:space="preserve"> support</w:t>
      </w:r>
      <w:r w:rsidR="00543FB0">
        <w:rPr>
          <w:rFonts w:cs="Arial"/>
        </w:rPr>
        <w:t xml:space="preserve"> for</w:t>
      </w:r>
      <w:r>
        <w:rPr>
          <w:rFonts w:cs="Arial"/>
        </w:rPr>
        <w:t xml:space="preserve"> the industry and </w:t>
      </w:r>
      <w:r w:rsidR="00543FB0">
        <w:rPr>
          <w:rFonts w:cs="Arial"/>
        </w:rPr>
        <w:t>many would like to see a stronger g</w:t>
      </w:r>
      <w:r>
        <w:rPr>
          <w:rFonts w:cs="Arial"/>
        </w:rPr>
        <w:t xml:space="preserve">overnment commitment to renewable energy. </w:t>
      </w:r>
    </w:p>
    <w:p w14:paraId="07FCBAFA" w14:textId="77777777" w:rsidR="00920CBC" w:rsidRDefault="00920CBC" w:rsidP="00C93734">
      <w:pPr>
        <w:jc w:val="both"/>
        <w:rPr>
          <w:rFonts w:cs="Arial"/>
        </w:rPr>
      </w:pPr>
      <w:r>
        <w:rPr>
          <w:rFonts w:cs="Arial"/>
        </w:rPr>
        <w:t xml:space="preserve">The trade and industry group RenewableUK has been </w:t>
      </w:r>
      <w:r w:rsidR="00254778">
        <w:rPr>
          <w:rFonts w:cs="Arial"/>
        </w:rPr>
        <w:t xml:space="preserve">regarding </w:t>
      </w:r>
      <w:r>
        <w:rPr>
          <w:rFonts w:cs="Arial"/>
        </w:rPr>
        <w:t>the lack of support</w:t>
      </w:r>
      <w:r w:rsidR="00326DB6">
        <w:rPr>
          <w:rFonts w:cs="Arial"/>
        </w:rPr>
        <w:t xml:space="preserve"> </w:t>
      </w:r>
      <w:r w:rsidR="00293441">
        <w:rPr>
          <w:rFonts w:cs="Arial"/>
        </w:rPr>
        <w:t>and direction the industry has been afforded by politicians</w:t>
      </w:r>
      <w:r>
        <w:rPr>
          <w:rFonts w:cs="Arial"/>
        </w:rPr>
        <w:t xml:space="preserve">. Several policy documents </w:t>
      </w:r>
      <w:r w:rsidR="00293441">
        <w:rPr>
          <w:rFonts w:cs="Arial"/>
        </w:rPr>
        <w:t xml:space="preserve">produced </w:t>
      </w:r>
      <w:r>
        <w:rPr>
          <w:rFonts w:cs="Arial"/>
        </w:rPr>
        <w:t xml:space="preserve">identify the need for support in the face of a market which is </w:t>
      </w:r>
      <w:r w:rsidRPr="005204C0">
        <w:rPr>
          <w:rFonts w:cs="Arial"/>
        </w:rPr>
        <w:t>rapidly developing</w:t>
      </w:r>
      <w:r w:rsidR="005A763A">
        <w:rPr>
          <w:rFonts w:cs="Arial"/>
        </w:rPr>
        <w:t>,</w:t>
      </w:r>
      <w:r w:rsidRPr="005204C0">
        <w:rPr>
          <w:rFonts w:cs="Arial"/>
        </w:rPr>
        <w:t xml:space="preserve"> and many </w:t>
      </w:r>
      <w:r w:rsidR="005A763A">
        <w:rPr>
          <w:rFonts w:cs="Arial"/>
        </w:rPr>
        <w:t xml:space="preserve">firms </w:t>
      </w:r>
      <w:r w:rsidRPr="005204C0">
        <w:rPr>
          <w:rFonts w:cs="Arial"/>
        </w:rPr>
        <w:t>have well-advanced investment plans</w:t>
      </w:r>
      <w:r>
        <w:rPr>
          <w:rFonts w:cs="Arial"/>
        </w:rPr>
        <w:t xml:space="preserve">. It is felt that there is uncertainty over the </w:t>
      </w:r>
      <w:r w:rsidR="00254778">
        <w:rPr>
          <w:rFonts w:cs="Arial"/>
        </w:rPr>
        <w:t>labour requirements</w:t>
      </w:r>
      <w:r>
        <w:rPr>
          <w:rFonts w:cs="Arial"/>
        </w:rPr>
        <w:t xml:space="preserve"> </w:t>
      </w:r>
      <w:r w:rsidR="00254778">
        <w:rPr>
          <w:rFonts w:cs="Arial"/>
        </w:rPr>
        <w:t xml:space="preserve">of the </w:t>
      </w:r>
      <w:r>
        <w:rPr>
          <w:rFonts w:cs="Arial"/>
        </w:rPr>
        <w:t>renewable</w:t>
      </w:r>
      <w:r w:rsidR="00254778">
        <w:rPr>
          <w:rFonts w:cs="Arial"/>
        </w:rPr>
        <w:t xml:space="preserve"> energy sector</w:t>
      </w:r>
      <w:r>
        <w:rPr>
          <w:rFonts w:cs="Arial"/>
        </w:rPr>
        <w:t xml:space="preserve"> and that the </w:t>
      </w:r>
      <w:r w:rsidR="00254778">
        <w:rPr>
          <w:rFonts w:cs="Arial"/>
        </w:rPr>
        <w:t xml:space="preserve">government </w:t>
      </w:r>
      <w:r>
        <w:rPr>
          <w:rFonts w:cs="Arial"/>
        </w:rPr>
        <w:t xml:space="preserve">has not effectively </w:t>
      </w:r>
      <w:r w:rsidR="00254778">
        <w:rPr>
          <w:rFonts w:cs="Arial"/>
        </w:rPr>
        <w:t>communicated with business on this issue</w:t>
      </w:r>
      <w:r>
        <w:rPr>
          <w:rFonts w:cs="Arial"/>
        </w:rPr>
        <w:t xml:space="preserve">. Investment in the offshore renewables is also affected by uncertainty over support for onshore renewables and long term plans for both. RenewableUK has called on </w:t>
      </w:r>
      <w:r w:rsidRPr="005204C0">
        <w:rPr>
          <w:rFonts w:cs="Arial"/>
        </w:rPr>
        <w:t xml:space="preserve">UK </w:t>
      </w:r>
      <w:r w:rsidR="00254778">
        <w:rPr>
          <w:rFonts w:cs="Arial"/>
        </w:rPr>
        <w:t>g</w:t>
      </w:r>
      <w:r w:rsidR="00254778" w:rsidRPr="005204C0">
        <w:rPr>
          <w:rFonts w:cs="Arial"/>
        </w:rPr>
        <w:t xml:space="preserve">overnment </w:t>
      </w:r>
      <w:r w:rsidRPr="005204C0">
        <w:rPr>
          <w:rFonts w:cs="Arial"/>
        </w:rPr>
        <w:t xml:space="preserve">and industry to </w:t>
      </w:r>
      <w:r>
        <w:rPr>
          <w:rFonts w:cs="Arial"/>
        </w:rPr>
        <w:t>“</w:t>
      </w:r>
      <w:r w:rsidRPr="005204C0">
        <w:rPr>
          <w:rFonts w:cs="Arial"/>
        </w:rPr>
        <w:t>agree on a long</w:t>
      </w:r>
      <w:r>
        <w:rPr>
          <w:rFonts w:cs="Arial"/>
        </w:rPr>
        <w:t xml:space="preserve"> </w:t>
      </w:r>
      <w:r w:rsidRPr="005204C0">
        <w:rPr>
          <w:rFonts w:cs="Arial"/>
        </w:rPr>
        <w:t>term vision for offshore wind that will give industry confidence to invest in the technology</w:t>
      </w:r>
      <w:r>
        <w:rPr>
          <w:rFonts w:cs="Arial"/>
        </w:rPr>
        <w:t xml:space="preserve"> </w:t>
      </w:r>
      <w:r w:rsidRPr="005204C0">
        <w:rPr>
          <w:rFonts w:cs="Arial"/>
        </w:rPr>
        <w:t>and facilities that will be critical to bringing down the cost of offshore win</w:t>
      </w:r>
      <w:r>
        <w:rPr>
          <w:rFonts w:cs="Arial"/>
        </w:rPr>
        <w:t>d”</w:t>
      </w:r>
      <w:r w:rsidR="005A763A">
        <w:rPr>
          <w:rStyle w:val="FootnoteReference"/>
          <w:rFonts w:cs="Arial"/>
        </w:rPr>
        <w:footnoteReference w:id="28"/>
      </w:r>
      <w:r>
        <w:rPr>
          <w:rFonts w:cs="Arial"/>
        </w:rPr>
        <w:t>.</w:t>
      </w:r>
      <w:r w:rsidR="00F36DA5">
        <w:rPr>
          <w:rFonts w:cs="Arial"/>
        </w:rPr>
        <w:t xml:space="preserve"> The </w:t>
      </w:r>
      <w:r w:rsidR="00254778">
        <w:rPr>
          <w:rFonts w:cs="Arial"/>
        </w:rPr>
        <w:t>government has responded with</w:t>
      </w:r>
      <w:r w:rsidR="00F36DA5">
        <w:rPr>
          <w:rFonts w:cs="Arial"/>
        </w:rPr>
        <w:t xml:space="preserve"> the Industrial Strategy for Offshore Wind and the Energy Market Reform. </w:t>
      </w:r>
      <w:r w:rsidRPr="00023DD0">
        <w:rPr>
          <w:rFonts w:cs="Arial"/>
        </w:rPr>
        <w:t>Long</w:t>
      </w:r>
      <w:r>
        <w:rPr>
          <w:rFonts w:cs="Arial"/>
        </w:rPr>
        <w:t xml:space="preserve"> </w:t>
      </w:r>
      <w:r w:rsidRPr="00023DD0">
        <w:rPr>
          <w:rFonts w:cs="Arial"/>
        </w:rPr>
        <w:t xml:space="preserve">term certainty of support </w:t>
      </w:r>
      <w:r>
        <w:rPr>
          <w:rFonts w:cs="Arial"/>
        </w:rPr>
        <w:t xml:space="preserve">from the </w:t>
      </w:r>
      <w:r w:rsidR="00254778">
        <w:rPr>
          <w:rFonts w:cs="Arial"/>
        </w:rPr>
        <w:t>government would</w:t>
      </w:r>
      <w:r w:rsidR="00254778" w:rsidRPr="00023DD0">
        <w:rPr>
          <w:rFonts w:cs="Arial"/>
        </w:rPr>
        <w:t xml:space="preserve"> </w:t>
      </w:r>
      <w:r w:rsidRPr="00023DD0">
        <w:rPr>
          <w:rFonts w:cs="Arial"/>
        </w:rPr>
        <w:t xml:space="preserve">catalyse project deployment </w:t>
      </w:r>
      <w:r w:rsidR="00254778">
        <w:rPr>
          <w:rFonts w:cs="Arial"/>
        </w:rPr>
        <w:t>and is an</w:t>
      </w:r>
      <w:r>
        <w:rPr>
          <w:rFonts w:cs="Arial"/>
        </w:rPr>
        <w:t xml:space="preserve"> </w:t>
      </w:r>
      <w:r w:rsidRPr="00023DD0">
        <w:rPr>
          <w:rFonts w:cs="Arial"/>
        </w:rPr>
        <w:t xml:space="preserve">essential element of </w:t>
      </w:r>
      <w:r w:rsidR="00254778">
        <w:rPr>
          <w:rFonts w:cs="Arial"/>
        </w:rPr>
        <w:t>any</w:t>
      </w:r>
      <w:r w:rsidR="00254778" w:rsidRPr="00023DD0">
        <w:rPr>
          <w:rFonts w:cs="Arial"/>
        </w:rPr>
        <w:t xml:space="preserve"> </w:t>
      </w:r>
      <w:r w:rsidRPr="00023DD0">
        <w:rPr>
          <w:rFonts w:cs="Arial"/>
        </w:rPr>
        <w:t>policy package</w:t>
      </w:r>
      <w:r>
        <w:rPr>
          <w:rFonts w:cs="Arial"/>
        </w:rPr>
        <w:t xml:space="preserve"> </w:t>
      </w:r>
      <w:r w:rsidR="00254778">
        <w:rPr>
          <w:rFonts w:cs="Arial"/>
        </w:rPr>
        <w:t>for the industry</w:t>
      </w:r>
      <w:r w:rsidRPr="00023DD0">
        <w:rPr>
          <w:rFonts w:cs="Arial"/>
        </w:rPr>
        <w:t xml:space="preserve"> to flourish</w:t>
      </w:r>
      <w:r w:rsidR="00F36DA5">
        <w:rPr>
          <w:rFonts w:cs="Arial"/>
        </w:rPr>
        <w:t>.</w:t>
      </w:r>
    </w:p>
    <w:p w14:paraId="059DB2B6" w14:textId="77777777" w:rsidR="00920CBC" w:rsidRDefault="00254778" w:rsidP="00C93734">
      <w:pPr>
        <w:jc w:val="both"/>
        <w:rPr>
          <w:rFonts w:cs="Arial"/>
        </w:rPr>
      </w:pPr>
      <w:r>
        <w:rPr>
          <w:rFonts w:cs="Arial"/>
        </w:rPr>
        <w:t>The government has declared ambitions regarding</w:t>
      </w:r>
      <w:r w:rsidR="00920CBC">
        <w:rPr>
          <w:rFonts w:cs="Arial"/>
        </w:rPr>
        <w:t xml:space="preserve"> </w:t>
      </w:r>
      <w:r w:rsidR="00920CBC" w:rsidRPr="005204C0">
        <w:rPr>
          <w:rFonts w:cs="Arial"/>
        </w:rPr>
        <w:t xml:space="preserve">offshore wind </w:t>
      </w:r>
      <w:r w:rsidR="00920CBC">
        <w:rPr>
          <w:rFonts w:cs="Arial"/>
        </w:rPr>
        <w:t xml:space="preserve">and the </w:t>
      </w:r>
      <w:r w:rsidR="00920CBC" w:rsidRPr="005204C0">
        <w:rPr>
          <w:rFonts w:cs="Arial"/>
        </w:rPr>
        <w:t>ability to provide sufficient generating capacity to meet renewable energy targets</w:t>
      </w:r>
      <w:r w:rsidR="00920CBC">
        <w:rPr>
          <w:rFonts w:cs="Arial"/>
        </w:rPr>
        <w:t xml:space="preserve"> </w:t>
      </w:r>
      <w:r w:rsidR="00920CBC" w:rsidRPr="005204C0">
        <w:rPr>
          <w:rFonts w:cs="Arial"/>
        </w:rPr>
        <w:t xml:space="preserve">in 2020. </w:t>
      </w:r>
      <w:r>
        <w:rPr>
          <w:rFonts w:cs="Arial"/>
        </w:rPr>
        <w:t xml:space="preserve">However, it </w:t>
      </w:r>
      <w:r w:rsidR="00920CBC">
        <w:rPr>
          <w:rFonts w:cs="Arial"/>
        </w:rPr>
        <w:t xml:space="preserve">is felt that this is </w:t>
      </w:r>
      <w:r w:rsidR="00920CBC" w:rsidRPr="005204C0">
        <w:rPr>
          <w:rFonts w:cs="Arial"/>
        </w:rPr>
        <w:t xml:space="preserve">a relatively short-term horizon for </w:t>
      </w:r>
      <w:r w:rsidR="005A763A">
        <w:rPr>
          <w:rFonts w:cs="Arial"/>
        </w:rPr>
        <w:t>companies looking to make significant investment in infrastructure, tooling and new products</w:t>
      </w:r>
      <w:r w:rsidR="00920CBC" w:rsidRPr="005204C0">
        <w:rPr>
          <w:rFonts w:cs="Arial"/>
        </w:rPr>
        <w:t xml:space="preserve">. </w:t>
      </w:r>
      <w:r>
        <w:rPr>
          <w:rFonts w:cs="Arial"/>
        </w:rPr>
        <w:t>This impression is supported by c</w:t>
      </w:r>
      <w:r w:rsidR="00920CBC">
        <w:rPr>
          <w:rFonts w:cs="Arial"/>
        </w:rPr>
        <w:t>omparison with o</w:t>
      </w:r>
      <w:r w:rsidR="00920CBC" w:rsidRPr="005204C0">
        <w:rPr>
          <w:rFonts w:cs="Arial"/>
        </w:rPr>
        <w:t xml:space="preserve">ther </w:t>
      </w:r>
      <w:r w:rsidR="00920CBC">
        <w:rPr>
          <w:rFonts w:cs="Arial"/>
        </w:rPr>
        <w:t>European governments</w:t>
      </w:r>
      <w:r>
        <w:rPr>
          <w:rFonts w:cs="Arial"/>
        </w:rPr>
        <w:t>;</w:t>
      </w:r>
      <w:r w:rsidR="00920CBC">
        <w:rPr>
          <w:rFonts w:cs="Arial"/>
        </w:rPr>
        <w:t xml:space="preserve"> </w:t>
      </w:r>
      <w:r>
        <w:rPr>
          <w:rFonts w:cs="Arial"/>
        </w:rPr>
        <w:t>the German government, for example,</w:t>
      </w:r>
      <w:r w:rsidR="00920CBC">
        <w:rPr>
          <w:rFonts w:cs="Arial"/>
        </w:rPr>
        <w:t xml:space="preserve"> </w:t>
      </w:r>
      <w:r>
        <w:rPr>
          <w:rFonts w:cs="Arial"/>
        </w:rPr>
        <w:t>has</w:t>
      </w:r>
      <w:r w:rsidR="00920CBC" w:rsidRPr="005204C0">
        <w:rPr>
          <w:rFonts w:cs="Arial"/>
        </w:rPr>
        <w:t xml:space="preserve"> </w:t>
      </w:r>
      <w:r>
        <w:rPr>
          <w:rFonts w:cs="Arial"/>
        </w:rPr>
        <w:t>pro</w:t>
      </w:r>
      <w:r w:rsidR="004227B8">
        <w:rPr>
          <w:rFonts w:cs="Arial"/>
        </w:rPr>
        <w:t>vided a stronger indication of support to investors by announcing</w:t>
      </w:r>
      <w:r w:rsidRPr="005204C0">
        <w:rPr>
          <w:rFonts w:cs="Arial"/>
        </w:rPr>
        <w:t xml:space="preserve"> </w:t>
      </w:r>
      <w:r>
        <w:rPr>
          <w:rFonts w:cs="Arial"/>
        </w:rPr>
        <w:t xml:space="preserve">wind energy targets for 2030. </w:t>
      </w:r>
    </w:p>
    <w:p w14:paraId="0DDD91D7" w14:textId="77777777" w:rsidR="00920CBC" w:rsidRDefault="00920CBC" w:rsidP="00C93734">
      <w:pPr>
        <w:jc w:val="both"/>
        <w:rPr>
          <w:rFonts w:cs="Arial"/>
        </w:rPr>
      </w:pPr>
      <w:r>
        <w:rPr>
          <w:rFonts w:cs="Arial"/>
        </w:rPr>
        <w:t>Local support for the industry is strong and this needs to be maintained to provide an economic case for development. Support at all levels</w:t>
      </w:r>
      <w:r w:rsidR="00755506">
        <w:rPr>
          <w:rFonts w:cs="Arial"/>
        </w:rPr>
        <w:t xml:space="preserve"> of government</w:t>
      </w:r>
      <w:r>
        <w:rPr>
          <w:rFonts w:cs="Arial"/>
        </w:rPr>
        <w:t xml:space="preserve"> is needed since plans for offshore windfarms in other parts of the country have been </w:t>
      </w:r>
      <w:r w:rsidR="004227B8">
        <w:rPr>
          <w:rFonts w:cs="Arial"/>
        </w:rPr>
        <w:t>completed</w:t>
      </w:r>
      <w:r>
        <w:rPr>
          <w:rStyle w:val="FootnoteReference"/>
          <w:rFonts w:cs="Arial"/>
        </w:rPr>
        <w:footnoteReference w:id="29"/>
      </w:r>
      <w:r>
        <w:rPr>
          <w:rFonts w:cs="Arial"/>
        </w:rPr>
        <w:t xml:space="preserve">. </w:t>
      </w:r>
      <w:r w:rsidR="004227B8">
        <w:rPr>
          <w:rFonts w:cs="Arial"/>
        </w:rPr>
        <w:t>Achieving adequate support</w:t>
      </w:r>
      <w:r>
        <w:rPr>
          <w:rFonts w:cs="Arial"/>
        </w:rPr>
        <w:t xml:space="preserve"> may require workin</w:t>
      </w:r>
      <w:r w:rsidR="004227B8">
        <w:rPr>
          <w:rFonts w:cs="Arial"/>
        </w:rPr>
        <w:t xml:space="preserve">g with neighbouring LA and </w:t>
      </w:r>
      <w:r>
        <w:rPr>
          <w:rFonts w:cs="Arial"/>
        </w:rPr>
        <w:t xml:space="preserve">LEP areas </w:t>
      </w:r>
      <w:r w:rsidR="004227B8">
        <w:rPr>
          <w:rFonts w:cs="Arial"/>
        </w:rPr>
        <w:t xml:space="preserve">in order </w:t>
      </w:r>
      <w:r>
        <w:rPr>
          <w:rFonts w:cs="Arial"/>
        </w:rPr>
        <w:t>to push the</w:t>
      </w:r>
      <w:r w:rsidR="004227B8">
        <w:rPr>
          <w:rFonts w:cs="Arial"/>
        </w:rPr>
        <w:t xml:space="preserve"> investment case </w:t>
      </w:r>
      <w:r>
        <w:rPr>
          <w:rFonts w:cs="Arial"/>
        </w:rPr>
        <w:t xml:space="preserve">and encourage the </w:t>
      </w:r>
      <w:r w:rsidR="004227B8">
        <w:rPr>
          <w:rFonts w:cs="Arial"/>
        </w:rPr>
        <w:t xml:space="preserve">government </w:t>
      </w:r>
      <w:r>
        <w:rPr>
          <w:rFonts w:cs="Arial"/>
        </w:rPr>
        <w:t>to support the industry further</w:t>
      </w:r>
      <w:r w:rsidR="004227B8">
        <w:rPr>
          <w:rFonts w:cs="Arial"/>
        </w:rPr>
        <w:t xml:space="preserve"> in the area</w:t>
      </w:r>
      <w:r>
        <w:rPr>
          <w:rFonts w:cs="Arial"/>
        </w:rPr>
        <w:t xml:space="preserve">. </w:t>
      </w:r>
    </w:p>
    <w:p w14:paraId="08308E8B" w14:textId="77777777" w:rsidR="00113414" w:rsidRDefault="00113414" w:rsidP="00C93734">
      <w:pPr>
        <w:jc w:val="both"/>
        <w:rPr>
          <w:rFonts w:cs="Arial"/>
        </w:rPr>
      </w:pPr>
      <w:r>
        <w:rPr>
          <w:rFonts w:cs="Arial"/>
        </w:rPr>
        <w:t xml:space="preserve">Port access and land constraints at the Port of Grimsby </w:t>
      </w:r>
      <w:r w:rsidR="004227B8">
        <w:rPr>
          <w:rFonts w:cs="Arial"/>
        </w:rPr>
        <w:t>mean</w:t>
      </w:r>
      <w:r>
        <w:rPr>
          <w:rFonts w:cs="Arial"/>
        </w:rPr>
        <w:t xml:space="preserve"> </w:t>
      </w:r>
      <w:r w:rsidR="004227B8">
        <w:rPr>
          <w:rFonts w:cs="Arial"/>
        </w:rPr>
        <w:t>t</w:t>
      </w:r>
      <w:r>
        <w:rPr>
          <w:rFonts w:cs="Arial"/>
        </w:rPr>
        <w:t xml:space="preserve">here is limited space available for businesses </w:t>
      </w:r>
      <w:r w:rsidR="004227B8">
        <w:rPr>
          <w:rFonts w:cs="Arial"/>
        </w:rPr>
        <w:t xml:space="preserve">that require </w:t>
      </w:r>
      <w:r>
        <w:rPr>
          <w:rFonts w:cs="Arial"/>
        </w:rPr>
        <w:t>direct port access</w:t>
      </w:r>
      <w:r w:rsidR="004227B8">
        <w:rPr>
          <w:rFonts w:cs="Arial"/>
        </w:rPr>
        <w:t>,</w:t>
      </w:r>
      <w:r w:rsidR="005C065C">
        <w:rPr>
          <w:rFonts w:cs="Arial"/>
        </w:rPr>
        <w:t xml:space="preserve"> and there </w:t>
      </w:r>
      <w:r w:rsidR="004227B8">
        <w:rPr>
          <w:rFonts w:cs="Arial"/>
        </w:rPr>
        <w:t xml:space="preserve">are </w:t>
      </w:r>
      <w:r w:rsidR="005C065C">
        <w:rPr>
          <w:rFonts w:cs="Arial"/>
        </w:rPr>
        <w:t>considerable cost</w:t>
      </w:r>
      <w:r w:rsidR="004227B8">
        <w:rPr>
          <w:rFonts w:cs="Arial"/>
        </w:rPr>
        <w:t>s</w:t>
      </w:r>
      <w:r w:rsidR="005C065C">
        <w:rPr>
          <w:rFonts w:cs="Arial"/>
        </w:rPr>
        <w:t xml:space="preserve"> </w:t>
      </w:r>
      <w:r w:rsidR="004227B8">
        <w:rPr>
          <w:rFonts w:cs="Arial"/>
        </w:rPr>
        <w:t>associated with</w:t>
      </w:r>
      <w:r w:rsidR="005C065C">
        <w:rPr>
          <w:rFonts w:cs="Arial"/>
        </w:rPr>
        <w:t xml:space="preserve"> creating </w:t>
      </w:r>
      <w:r w:rsidR="004227B8">
        <w:rPr>
          <w:rFonts w:cs="Arial"/>
        </w:rPr>
        <w:t xml:space="preserve">further </w:t>
      </w:r>
      <w:r w:rsidR="005C065C">
        <w:rPr>
          <w:rFonts w:cs="Arial"/>
        </w:rPr>
        <w:t>space and associated facilities.</w:t>
      </w:r>
      <w:r>
        <w:rPr>
          <w:rFonts w:cs="Arial"/>
        </w:rPr>
        <w:t xml:space="preserve"> </w:t>
      </w:r>
      <w:r w:rsidR="005C065C">
        <w:rPr>
          <w:rFonts w:cs="Arial"/>
        </w:rPr>
        <w:t xml:space="preserve">This </w:t>
      </w:r>
      <w:r w:rsidR="004227B8">
        <w:rPr>
          <w:rFonts w:cs="Arial"/>
        </w:rPr>
        <w:t>also constitutes a constraint</w:t>
      </w:r>
      <w:r>
        <w:rPr>
          <w:rFonts w:cs="Arial"/>
        </w:rPr>
        <w:t xml:space="preserve"> in </w:t>
      </w:r>
      <w:r w:rsidR="004227B8">
        <w:rPr>
          <w:rFonts w:cs="Arial"/>
        </w:rPr>
        <w:t>further development of</w:t>
      </w:r>
      <w:r w:rsidR="004227B8" w:rsidRPr="00D21AF5">
        <w:rPr>
          <w:rFonts w:cs="Arial"/>
        </w:rPr>
        <w:t xml:space="preserve"> </w:t>
      </w:r>
      <w:r w:rsidRPr="00D21AF5">
        <w:rPr>
          <w:rFonts w:cs="Arial"/>
        </w:rPr>
        <w:t>O&amp;M operations at the port.</w:t>
      </w:r>
    </w:p>
    <w:p w14:paraId="49D92F21" w14:textId="77777777" w:rsidR="00113414" w:rsidRDefault="00113414" w:rsidP="00C93734">
      <w:pPr>
        <w:jc w:val="both"/>
        <w:rPr>
          <w:rFonts w:cs="Arial"/>
        </w:rPr>
      </w:pPr>
      <w:r>
        <w:rPr>
          <w:rFonts w:cs="Arial"/>
        </w:rPr>
        <w:t xml:space="preserve">There is a strong </w:t>
      </w:r>
      <w:r w:rsidRPr="006F0A0F">
        <w:rPr>
          <w:rFonts w:cs="Arial"/>
        </w:rPr>
        <w:t xml:space="preserve">requirement for mechanical, electrical, civil and structural engineering skills across the sector </w:t>
      </w:r>
      <w:r>
        <w:rPr>
          <w:rFonts w:cs="Arial"/>
        </w:rPr>
        <w:t xml:space="preserve">particularly at technician and engineer level. A </w:t>
      </w:r>
      <w:r w:rsidRPr="006F0A0F">
        <w:rPr>
          <w:rFonts w:cs="Arial"/>
        </w:rPr>
        <w:t>solid understanding of engineering principles and technical knowledge of applied engineering</w:t>
      </w:r>
      <w:r>
        <w:rPr>
          <w:rFonts w:cs="Arial"/>
        </w:rPr>
        <w:t xml:space="preserve"> is key to many operations in the sector. </w:t>
      </w:r>
      <w:r w:rsidR="004227B8">
        <w:rPr>
          <w:rFonts w:cs="Arial"/>
        </w:rPr>
        <w:t>Whilst this demand is likely to require the transfer of workers from other sectors, e</w:t>
      </w:r>
      <w:r w:rsidR="004227B8" w:rsidRPr="006F0A0F">
        <w:rPr>
          <w:rFonts w:cs="Arial"/>
        </w:rPr>
        <w:t xml:space="preserve">ngineers </w:t>
      </w:r>
      <w:r w:rsidRPr="006F0A0F">
        <w:rPr>
          <w:rFonts w:cs="Arial"/>
        </w:rPr>
        <w:t>from other sectors often lack exposure to renewable energy projects</w:t>
      </w:r>
      <w:r w:rsidR="004227B8">
        <w:rPr>
          <w:rFonts w:cs="Arial"/>
        </w:rPr>
        <w:t xml:space="preserve"> and</w:t>
      </w:r>
      <w:r w:rsidRPr="006F0A0F">
        <w:rPr>
          <w:rFonts w:cs="Arial"/>
        </w:rPr>
        <w:t xml:space="preserve"> the associated modelling</w:t>
      </w:r>
      <w:r w:rsidR="004227B8">
        <w:rPr>
          <w:rFonts w:cs="Arial"/>
        </w:rPr>
        <w:t xml:space="preserve"> and </w:t>
      </w:r>
      <w:r w:rsidRPr="006F0A0F">
        <w:rPr>
          <w:rFonts w:cs="Arial"/>
        </w:rPr>
        <w:t>risk analysis</w:t>
      </w:r>
      <w:r w:rsidR="004227B8">
        <w:rPr>
          <w:rFonts w:cs="Arial"/>
        </w:rPr>
        <w:t xml:space="preserve"> processes</w:t>
      </w:r>
      <w:r w:rsidRPr="006F0A0F">
        <w:rPr>
          <w:rFonts w:cs="Arial"/>
        </w:rPr>
        <w:t xml:space="preserve"> and technologies</w:t>
      </w:r>
      <w:r w:rsidR="004227B8">
        <w:rPr>
          <w:rFonts w:cs="Arial"/>
        </w:rPr>
        <w:t xml:space="preserve">, </w:t>
      </w:r>
      <w:r>
        <w:rPr>
          <w:rFonts w:cs="Arial"/>
        </w:rPr>
        <w:t xml:space="preserve">many of </w:t>
      </w:r>
      <w:r w:rsidRPr="006F0A0F">
        <w:rPr>
          <w:rFonts w:cs="Arial"/>
        </w:rPr>
        <w:t>which are constantly evolving.</w:t>
      </w:r>
      <w:r>
        <w:rPr>
          <w:rFonts w:cs="Arial"/>
        </w:rPr>
        <w:t xml:space="preserve"> </w:t>
      </w:r>
      <w:r w:rsidRPr="006F0A0F">
        <w:rPr>
          <w:rFonts w:cs="Arial"/>
        </w:rPr>
        <w:t xml:space="preserve"> However, their experience</w:t>
      </w:r>
      <w:r w:rsidR="004227B8">
        <w:rPr>
          <w:rFonts w:cs="Arial"/>
        </w:rPr>
        <w:t xml:space="preserve"> and skills gained</w:t>
      </w:r>
      <w:r w:rsidRPr="006F0A0F">
        <w:rPr>
          <w:rFonts w:cs="Arial"/>
        </w:rPr>
        <w:t xml:space="preserve"> in other sectors can be highly valuable</w:t>
      </w:r>
      <w:r w:rsidR="004227B8">
        <w:rPr>
          <w:rFonts w:cs="Arial"/>
        </w:rPr>
        <w:t>.</w:t>
      </w:r>
    </w:p>
    <w:p w14:paraId="2BF1ED84" w14:textId="77777777" w:rsidR="00113414" w:rsidRPr="00D21AF5" w:rsidRDefault="00113414" w:rsidP="00C93734">
      <w:pPr>
        <w:jc w:val="both"/>
        <w:rPr>
          <w:rFonts w:cs="Arial"/>
        </w:rPr>
      </w:pPr>
      <w:r>
        <w:rPr>
          <w:rFonts w:cs="Arial"/>
        </w:rPr>
        <w:t>During the consultation period of this project</w:t>
      </w:r>
      <w:r w:rsidR="004227B8">
        <w:rPr>
          <w:rFonts w:cs="Arial"/>
        </w:rPr>
        <w:t xml:space="preserve"> (December 2013)</w:t>
      </w:r>
      <w:r>
        <w:rPr>
          <w:rFonts w:cs="Arial"/>
        </w:rPr>
        <w:t>, the ABLE Marine Energy Park received planning permission</w:t>
      </w:r>
      <w:r w:rsidR="004227B8">
        <w:rPr>
          <w:rFonts w:cs="Arial"/>
        </w:rPr>
        <w:t xml:space="preserve"> for proposals to build a deepwater jetty,</w:t>
      </w:r>
      <w:r>
        <w:rPr>
          <w:rFonts w:cs="Arial"/>
        </w:rPr>
        <w:t xml:space="preserve"> and has</w:t>
      </w:r>
      <w:r w:rsidR="004227B8">
        <w:rPr>
          <w:rFonts w:cs="Arial"/>
        </w:rPr>
        <w:t xml:space="preserve"> since</w:t>
      </w:r>
      <w:r>
        <w:rPr>
          <w:rFonts w:cs="Arial"/>
        </w:rPr>
        <w:t xml:space="preserve"> been subject to delay</w:t>
      </w:r>
      <w:r w:rsidR="004227B8">
        <w:rPr>
          <w:rFonts w:cs="Arial"/>
        </w:rPr>
        <w:t>s</w:t>
      </w:r>
      <w:r w:rsidRPr="00561E4A">
        <w:rPr>
          <w:rFonts w:cs="Arial"/>
        </w:rPr>
        <w:t xml:space="preserve">. </w:t>
      </w:r>
      <w:r w:rsidR="004227B8">
        <w:rPr>
          <w:rFonts w:cs="Arial"/>
        </w:rPr>
        <w:t>The resulting u</w:t>
      </w:r>
      <w:r w:rsidRPr="00561E4A">
        <w:rPr>
          <w:rFonts w:cs="Arial"/>
        </w:rPr>
        <w:t xml:space="preserve">ncertainty </w:t>
      </w:r>
      <w:r w:rsidR="004227B8">
        <w:rPr>
          <w:rFonts w:cs="Arial"/>
        </w:rPr>
        <w:t>associated with</w:t>
      </w:r>
      <w:r w:rsidR="004227B8" w:rsidRPr="00561E4A">
        <w:rPr>
          <w:rFonts w:cs="Arial"/>
        </w:rPr>
        <w:t xml:space="preserve"> </w:t>
      </w:r>
      <w:r w:rsidRPr="00561E4A">
        <w:rPr>
          <w:rFonts w:cs="Arial"/>
        </w:rPr>
        <w:t xml:space="preserve">the project was perceived as </w:t>
      </w:r>
      <w:r w:rsidR="004227B8">
        <w:rPr>
          <w:rFonts w:cs="Arial"/>
        </w:rPr>
        <w:t xml:space="preserve">having </w:t>
      </w:r>
      <w:r w:rsidRPr="00561E4A">
        <w:rPr>
          <w:rFonts w:cs="Arial"/>
        </w:rPr>
        <w:t>negative</w:t>
      </w:r>
      <w:r w:rsidR="004227B8">
        <w:rPr>
          <w:rFonts w:cs="Arial"/>
        </w:rPr>
        <w:t xml:space="preserve"> impacts</w:t>
      </w:r>
      <w:r w:rsidRPr="00561E4A">
        <w:rPr>
          <w:rFonts w:cs="Arial"/>
        </w:rPr>
        <w:t>.</w:t>
      </w:r>
      <w:r>
        <w:rPr>
          <w:rFonts w:cs="Arial"/>
        </w:rPr>
        <w:t xml:space="preserve"> </w:t>
      </w:r>
      <w:r w:rsidR="00090EDC">
        <w:rPr>
          <w:rFonts w:cs="Arial"/>
        </w:rPr>
        <w:t>It was therefore felt</w:t>
      </w:r>
      <w:r>
        <w:rPr>
          <w:rFonts w:cs="Arial"/>
        </w:rPr>
        <w:t xml:space="preserve"> that</w:t>
      </w:r>
      <w:r w:rsidR="00090EDC">
        <w:rPr>
          <w:rFonts w:cs="Arial"/>
        </w:rPr>
        <w:t xml:space="preserve"> in the future</w:t>
      </w:r>
      <w:r>
        <w:rPr>
          <w:rFonts w:cs="Arial"/>
        </w:rPr>
        <w:t xml:space="preserve"> strong and </w:t>
      </w:r>
      <w:r w:rsidR="00326DB6">
        <w:rPr>
          <w:rFonts w:cs="Arial"/>
        </w:rPr>
        <w:t>efficient</w:t>
      </w:r>
      <w:r>
        <w:rPr>
          <w:rFonts w:cs="Arial"/>
        </w:rPr>
        <w:t xml:space="preserve"> planning would</w:t>
      </w:r>
      <w:r w:rsidR="00090EDC">
        <w:rPr>
          <w:rFonts w:cs="Arial"/>
        </w:rPr>
        <w:t xml:space="preserve"> be required to</w:t>
      </w:r>
      <w:r>
        <w:rPr>
          <w:rFonts w:cs="Arial"/>
        </w:rPr>
        <w:t xml:space="preserve"> support the </w:t>
      </w:r>
      <w:r w:rsidR="00326DB6">
        <w:rPr>
          <w:rFonts w:cs="Arial"/>
        </w:rPr>
        <w:t>future of the renewables sector in the Humber</w:t>
      </w:r>
      <w:r>
        <w:rPr>
          <w:rFonts w:cs="Arial"/>
        </w:rPr>
        <w:t>.</w:t>
      </w:r>
    </w:p>
    <w:p w14:paraId="7B31A356" w14:textId="77777777" w:rsidR="00B877A8" w:rsidRDefault="00B877A8" w:rsidP="00C93734">
      <w:pPr>
        <w:spacing w:after="200" w:line="276" w:lineRule="auto"/>
        <w:jc w:val="both"/>
        <w:rPr>
          <w:rFonts w:eastAsia="Times New Roman" w:cs="Arial"/>
          <w:b/>
          <w:bCs/>
          <w:color w:val="156570" w:themeColor="background2"/>
          <w:sz w:val="30"/>
          <w:szCs w:val="26"/>
        </w:rPr>
      </w:pPr>
      <w:r>
        <w:rPr>
          <w:rFonts w:cs="Arial"/>
        </w:rPr>
        <w:br w:type="page"/>
      </w:r>
    </w:p>
    <w:p w14:paraId="3A5417E6" w14:textId="77777777" w:rsidR="002E37F5" w:rsidRDefault="002E37F5" w:rsidP="00C93734">
      <w:pPr>
        <w:pStyle w:val="Heading1NoNumb"/>
        <w:jc w:val="both"/>
        <w:sectPr w:rsidR="002E37F5" w:rsidSect="002460FD">
          <w:headerReference w:type="default" r:id="rId71"/>
          <w:footerReference w:type="default" r:id="rId72"/>
          <w:headerReference w:type="first" r:id="rId73"/>
          <w:footerReference w:type="first" r:id="rId74"/>
          <w:pgSz w:w="11906" w:h="16838" w:code="9"/>
          <w:pgMar w:top="964" w:right="1134" w:bottom="964" w:left="1134" w:header="510" w:footer="340" w:gutter="0"/>
          <w:cols w:space="708"/>
          <w:docGrid w:linePitch="360"/>
        </w:sectPr>
      </w:pPr>
    </w:p>
    <w:p w14:paraId="47259D8F" w14:textId="77777777" w:rsidR="00755506" w:rsidRDefault="00755506" w:rsidP="00C93734">
      <w:pPr>
        <w:pStyle w:val="IntroHeading"/>
        <w:jc w:val="both"/>
      </w:pPr>
    </w:p>
    <w:p w14:paraId="091A49F9" w14:textId="77777777" w:rsidR="002E37F5" w:rsidRDefault="002E37F5" w:rsidP="00C93734">
      <w:pPr>
        <w:pStyle w:val="IntroHeading"/>
        <w:jc w:val="both"/>
      </w:pPr>
      <w:bookmarkStart w:id="599" w:name="_Toc395103928"/>
      <w:r>
        <w:t>Visitor Economy</w:t>
      </w:r>
      <w:r w:rsidR="00DF36EA">
        <w:t>, Services &amp; Retail</w:t>
      </w:r>
      <w:bookmarkEnd w:id="599"/>
      <w:r w:rsidR="00DF36EA">
        <w:t xml:space="preserve"> </w:t>
      </w:r>
    </w:p>
    <w:p w14:paraId="509492D3" w14:textId="77777777" w:rsidR="002E37F5" w:rsidRDefault="002E37F5" w:rsidP="00C93734">
      <w:pPr>
        <w:spacing w:after="200" w:line="276" w:lineRule="auto"/>
        <w:jc w:val="both"/>
      </w:pPr>
      <w:r>
        <w:br w:type="page"/>
      </w:r>
    </w:p>
    <w:p w14:paraId="6ED1796C" w14:textId="77777777" w:rsidR="000A0326" w:rsidRDefault="00B877A8" w:rsidP="00AA0EF3">
      <w:pPr>
        <w:pStyle w:val="Heading1"/>
        <w:jc w:val="both"/>
      </w:pPr>
      <w:bookmarkStart w:id="600" w:name="_Ref391911332"/>
      <w:bookmarkStart w:id="601" w:name="_Toc395103929"/>
      <w:r>
        <w:t xml:space="preserve">Visitor </w:t>
      </w:r>
      <w:r w:rsidRPr="000402AD">
        <w:t>Economy</w:t>
      </w:r>
      <w:bookmarkEnd w:id="600"/>
      <w:r w:rsidR="00DF36EA">
        <w:t>, Services &amp; Retail</w:t>
      </w:r>
      <w:bookmarkEnd w:id="601"/>
    </w:p>
    <w:p w14:paraId="752C1D17" w14:textId="77777777" w:rsidR="00AA0EF3" w:rsidRPr="00AA0EF3" w:rsidRDefault="00AA0EF3" w:rsidP="00AA0EF3">
      <w:r>
        <w:t xml:space="preserve">This section provides an assessment primarily of the visitor economy in North East Lincolnshire.  It should be highlighted that the visitor economy is closely related to the wider retail service sectors in the Borough.  Whilst some consideration is given to the retail sector, particularly when analysing secondary data, it should be emphasised that the empirical business survey conducted for this study only sampled the visitor economy and therefore excluded the retail and related service sector activities.    </w:t>
      </w:r>
    </w:p>
    <w:p w14:paraId="3864FB1C" w14:textId="77777777" w:rsidR="007072DE" w:rsidRDefault="007072DE" w:rsidP="007072DE">
      <w:pPr>
        <w:pStyle w:val="Heading2"/>
      </w:pPr>
      <w:bookmarkStart w:id="602" w:name="_Toc395103930"/>
      <w:r>
        <w:t>Context</w:t>
      </w:r>
      <w:bookmarkEnd w:id="602"/>
    </w:p>
    <w:p w14:paraId="15022F7A" w14:textId="77777777" w:rsidR="008F3F98" w:rsidRPr="00DF36EA" w:rsidRDefault="00090EDC" w:rsidP="00C93734">
      <w:pPr>
        <w:jc w:val="both"/>
      </w:pPr>
      <w:r>
        <w:t>NEL</w:t>
      </w:r>
      <w:r w:rsidR="00293441">
        <w:t xml:space="preserve"> has a range of distinct</w:t>
      </w:r>
      <w:r>
        <w:t>ive</w:t>
      </w:r>
      <w:r w:rsidR="00293441">
        <w:t xml:space="preserve"> visitor and retail economy </w:t>
      </w:r>
      <w:r>
        <w:t xml:space="preserve">strengths, making </w:t>
      </w:r>
      <w:r w:rsidR="00293441">
        <w:t xml:space="preserve">it well placed to support future economic growth. Visitor and retail activities </w:t>
      </w:r>
      <w:r w:rsidR="008F3F98">
        <w:t>contribute to economic, social and cultural vitality and have been recognised by policy</w:t>
      </w:r>
      <w:r>
        <w:t xml:space="preserve"> </w:t>
      </w:r>
      <w:r w:rsidR="008F3F98">
        <w:t xml:space="preserve">makers as playing a key role in </w:t>
      </w:r>
      <w:r>
        <w:t>the prosperity</w:t>
      </w:r>
      <w:r w:rsidR="008F3F98">
        <w:t xml:space="preserve"> of local areas. </w:t>
      </w:r>
    </w:p>
    <w:p w14:paraId="0FE407AE" w14:textId="77777777" w:rsidR="005A05AA" w:rsidRPr="008F3F98" w:rsidRDefault="006D77AB" w:rsidP="00C93734">
      <w:pPr>
        <w:jc w:val="both"/>
        <w:rPr>
          <w:rFonts w:cs="Arial"/>
        </w:rPr>
      </w:pPr>
      <w:r>
        <w:rPr>
          <w:rFonts w:cs="Arial"/>
        </w:rPr>
        <w:t xml:space="preserve">The visitor economy is one of the </w:t>
      </w:r>
      <w:r w:rsidR="005A05AA" w:rsidRPr="005A05AA">
        <w:rPr>
          <w:rFonts w:cs="Arial"/>
        </w:rPr>
        <w:t xml:space="preserve">fastest growing </w:t>
      </w:r>
      <w:r w:rsidR="005A05AA">
        <w:rPr>
          <w:rFonts w:cs="Arial"/>
        </w:rPr>
        <w:t xml:space="preserve">employment </w:t>
      </w:r>
      <w:r w:rsidR="005A05AA" w:rsidRPr="005A05AA">
        <w:rPr>
          <w:rFonts w:cs="Arial"/>
        </w:rPr>
        <w:t>sector</w:t>
      </w:r>
      <w:r>
        <w:rPr>
          <w:rFonts w:cs="Arial"/>
        </w:rPr>
        <w:t>s</w:t>
      </w:r>
      <w:r w:rsidR="005A05AA" w:rsidRPr="005A05AA">
        <w:rPr>
          <w:rFonts w:cs="Arial"/>
        </w:rPr>
        <w:t xml:space="preserve"> in the UK</w:t>
      </w:r>
      <w:r w:rsidR="005A05AA">
        <w:rPr>
          <w:rStyle w:val="FootnoteReference"/>
          <w:rFonts w:cs="Arial"/>
        </w:rPr>
        <w:footnoteReference w:id="30"/>
      </w:r>
      <w:r w:rsidR="005A05AA">
        <w:rPr>
          <w:rFonts w:cs="Arial"/>
        </w:rPr>
        <w:t xml:space="preserve">. </w:t>
      </w:r>
      <w:r>
        <w:rPr>
          <w:rFonts w:cs="Arial"/>
        </w:rPr>
        <w:t>It includes economic activity supported by</w:t>
      </w:r>
      <w:r w:rsidR="005A05AA">
        <w:rPr>
          <w:rFonts w:cs="Arial"/>
        </w:rPr>
        <w:t xml:space="preserve"> hotels, restaurants and attractions</w:t>
      </w:r>
      <w:r>
        <w:rPr>
          <w:rFonts w:cs="Arial"/>
        </w:rPr>
        <w:t xml:space="preserve"> </w:t>
      </w:r>
      <w:r w:rsidR="00090EDC">
        <w:rPr>
          <w:rFonts w:cs="Arial"/>
        </w:rPr>
        <w:t>as well as</w:t>
      </w:r>
      <w:r>
        <w:rPr>
          <w:rFonts w:cs="Arial"/>
        </w:rPr>
        <w:t xml:space="preserve"> supply chain</w:t>
      </w:r>
      <w:r w:rsidR="00090EDC">
        <w:rPr>
          <w:rFonts w:cs="Arial"/>
        </w:rPr>
        <w:t xml:space="preserve"> activities</w:t>
      </w:r>
      <w:r>
        <w:rPr>
          <w:rFonts w:cs="Arial"/>
        </w:rPr>
        <w:t xml:space="preserve"> and</w:t>
      </w:r>
      <w:r w:rsidR="00090EDC">
        <w:rPr>
          <w:rFonts w:cs="Arial"/>
        </w:rPr>
        <w:t xml:space="preserve"> the</w:t>
      </w:r>
      <w:r>
        <w:rPr>
          <w:rFonts w:cs="Arial"/>
        </w:rPr>
        <w:t xml:space="preserve"> expenditure of visitors </w:t>
      </w:r>
      <w:r w:rsidR="00090EDC">
        <w:rPr>
          <w:rFonts w:cs="Arial"/>
        </w:rPr>
        <w:t xml:space="preserve">in </w:t>
      </w:r>
      <w:r>
        <w:rPr>
          <w:rFonts w:cs="Arial"/>
        </w:rPr>
        <w:t xml:space="preserve">the wider economy. </w:t>
      </w:r>
    </w:p>
    <w:p w14:paraId="3A076611" w14:textId="77777777" w:rsidR="00F80213" w:rsidRDefault="00090EDC" w:rsidP="00C93734">
      <w:pPr>
        <w:jc w:val="both"/>
      </w:pPr>
      <w:r>
        <w:t>Visitors are drawn to the NEL by a</w:t>
      </w:r>
      <w:r w:rsidR="00F80213">
        <w:t xml:space="preserve"> </w:t>
      </w:r>
      <w:r>
        <w:t>diverse profile of</w:t>
      </w:r>
      <w:r w:rsidR="00F80213">
        <w:t xml:space="preserve"> visitor </w:t>
      </w:r>
      <w:r w:rsidR="008D64CF">
        <w:t xml:space="preserve">and retail </w:t>
      </w:r>
      <w:r w:rsidR="00F80213">
        <w:t xml:space="preserve">assets located across </w:t>
      </w:r>
      <w:r>
        <w:t>the area</w:t>
      </w:r>
      <w:r w:rsidR="00F80213">
        <w:t xml:space="preserve">. These are </w:t>
      </w:r>
      <w:r w:rsidR="008F3F98">
        <w:t xml:space="preserve">briefly described </w:t>
      </w:r>
      <w:r w:rsidR="00F80213">
        <w:t>below:</w:t>
      </w:r>
    </w:p>
    <w:p w14:paraId="48E37B6F" w14:textId="77777777" w:rsidR="00F80213" w:rsidRPr="008F3F98" w:rsidRDefault="00347DF8" w:rsidP="00C93734">
      <w:pPr>
        <w:pStyle w:val="ListParagraph"/>
        <w:numPr>
          <w:ilvl w:val="0"/>
          <w:numId w:val="38"/>
        </w:numPr>
        <w:jc w:val="both"/>
        <w:rPr>
          <w:rFonts w:cs="Arial"/>
          <w:szCs w:val="20"/>
        </w:rPr>
      </w:pPr>
      <w:r w:rsidRPr="00347DF8">
        <w:t>Beaches</w:t>
      </w:r>
      <w:r w:rsidR="00F80213">
        <w:t xml:space="preserve"> – The beach at Cleethorpes is one of </w:t>
      </w:r>
      <w:r w:rsidR="00090EDC">
        <w:t>NEL</w:t>
      </w:r>
      <w:r w:rsidR="00F80213">
        <w:t xml:space="preserve">’s premier attractions, with traditional amusements and leisure </w:t>
      </w:r>
      <w:r w:rsidR="00090EDC">
        <w:t xml:space="preserve">activities </w:t>
      </w:r>
      <w:r w:rsidR="00F80213">
        <w:t xml:space="preserve">including a pier, donkey rides and arcade games. </w:t>
      </w:r>
      <w:r w:rsidR="00405A8E">
        <w:t>H</w:t>
      </w:r>
      <w:r w:rsidR="00F80213">
        <w:t>otels (mainly bread and breakfast</w:t>
      </w:r>
      <w:r w:rsidR="00090EDC">
        <w:t>s</w:t>
      </w:r>
      <w:r w:rsidR="00F80213">
        <w:t xml:space="preserve">) and food outlets </w:t>
      </w:r>
      <w:r w:rsidR="00405A8E">
        <w:t>cater to seasonal visitors</w:t>
      </w:r>
      <w:r w:rsidR="00F80213" w:rsidRPr="005148DB">
        <w:t xml:space="preserve">. </w:t>
      </w:r>
      <w:r w:rsidR="00F80213" w:rsidRPr="008F3F98">
        <w:rPr>
          <w:rFonts w:cs="Arial"/>
          <w:szCs w:val="20"/>
        </w:rPr>
        <w:t>Aside from the beach, one of the largest visitor attraction</w:t>
      </w:r>
      <w:r w:rsidR="00405A8E">
        <w:rPr>
          <w:rFonts w:cs="Arial"/>
          <w:szCs w:val="20"/>
        </w:rPr>
        <w:t>s</w:t>
      </w:r>
      <w:r w:rsidR="00F80213" w:rsidRPr="008F3F98">
        <w:rPr>
          <w:rFonts w:cs="Arial"/>
          <w:szCs w:val="20"/>
        </w:rPr>
        <w:t xml:space="preserve"> is the Pleasure Island theme park</w:t>
      </w:r>
      <w:r w:rsidR="009E089C">
        <w:rPr>
          <w:rFonts w:cs="Arial"/>
          <w:szCs w:val="20"/>
        </w:rPr>
        <w:t>, featuring rides and family shows and open</w:t>
      </w:r>
      <w:r w:rsidR="00F80213" w:rsidRPr="008F3F98">
        <w:rPr>
          <w:rFonts w:cs="Arial"/>
          <w:szCs w:val="20"/>
        </w:rPr>
        <w:t xml:space="preserve"> </w:t>
      </w:r>
      <w:r w:rsidR="009E089C">
        <w:rPr>
          <w:rFonts w:cs="Arial"/>
          <w:szCs w:val="20"/>
        </w:rPr>
        <w:t>on</w:t>
      </w:r>
      <w:r w:rsidR="00F80213" w:rsidRPr="008F3F98">
        <w:rPr>
          <w:rFonts w:cs="Arial"/>
          <w:szCs w:val="20"/>
        </w:rPr>
        <w:t xml:space="preserve"> weekends</w:t>
      </w:r>
      <w:r w:rsidR="009E089C">
        <w:rPr>
          <w:rFonts w:cs="Arial"/>
          <w:szCs w:val="20"/>
        </w:rPr>
        <w:t xml:space="preserve"> and </w:t>
      </w:r>
      <w:r w:rsidR="00F80213" w:rsidRPr="008F3F98">
        <w:rPr>
          <w:rFonts w:cs="Arial"/>
          <w:szCs w:val="20"/>
        </w:rPr>
        <w:t xml:space="preserve">school holidays from March until </w:t>
      </w:r>
      <w:r w:rsidR="00F80213" w:rsidRPr="008F3F98">
        <w:t xml:space="preserve">November, and every day in July and August. Cleethorpes also has a boating </w:t>
      </w:r>
      <w:r w:rsidR="009E089C">
        <w:t>l</w:t>
      </w:r>
      <w:r w:rsidR="009E089C" w:rsidRPr="008F3F98">
        <w:t>ake</w:t>
      </w:r>
      <w:r w:rsidR="00F80213" w:rsidRPr="008F3F98">
        <w:t xml:space="preserve">, small zoo and </w:t>
      </w:r>
      <w:r w:rsidR="009E089C">
        <w:t>a</w:t>
      </w:r>
      <w:r w:rsidR="009E089C" w:rsidRPr="008F3F98">
        <w:t xml:space="preserve"> </w:t>
      </w:r>
      <w:r w:rsidR="00F80213" w:rsidRPr="008F3F98">
        <w:t xml:space="preserve">station for </w:t>
      </w:r>
      <w:r w:rsidR="009E089C">
        <w:t>a</w:t>
      </w:r>
      <w:r w:rsidR="009E089C" w:rsidRPr="008F3F98">
        <w:t xml:space="preserve"> </w:t>
      </w:r>
      <w:r w:rsidR="00F80213" w:rsidRPr="008F3F98">
        <w:t>miniature steam coastal railway at the southern end of the resort. Meridian Point and the Showground are located here and offer a multiplex cinema/theatre and a number of fast food chain restaurants.</w:t>
      </w:r>
      <w:r w:rsidR="00E71A5B" w:rsidRPr="008F3F98">
        <w:t xml:space="preserve"> </w:t>
      </w:r>
      <w:r w:rsidR="009E089C">
        <w:t>NEL</w:t>
      </w:r>
      <w:r w:rsidR="00E71A5B" w:rsidRPr="008F3F98">
        <w:t xml:space="preserve"> also acts as a base to visit the rest of the east coast, including the Viking Way and other </w:t>
      </w:r>
      <w:r w:rsidR="009E089C">
        <w:t>east coast beaches</w:t>
      </w:r>
      <w:r w:rsidR="00E71A5B" w:rsidRPr="008F3F98">
        <w:t xml:space="preserve"> </w:t>
      </w:r>
      <w:r w:rsidR="009E089C">
        <w:t>such as</w:t>
      </w:r>
      <w:r w:rsidR="00E71A5B" w:rsidRPr="008F3F98">
        <w:t xml:space="preserve"> Mablethorpe, </w:t>
      </w:r>
      <w:r w:rsidR="001838C4">
        <w:t xml:space="preserve">Skegness, </w:t>
      </w:r>
      <w:r w:rsidR="00E71A5B" w:rsidRPr="008F3F98">
        <w:t>Donna Nook and North Somercotes</w:t>
      </w:r>
      <w:r w:rsidR="009E089C">
        <w:t>.</w:t>
      </w:r>
    </w:p>
    <w:p w14:paraId="5A032252" w14:textId="77777777" w:rsidR="006D77AB" w:rsidRDefault="00347DF8" w:rsidP="00C93734">
      <w:pPr>
        <w:pStyle w:val="ListParagraph"/>
        <w:numPr>
          <w:ilvl w:val="0"/>
          <w:numId w:val="38"/>
        </w:numPr>
        <w:jc w:val="both"/>
      </w:pPr>
      <w:r w:rsidRPr="00347DF8">
        <w:t>Retail &amp; Town Centres</w:t>
      </w:r>
      <w:r w:rsidR="00F80213">
        <w:t xml:space="preserve"> – </w:t>
      </w:r>
      <w:r w:rsidR="00E97290">
        <w:t xml:space="preserve">Grimsby and Cleethorpes </w:t>
      </w:r>
      <w:r w:rsidR="00F80213">
        <w:t>are</w:t>
      </w:r>
      <w:r w:rsidR="00E97290">
        <w:t xml:space="preserve"> the</w:t>
      </w:r>
      <w:r w:rsidR="00F80213">
        <w:t xml:space="preserve"> two main retail centres visited by </w:t>
      </w:r>
      <w:r w:rsidR="001838C4">
        <w:t>tourists</w:t>
      </w:r>
      <w:r w:rsidR="00E97290">
        <w:t>.</w:t>
      </w:r>
      <w:r w:rsidR="001838C4">
        <w:t xml:space="preserve"> </w:t>
      </w:r>
      <w:r w:rsidR="00F80213">
        <w:t xml:space="preserve"> </w:t>
      </w:r>
      <w:r w:rsidR="00B125CE">
        <w:t>Whilst Grimsby does not promote a night-time economy, Cleethorpes offers a variet</w:t>
      </w:r>
      <w:r w:rsidR="0089595B">
        <w:t>y</w:t>
      </w:r>
      <w:r w:rsidR="00B125CE">
        <w:t xml:space="preserve"> of restaurants, bars and nightclubs. Both could be improved to</w:t>
      </w:r>
      <w:r w:rsidR="00F80213">
        <w:t xml:space="preserve"> attract visitors for longer. The retail </w:t>
      </w:r>
      <w:r w:rsidR="00E97290">
        <w:t xml:space="preserve">sector </w:t>
      </w:r>
      <w:r w:rsidR="00F80213">
        <w:t xml:space="preserve">in Grimsby is seen as </w:t>
      </w:r>
      <w:r w:rsidR="006D77AB">
        <w:t>reasonably</w:t>
      </w:r>
      <w:r w:rsidR="00F80213">
        <w:t xml:space="preserve"> strong</w:t>
      </w:r>
      <w:r w:rsidR="00E97290">
        <w:t>,</w:t>
      </w:r>
      <w:r w:rsidR="006D77AB">
        <w:t xml:space="preserve"> </w:t>
      </w:r>
      <w:r w:rsidR="00E97290">
        <w:t>in part due to</w:t>
      </w:r>
      <w:r w:rsidR="006D77AB">
        <w:t xml:space="preserve"> being relatively distant from competing urban centres. </w:t>
      </w:r>
    </w:p>
    <w:p w14:paraId="45488B31" w14:textId="77777777" w:rsidR="00F80213" w:rsidRDefault="00347DF8" w:rsidP="00C93734">
      <w:pPr>
        <w:pStyle w:val="ListParagraph"/>
        <w:numPr>
          <w:ilvl w:val="0"/>
          <w:numId w:val="38"/>
        </w:numPr>
        <w:jc w:val="both"/>
      </w:pPr>
      <w:r w:rsidRPr="00347DF8">
        <w:t>Marina</w:t>
      </w:r>
      <w:r w:rsidR="00F80213">
        <w:t xml:space="preserve"> – There </w:t>
      </w:r>
      <w:r w:rsidR="0087408D">
        <w:t xml:space="preserve">are 3 yacht clubs in </w:t>
      </w:r>
      <w:r w:rsidR="00E97290">
        <w:t xml:space="preserve">NEL, </w:t>
      </w:r>
      <w:r w:rsidR="0087408D">
        <w:t xml:space="preserve">two in </w:t>
      </w:r>
      <w:r w:rsidR="00E71A5B">
        <w:t>Grimsby</w:t>
      </w:r>
      <w:r w:rsidR="0087408D">
        <w:t xml:space="preserve"> and </w:t>
      </w:r>
      <w:r w:rsidR="00E97290">
        <w:t>one</w:t>
      </w:r>
      <w:r w:rsidR="0087408D">
        <w:t xml:space="preserve"> in </w:t>
      </w:r>
      <w:r w:rsidR="00E71A5B">
        <w:t>Cleethorpes</w:t>
      </w:r>
      <w:r w:rsidR="00E97290">
        <w:t>.</w:t>
      </w:r>
      <w:r w:rsidR="0087408D">
        <w:t xml:space="preserve"> </w:t>
      </w:r>
      <w:r w:rsidR="00E97290">
        <w:t>T</w:t>
      </w:r>
      <w:r w:rsidR="0087408D">
        <w:t xml:space="preserve">hese cater </w:t>
      </w:r>
      <w:r w:rsidR="00F80213">
        <w:t xml:space="preserve">for visitors with berths that </w:t>
      </w:r>
      <w:r w:rsidR="00E97290">
        <w:t xml:space="preserve">provide </w:t>
      </w:r>
      <w:r w:rsidR="00F80213">
        <w:t>electricity</w:t>
      </w:r>
      <w:r w:rsidR="00E97290">
        <w:t xml:space="preserve"> supply as well as</w:t>
      </w:r>
      <w:r w:rsidR="00F80213">
        <w:t xml:space="preserve"> laundry and bar facilities</w:t>
      </w:r>
      <w:r w:rsidR="00E97290">
        <w:t xml:space="preserve">. </w:t>
      </w:r>
      <w:r w:rsidR="00E71A5B">
        <w:t xml:space="preserve">There are plans for further marina developments although businesses noted some </w:t>
      </w:r>
      <w:r w:rsidR="00E97290">
        <w:t>opposition regarding intended use of space</w:t>
      </w:r>
      <w:r w:rsidR="00E71A5B">
        <w:t>.</w:t>
      </w:r>
    </w:p>
    <w:p w14:paraId="0B10A3C1" w14:textId="77777777" w:rsidR="00F80213" w:rsidRDefault="00347DF8" w:rsidP="00C93734">
      <w:pPr>
        <w:pStyle w:val="ListParagraph"/>
        <w:numPr>
          <w:ilvl w:val="0"/>
          <w:numId w:val="38"/>
        </w:numPr>
        <w:jc w:val="both"/>
      </w:pPr>
      <w:r w:rsidRPr="00347DF8">
        <w:t>The Lincolnshire Wolds</w:t>
      </w:r>
      <w:r w:rsidR="00F80213">
        <w:t xml:space="preserve"> – The southern rural parts of </w:t>
      </w:r>
      <w:r w:rsidR="00E97290">
        <w:t>NEL</w:t>
      </w:r>
      <w:r w:rsidR="00F80213">
        <w:t xml:space="preserve"> make up parts of the Lincolnshire Wolds, which is an </w:t>
      </w:r>
      <w:r w:rsidR="00E97290">
        <w:t xml:space="preserve">Area </w:t>
      </w:r>
      <w:r w:rsidR="00F80213">
        <w:t xml:space="preserve">of Outstanding Natural Beauty (AONB). The </w:t>
      </w:r>
      <w:r w:rsidR="00E97290">
        <w:t xml:space="preserve">Wolds </w:t>
      </w:r>
      <w:r w:rsidR="00F80213">
        <w:t xml:space="preserve">have a range of natural attractions including flora and fauna not found anywhere else in the UK. </w:t>
      </w:r>
    </w:p>
    <w:p w14:paraId="1866EB7F" w14:textId="77777777" w:rsidR="00F80213" w:rsidRDefault="00347DF8" w:rsidP="00BF64E6">
      <w:pPr>
        <w:pStyle w:val="ListParagraph"/>
        <w:numPr>
          <w:ilvl w:val="0"/>
          <w:numId w:val="38"/>
        </w:numPr>
        <w:jc w:val="both"/>
      </w:pPr>
      <w:r w:rsidRPr="00347DF8">
        <w:t>Fishing Heritage Centre</w:t>
      </w:r>
      <w:r w:rsidR="00F80213" w:rsidRPr="008F3F98">
        <w:rPr>
          <w:b/>
        </w:rPr>
        <w:t xml:space="preserve"> </w:t>
      </w:r>
      <w:r w:rsidR="00BF64E6">
        <w:t>–</w:t>
      </w:r>
      <w:r w:rsidR="00F80213">
        <w:t xml:space="preserve"> </w:t>
      </w:r>
      <w:r w:rsidR="00E97290">
        <w:t xml:space="preserve">The </w:t>
      </w:r>
      <w:r w:rsidR="00F80213">
        <w:t>museum provides</w:t>
      </w:r>
      <w:r w:rsidR="00E97290">
        <w:t xml:space="preserve"> an</w:t>
      </w:r>
      <w:r w:rsidR="00F80213">
        <w:t xml:space="preserve"> insight into Grimsby</w:t>
      </w:r>
      <w:r w:rsidR="009D5E00">
        <w:t>’</w:t>
      </w:r>
      <w:r w:rsidR="00F80213">
        <w:t xml:space="preserve">s </w:t>
      </w:r>
      <w:r w:rsidR="00E97290">
        <w:t xml:space="preserve">maritime </w:t>
      </w:r>
      <w:r w:rsidR="00F80213">
        <w:t>history</w:t>
      </w:r>
      <w:r w:rsidR="00E97290">
        <w:t>,</w:t>
      </w:r>
      <w:r w:rsidR="00F80213">
        <w:t xml:space="preserve"> fishing heritage and </w:t>
      </w:r>
      <w:r w:rsidR="007261B2">
        <w:t xml:space="preserve">the life of </w:t>
      </w:r>
      <w:r w:rsidR="00F80213">
        <w:t xml:space="preserve">trawlermen in the 1950s. </w:t>
      </w:r>
      <w:r w:rsidR="00866C9F">
        <w:t xml:space="preserve">Other assets </w:t>
      </w:r>
      <w:r w:rsidR="00E97290">
        <w:t>include</w:t>
      </w:r>
      <w:r w:rsidR="00866C9F">
        <w:t xml:space="preserve"> the </w:t>
      </w:r>
      <w:r w:rsidR="00866C9F" w:rsidRPr="00866C9F">
        <w:t>300ft Italianate Dock Tower</w:t>
      </w:r>
      <w:r w:rsidR="00866C9F">
        <w:t xml:space="preserve"> and </w:t>
      </w:r>
      <w:r w:rsidR="003D64D7">
        <w:t>the Ice Factory.</w:t>
      </w:r>
    </w:p>
    <w:p w14:paraId="3F652C72" w14:textId="77777777" w:rsidR="00F80213" w:rsidRPr="00BF64E6" w:rsidRDefault="00347DF8" w:rsidP="00BF64E6">
      <w:pPr>
        <w:pStyle w:val="ListParagraph"/>
        <w:numPr>
          <w:ilvl w:val="0"/>
          <w:numId w:val="38"/>
        </w:numPr>
        <w:jc w:val="both"/>
        <w:rPr>
          <w:rStyle w:val="st1"/>
          <w:rFonts w:cs="Arial"/>
          <w:color w:val="444444"/>
        </w:rPr>
      </w:pPr>
      <w:r w:rsidRPr="00347DF8">
        <w:t>Thorpe Park</w:t>
      </w:r>
      <w:r w:rsidR="00BF64E6">
        <w:rPr>
          <w:b/>
        </w:rPr>
        <w:t xml:space="preserve"> – </w:t>
      </w:r>
      <w:r w:rsidR="00F80213">
        <w:t>Thorpe P</w:t>
      </w:r>
      <w:r w:rsidR="00F80213" w:rsidRPr="00F65196">
        <w:t>ark</w:t>
      </w:r>
      <w:r w:rsidR="00F80213" w:rsidRPr="0087408D">
        <w:t xml:space="preserve"> is a family fun holiday park in Cleethorpes</w:t>
      </w:r>
      <w:r w:rsidR="00B125CE">
        <w:t>, which is predominately</w:t>
      </w:r>
      <w:r w:rsidR="00F80213" w:rsidRPr="0087408D">
        <w:t xml:space="preserve"> aimed at </w:t>
      </w:r>
      <w:r w:rsidR="00B125CE">
        <w:t>families</w:t>
      </w:r>
      <w:r w:rsidR="00F80213" w:rsidRPr="0087408D">
        <w:t xml:space="preserve">. There is a variety of on-site entertainment </w:t>
      </w:r>
      <w:r w:rsidR="007479CC">
        <w:t>options</w:t>
      </w:r>
      <w:r w:rsidR="007479CC" w:rsidRPr="0087408D">
        <w:t xml:space="preserve"> </w:t>
      </w:r>
      <w:r w:rsidR="00F80213" w:rsidRPr="0087408D">
        <w:t xml:space="preserve">and activities and some </w:t>
      </w:r>
      <w:r w:rsidR="007479CC">
        <w:t>guests</w:t>
      </w:r>
      <w:r w:rsidR="00F80213" w:rsidRPr="0087408D">
        <w:t xml:space="preserve"> </w:t>
      </w:r>
      <w:r w:rsidR="007479CC">
        <w:t>visit</w:t>
      </w:r>
      <w:r w:rsidR="007479CC" w:rsidRPr="0087408D">
        <w:t xml:space="preserve"> </w:t>
      </w:r>
      <w:r w:rsidR="00F80213" w:rsidRPr="0087408D">
        <w:t>other attractions in Cleethorpes. The resort is a major employer and provides a seasonal boost to the economy during the summer.</w:t>
      </w:r>
    </w:p>
    <w:p w14:paraId="2766EBEE" w14:textId="77777777" w:rsidR="00F80213" w:rsidRDefault="00347DF8" w:rsidP="00BF64E6">
      <w:pPr>
        <w:pStyle w:val="ListParagraph"/>
        <w:numPr>
          <w:ilvl w:val="0"/>
          <w:numId w:val="38"/>
        </w:numPr>
        <w:jc w:val="both"/>
      </w:pPr>
      <w:r w:rsidRPr="00347DF8">
        <w:t>Wildlife</w:t>
      </w:r>
      <w:r w:rsidR="00BF64E6">
        <w:t xml:space="preserve"> – </w:t>
      </w:r>
      <w:r w:rsidR="00F80213">
        <w:t>The area</w:t>
      </w:r>
      <w:r w:rsidR="007479CC">
        <w:t>’s</w:t>
      </w:r>
      <w:r w:rsidR="0087408D">
        <w:t xml:space="preserve"> wildlife</w:t>
      </w:r>
      <w:r w:rsidR="00F80213">
        <w:t xml:space="preserve"> </w:t>
      </w:r>
      <w:r w:rsidR="007479CC">
        <w:t>attracts visitors, particularly</w:t>
      </w:r>
      <w:r w:rsidR="0087408D">
        <w:t xml:space="preserve"> </w:t>
      </w:r>
      <w:r w:rsidR="00F80213">
        <w:t xml:space="preserve">for those visiting the Wolds and seeking to observe migratory birds. </w:t>
      </w:r>
    </w:p>
    <w:p w14:paraId="3275CD1F" w14:textId="77777777" w:rsidR="00F80213" w:rsidRPr="00BF64E6" w:rsidRDefault="00347DF8" w:rsidP="00BF64E6">
      <w:pPr>
        <w:pStyle w:val="ListParagraph"/>
        <w:numPr>
          <w:ilvl w:val="0"/>
          <w:numId w:val="38"/>
        </w:numPr>
        <w:jc w:val="both"/>
        <w:rPr>
          <w:rFonts w:cs="Arial"/>
        </w:rPr>
      </w:pPr>
      <w:r w:rsidRPr="00347DF8">
        <w:rPr>
          <w:rFonts w:cs="Arial"/>
          <w:szCs w:val="20"/>
        </w:rPr>
        <w:t>Festivals</w:t>
      </w:r>
      <w:r w:rsidR="00BF64E6">
        <w:rPr>
          <w:rFonts w:cs="Arial"/>
          <w:b/>
          <w:szCs w:val="20"/>
        </w:rPr>
        <w:t xml:space="preserve"> – </w:t>
      </w:r>
      <w:r w:rsidR="00F80213" w:rsidRPr="00BF64E6">
        <w:rPr>
          <w:rFonts w:cs="Arial"/>
          <w:szCs w:val="20"/>
        </w:rPr>
        <w:t xml:space="preserve">A range of festivals are held across </w:t>
      </w:r>
      <w:r w:rsidR="007479CC" w:rsidRPr="00BF64E6">
        <w:rPr>
          <w:rFonts w:cs="Arial"/>
          <w:szCs w:val="20"/>
        </w:rPr>
        <w:t>NEL.</w:t>
      </w:r>
      <w:r w:rsidR="00F80213" w:rsidRPr="00BF64E6">
        <w:rPr>
          <w:rFonts w:cs="Arial"/>
          <w:szCs w:val="20"/>
        </w:rPr>
        <w:t xml:space="preserve"> </w:t>
      </w:r>
      <w:r w:rsidR="007479CC" w:rsidRPr="00BF64E6">
        <w:rPr>
          <w:rFonts w:cs="Arial"/>
          <w:szCs w:val="20"/>
        </w:rPr>
        <w:t>Events</w:t>
      </w:r>
      <w:r w:rsidR="00F80213" w:rsidRPr="00BF64E6">
        <w:rPr>
          <w:rFonts w:cs="Arial"/>
          <w:szCs w:val="20"/>
        </w:rPr>
        <w:t xml:space="preserve"> held at Meridian Point </w:t>
      </w:r>
      <w:r w:rsidR="007479CC" w:rsidRPr="00BF64E6">
        <w:rPr>
          <w:rFonts w:cs="Arial"/>
          <w:szCs w:val="20"/>
        </w:rPr>
        <w:t>include</w:t>
      </w:r>
      <w:r w:rsidR="00F80213" w:rsidRPr="00BF64E6">
        <w:rPr>
          <w:rFonts w:cs="Arial"/>
          <w:szCs w:val="20"/>
        </w:rPr>
        <w:t xml:space="preserve"> </w:t>
      </w:r>
      <w:r w:rsidR="007479CC" w:rsidRPr="00BF64E6">
        <w:rPr>
          <w:rFonts w:cs="Arial"/>
          <w:szCs w:val="20"/>
        </w:rPr>
        <w:t xml:space="preserve">scooter festivals </w:t>
      </w:r>
      <w:r w:rsidR="00F80213" w:rsidRPr="00BF64E6">
        <w:rPr>
          <w:rFonts w:cs="Arial"/>
          <w:szCs w:val="20"/>
        </w:rPr>
        <w:t xml:space="preserve">and </w:t>
      </w:r>
      <w:r w:rsidR="007479CC" w:rsidRPr="00BF64E6">
        <w:rPr>
          <w:rFonts w:cs="Arial"/>
          <w:szCs w:val="20"/>
        </w:rPr>
        <w:t xml:space="preserve">military </w:t>
      </w:r>
      <w:r w:rsidR="00F80213" w:rsidRPr="00BF64E6">
        <w:rPr>
          <w:rFonts w:cs="Arial"/>
          <w:szCs w:val="20"/>
        </w:rPr>
        <w:t xml:space="preserve">weekends. There are also </w:t>
      </w:r>
      <w:r w:rsidR="007479CC" w:rsidRPr="00BF64E6">
        <w:rPr>
          <w:rFonts w:cs="Arial"/>
          <w:szCs w:val="20"/>
        </w:rPr>
        <w:t>several</w:t>
      </w:r>
      <w:r w:rsidR="00F80213" w:rsidRPr="00BF64E6">
        <w:rPr>
          <w:rFonts w:cs="Arial"/>
          <w:szCs w:val="20"/>
        </w:rPr>
        <w:t xml:space="preserve"> events that take place further afield, such as the </w:t>
      </w:r>
      <w:r w:rsidR="007479CC" w:rsidRPr="00BF64E6">
        <w:rPr>
          <w:rFonts w:cs="Arial"/>
          <w:szCs w:val="20"/>
        </w:rPr>
        <w:t>vintage car fair</w:t>
      </w:r>
      <w:r w:rsidR="00F80213" w:rsidRPr="00BF64E6">
        <w:rPr>
          <w:rFonts w:cs="Arial"/>
          <w:szCs w:val="20"/>
        </w:rPr>
        <w:t xml:space="preserve"> in June at the Cadwell Park circuit and events at the Market Rasen racecourse.</w:t>
      </w:r>
    </w:p>
    <w:p w14:paraId="6C4AF8EC" w14:textId="77777777" w:rsidR="002F7137" w:rsidRDefault="002F7137" w:rsidP="00C93734">
      <w:pPr>
        <w:pStyle w:val="Heading3"/>
        <w:numPr>
          <w:ilvl w:val="2"/>
          <w:numId w:val="5"/>
        </w:numPr>
        <w:jc w:val="both"/>
      </w:pPr>
      <w:r w:rsidRPr="004C4518">
        <w:t>Sector Size</w:t>
      </w:r>
    </w:p>
    <w:p w14:paraId="133C6DB3" w14:textId="77777777" w:rsidR="008F3F98" w:rsidRDefault="00BF1599" w:rsidP="00C93734">
      <w:pPr>
        <w:jc w:val="both"/>
      </w:pPr>
      <w:r>
        <w:t>As one of the largest sectors in the UK, it is understandable that the sector also employs the largest number of people out of all key sectors (</w:t>
      </w:r>
      <w:r w:rsidR="00CB7706">
        <w:t>15,7</w:t>
      </w:r>
      <w:r w:rsidR="000A0326">
        <w:t>10</w:t>
      </w:r>
      <w:r>
        <w:t xml:space="preserve">) and </w:t>
      </w:r>
      <w:r w:rsidR="00CB7706">
        <w:t>also</w:t>
      </w:r>
      <w:r w:rsidR="004603A5">
        <w:t xml:space="preserve"> has</w:t>
      </w:r>
      <w:r w:rsidR="00CB7706">
        <w:t xml:space="preserve"> </w:t>
      </w:r>
      <w:r>
        <w:t xml:space="preserve">the </w:t>
      </w:r>
      <w:r w:rsidR="00CB7706">
        <w:t>largest number of firms (1,36</w:t>
      </w:r>
      <w:r w:rsidR="000A0326">
        <w:t>0</w:t>
      </w:r>
      <w:r w:rsidR="00CB7706">
        <w:t xml:space="preserve">). </w:t>
      </w:r>
      <w:r w:rsidR="00BF64E6">
        <w:t xml:space="preserve"> </w:t>
      </w:r>
      <w:r w:rsidR="00E912B2">
        <w:t xml:space="preserve">This is around 31% of the firm base and almost a quarter of the employment base in </w:t>
      </w:r>
      <w:r w:rsidR="00577236">
        <w:t>NEL</w:t>
      </w:r>
      <w:r w:rsidR="00E912B2">
        <w:t>.</w:t>
      </w:r>
      <w:r w:rsidR="00BF64E6">
        <w:t xml:space="preserve"> </w:t>
      </w:r>
      <w:r w:rsidR="00E912B2">
        <w:t xml:space="preserve"> </w:t>
      </w:r>
      <w:r w:rsidR="007479CC">
        <w:t>A detailed assessment</w:t>
      </w:r>
      <w:r w:rsidR="00CB7706">
        <w:t xml:space="preserve"> of the size of the sector </w:t>
      </w:r>
      <w:r w:rsidR="007479CC">
        <w:t xml:space="preserve">makes </w:t>
      </w:r>
      <w:r w:rsidR="00CB7706">
        <w:t>it clear that the majority of firms and employment</w:t>
      </w:r>
      <w:r w:rsidR="007479CC">
        <w:t xml:space="preserve"> is attributable to retail</w:t>
      </w:r>
      <w:r w:rsidR="00CB7706">
        <w:t xml:space="preserve">. </w:t>
      </w:r>
      <w:r w:rsidR="00BF64E6">
        <w:t xml:space="preserve"> </w:t>
      </w:r>
      <w:r w:rsidR="007479CC">
        <w:t>Subsectors with significant employment</w:t>
      </w:r>
      <w:r w:rsidR="008D64CF">
        <w:t xml:space="preserve"> include </w:t>
      </w:r>
      <w:r w:rsidR="00E912B2">
        <w:t xml:space="preserve">non-specific </w:t>
      </w:r>
      <w:r w:rsidR="008D64CF">
        <w:t xml:space="preserve">food stores (3,250 jobs), sale of clothing (870) and wholesale of other foods including fish, crustaceans and </w:t>
      </w:r>
      <w:r w:rsidR="00E912B2">
        <w:t>molluscs (</w:t>
      </w:r>
      <w:r w:rsidR="008D64CF">
        <w:t xml:space="preserve">750). </w:t>
      </w:r>
      <w:r w:rsidR="00CB7706">
        <w:t xml:space="preserve">Wholesale </w:t>
      </w:r>
      <w:r w:rsidR="003F7B6F">
        <w:t>accounted</w:t>
      </w:r>
      <w:r w:rsidR="00CB7706">
        <w:t xml:space="preserve"> for 200 businesses</w:t>
      </w:r>
      <w:r w:rsidR="003F7B6F">
        <w:t xml:space="preserve"> and 1,820 jobs in 2013.</w:t>
      </w:r>
    </w:p>
    <w:p w14:paraId="1049182A" w14:textId="77777777" w:rsidR="00ED4C3F" w:rsidRDefault="00ED4C3F" w:rsidP="00C93734">
      <w:pPr>
        <w:pStyle w:val="Caption"/>
        <w:jc w:val="both"/>
      </w:pPr>
      <w:bookmarkStart w:id="603" w:name="_Ref395102982"/>
      <w:bookmarkStart w:id="604" w:name="_Toc383159699"/>
      <w:r>
        <w:t xml:space="preserve">Table </w:t>
      </w:r>
      <w:fldSimple w:instr=" STYLEREF 1 \s  \* MERGEFORMAT ">
        <w:r w:rsidR="00E95E1A">
          <w:rPr>
            <w:noProof/>
          </w:rPr>
          <w:t>8</w:t>
        </w:r>
      </w:fldSimple>
      <w:r>
        <w:t>-</w:t>
      </w:r>
      <w:fldSimple w:instr=" SEQ Table \* ARABIC \s 1  \* MERGEFORMAT ">
        <w:r w:rsidR="00E95E1A">
          <w:rPr>
            <w:noProof/>
          </w:rPr>
          <w:t>1</w:t>
        </w:r>
      </w:fldSimple>
      <w:bookmarkEnd w:id="603"/>
      <w:r>
        <w:tab/>
        <w:t xml:space="preserve">Sector </w:t>
      </w:r>
      <w:r w:rsidR="002A4A83">
        <w:t xml:space="preserve">Employment </w:t>
      </w:r>
      <w:r>
        <w:t>Profile</w:t>
      </w:r>
      <w:bookmarkEnd w:id="604"/>
    </w:p>
    <w:tbl>
      <w:tblPr>
        <w:tblStyle w:val="Atkins14pt"/>
        <w:tblW w:w="9639" w:type="dxa"/>
        <w:tblLayout w:type="fixed"/>
        <w:tblLook w:val="04A0" w:firstRow="1" w:lastRow="0" w:firstColumn="1" w:lastColumn="0" w:noHBand="0" w:noVBand="1"/>
      </w:tblPr>
      <w:tblGrid>
        <w:gridCol w:w="6946"/>
        <w:gridCol w:w="1346"/>
        <w:gridCol w:w="1347"/>
      </w:tblGrid>
      <w:tr w:rsidR="00CB7706" w:rsidRPr="00CB7706" w14:paraId="16C17C01" w14:textId="77777777" w:rsidTr="00CB770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946" w:type="dxa"/>
            <w:noWrap/>
            <w:hideMark/>
          </w:tcPr>
          <w:p w14:paraId="5F30B635" w14:textId="77777777" w:rsidR="00CB7706" w:rsidRPr="00C93734" w:rsidRDefault="00CB7706" w:rsidP="00C93734">
            <w:pPr>
              <w:spacing w:after="0"/>
              <w:jc w:val="both"/>
              <w:rPr>
                <w:rFonts w:eastAsia="Times New Roman"/>
                <w:color w:val="000000"/>
                <w:szCs w:val="22"/>
              </w:rPr>
            </w:pPr>
            <w:r w:rsidRPr="00C93734">
              <w:rPr>
                <w:rFonts w:eastAsia="Times New Roman"/>
                <w:color w:val="000000"/>
                <w:szCs w:val="22"/>
              </w:rPr>
              <w:t>Sub-Sector</w:t>
            </w:r>
          </w:p>
        </w:tc>
        <w:tc>
          <w:tcPr>
            <w:tcW w:w="1346" w:type="dxa"/>
            <w:noWrap/>
            <w:hideMark/>
          </w:tcPr>
          <w:p w14:paraId="6ACAFCDF" w14:textId="77777777" w:rsidR="00CB7706" w:rsidRPr="00C93734" w:rsidRDefault="00CB7706"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szCs w:val="22"/>
              </w:rPr>
            </w:pPr>
            <w:r w:rsidRPr="00C93734">
              <w:rPr>
                <w:rFonts w:eastAsia="Times New Roman"/>
                <w:color w:val="000000"/>
                <w:szCs w:val="22"/>
              </w:rPr>
              <w:t>Firms</w:t>
            </w:r>
          </w:p>
        </w:tc>
        <w:tc>
          <w:tcPr>
            <w:tcW w:w="1347" w:type="dxa"/>
            <w:noWrap/>
            <w:hideMark/>
          </w:tcPr>
          <w:p w14:paraId="0853ED41" w14:textId="77777777" w:rsidR="00CB7706" w:rsidRPr="00C93734" w:rsidRDefault="00CB7706"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szCs w:val="22"/>
              </w:rPr>
            </w:pPr>
            <w:r w:rsidRPr="00C93734">
              <w:rPr>
                <w:rFonts w:eastAsia="Times New Roman"/>
                <w:color w:val="000000"/>
                <w:szCs w:val="22"/>
              </w:rPr>
              <w:t>Employment</w:t>
            </w:r>
          </w:p>
        </w:tc>
      </w:tr>
      <w:tr w:rsidR="00CB7706" w:rsidRPr="00CB7706" w14:paraId="2B27231B" w14:textId="77777777" w:rsidTr="00CB7706">
        <w:trPr>
          <w:trHeight w:val="300"/>
        </w:trPr>
        <w:tc>
          <w:tcPr>
            <w:cnfStyle w:val="001000000000" w:firstRow="0" w:lastRow="0" w:firstColumn="1" w:lastColumn="0" w:oddVBand="0" w:evenVBand="0" w:oddHBand="0" w:evenHBand="0" w:firstRowFirstColumn="0" w:firstRowLastColumn="0" w:lastRowFirstColumn="0" w:lastRowLastColumn="0"/>
            <w:tcW w:w="6946" w:type="dxa"/>
            <w:noWrap/>
            <w:hideMark/>
          </w:tcPr>
          <w:p w14:paraId="17BEFE58" w14:textId="77777777" w:rsidR="00CB7706" w:rsidRPr="00C93734" w:rsidRDefault="00CB7706" w:rsidP="00C93734">
            <w:pPr>
              <w:spacing w:after="0"/>
              <w:jc w:val="both"/>
              <w:rPr>
                <w:rFonts w:eastAsia="Times New Roman"/>
                <w:color w:val="000000"/>
                <w:szCs w:val="22"/>
              </w:rPr>
            </w:pPr>
            <w:r w:rsidRPr="00C93734">
              <w:rPr>
                <w:rFonts w:eastAsia="Times New Roman"/>
                <w:color w:val="000000"/>
                <w:szCs w:val="22"/>
              </w:rPr>
              <w:t>Accommodation and food service activities</w:t>
            </w:r>
          </w:p>
        </w:tc>
        <w:tc>
          <w:tcPr>
            <w:tcW w:w="1346" w:type="dxa"/>
            <w:noWrap/>
            <w:vAlign w:val="bottom"/>
            <w:hideMark/>
          </w:tcPr>
          <w:p w14:paraId="1530307E" w14:textId="77777777" w:rsidR="00CB7706" w:rsidRPr="00C93734" w:rsidRDefault="00CB7706"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szCs w:val="22"/>
              </w:rPr>
            </w:pPr>
            <w:r w:rsidRPr="00C93734">
              <w:rPr>
                <w:color w:val="000000"/>
                <w:szCs w:val="22"/>
              </w:rPr>
              <w:t xml:space="preserve">                              270 </w:t>
            </w:r>
          </w:p>
        </w:tc>
        <w:tc>
          <w:tcPr>
            <w:tcW w:w="1347" w:type="dxa"/>
            <w:noWrap/>
            <w:vAlign w:val="bottom"/>
            <w:hideMark/>
          </w:tcPr>
          <w:p w14:paraId="74C0FFED" w14:textId="77777777" w:rsidR="00CB7706" w:rsidRPr="00C93734" w:rsidRDefault="00CB7706"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szCs w:val="22"/>
              </w:rPr>
            </w:pPr>
            <w:r w:rsidRPr="00C93734">
              <w:rPr>
                <w:color w:val="000000"/>
                <w:szCs w:val="22"/>
              </w:rPr>
              <w:t xml:space="preserve">                                          3,190 </w:t>
            </w:r>
          </w:p>
        </w:tc>
      </w:tr>
      <w:tr w:rsidR="00CB7706" w:rsidRPr="00CB7706" w14:paraId="74589319" w14:textId="77777777" w:rsidTr="00CB7706">
        <w:trPr>
          <w:trHeight w:val="300"/>
        </w:trPr>
        <w:tc>
          <w:tcPr>
            <w:cnfStyle w:val="001000000000" w:firstRow="0" w:lastRow="0" w:firstColumn="1" w:lastColumn="0" w:oddVBand="0" w:evenVBand="0" w:oddHBand="0" w:evenHBand="0" w:firstRowFirstColumn="0" w:firstRowLastColumn="0" w:lastRowFirstColumn="0" w:lastRowLastColumn="0"/>
            <w:tcW w:w="6946" w:type="dxa"/>
            <w:noWrap/>
            <w:hideMark/>
          </w:tcPr>
          <w:p w14:paraId="177A8DF7" w14:textId="77777777" w:rsidR="00CB7706" w:rsidRPr="00C93734" w:rsidRDefault="00CB7706" w:rsidP="00C93734">
            <w:pPr>
              <w:spacing w:after="0"/>
              <w:jc w:val="both"/>
              <w:rPr>
                <w:rFonts w:eastAsia="Times New Roman"/>
                <w:color w:val="000000"/>
                <w:szCs w:val="22"/>
              </w:rPr>
            </w:pPr>
            <w:r w:rsidRPr="00C93734">
              <w:rPr>
                <w:rFonts w:eastAsia="Times New Roman"/>
                <w:color w:val="000000"/>
                <w:szCs w:val="22"/>
              </w:rPr>
              <w:t>Administrative and support service activities (Tours, travel agencies)</w:t>
            </w:r>
          </w:p>
        </w:tc>
        <w:tc>
          <w:tcPr>
            <w:tcW w:w="1346" w:type="dxa"/>
            <w:noWrap/>
            <w:vAlign w:val="bottom"/>
            <w:hideMark/>
          </w:tcPr>
          <w:p w14:paraId="53A4F753" w14:textId="77777777" w:rsidR="00CB7706" w:rsidRPr="00C93734" w:rsidRDefault="00CB7706"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szCs w:val="22"/>
              </w:rPr>
            </w:pPr>
            <w:r w:rsidRPr="00C93734">
              <w:rPr>
                <w:color w:val="000000"/>
                <w:szCs w:val="22"/>
              </w:rPr>
              <w:t xml:space="preserve">                                10 </w:t>
            </w:r>
          </w:p>
        </w:tc>
        <w:tc>
          <w:tcPr>
            <w:tcW w:w="1347" w:type="dxa"/>
            <w:noWrap/>
            <w:vAlign w:val="bottom"/>
            <w:hideMark/>
          </w:tcPr>
          <w:p w14:paraId="7AB106A3" w14:textId="77777777" w:rsidR="00CB7706" w:rsidRPr="00C93734" w:rsidRDefault="00CB7706"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szCs w:val="22"/>
              </w:rPr>
            </w:pPr>
            <w:r w:rsidRPr="00C93734">
              <w:rPr>
                <w:color w:val="000000"/>
                <w:szCs w:val="22"/>
              </w:rPr>
              <w:t xml:space="preserve">                                                80 </w:t>
            </w:r>
          </w:p>
        </w:tc>
      </w:tr>
      <w:tr w:rsidR="00CB7706" w:rsidRPr="00CB7706" w14:paraId="7C9C45FB" w14:textId="77777777" w:rsidTr="00CB7706">
        <w:trPr>
          <w:trHeight w:val="300"/>
        </w:trPr>
        <w:tc>
          <w:tcPr>
            <w:cnfStyle w:val="001000000000" w:firstRow="0" w:lastRow="0" w:firstColumn="1" w:lastColumn="0" w:oddVBand="0" w:evenVBand="0" w:oddHBand="0" w:evenHBand="0" w:firstRowFirstColumn="0" w:firstRowLastColumn="0" w:lastRowFirstColumn="0" w:lastRowLastColumn="0"/>
            <w:tcW w:w="6946" w:type="dxa"/>
            <w:noWrap/>
            <w:hideMark/>
          </w:tcPr>
          <w:p w14:paraId="051017E7" w14:textId="77777777" w:rsidR="00CB7706" w:rsidRPr="00C93734" w:rsidRDefault="00CB7706" w:rsidP="00C93734">
            <w:pPr>
              <w:spacing w:after="0"/>
              <w:jc w:val="both"/>
              <w:rPr>
                <w:rFonts w:eastAsia="Times New Roman"/>
                <w:color w:val="000000"/>
                <w:szCs w:val="22"/>
              </w:rPr>
            </w:pPr>
            <w:r w:rsidRPr="00C93734">
              <w:rPr>
                <w:rFonts w:eastAsia="Times New Roman"/>
                <w:color w:val="000000"/>
                <w:szCs w:val="22"/>
              </w:rPr>
              <w:t xml:space="preserve">Arts, entertainment and recreation </w:t>
            </w:r>
          </w:p>
        </w:tc>
        <w:tc>
          <w:tcPr>
            <w:tcW w:w="1346" w:type="dxa"/>
            <w:noWrap/>
            <w:vAlign w:val="bottom"/>
            <w:hideMark/>
          </w:tcPr>
          <w:p w14:paraId="5571A919" w14:textId="77777777" w:rsidR="00CB7706" w:rsidRPr="00C93734" w:rsidRDefault="00CB7706"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szCs w:val="22"/>
              </w:rPr>
            </w:pPr>
            <w:r w:rsidRPr="00C93734">
              <w:rPr>
                <w:color w:val="000000"/>
                <w:szCs w:val="22"/>
              </w:rPr>
              <w:t xml:space="preserve">                              110 </w:t>
            </w:r>
          </w:p>
        </w:tc>
        <w:tc>
          <w:tcPr>
            <w:tcW w:w="1347" w:type="dxa"/>
            <w:noWrap/>
            <w:vAlign w:val="bottom"/>
            <w:hideMark/>
          </w:tcPr>
          <w:p w14:paraId="0470F60F" w14:textId="77777777" w:rsidR="00CB7706" w:rsidRPr="00C93734" w:rsidRDefault="00CB7706"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szCs w:val="22"/>
              </w:rPr>
            </w:pPr>
            <w:r w:rsidRPr="00C93734">
              <w:rPr>
                <w:color w:val="000000"/>
                <w:szCs w:val="22"/>
              </w:rPr>
              <w:t xml:space="preserve">                                          1,550 </w:t>
            </w:r>
          </w:p>
        </w:tc>
      </w:tr>
      <w:tr w:rsidR="00CB7706" w:rsidRPr="00CB7706" w14:paraId="44E6E750" w14:textId="77777777" w:rsidTr="00CB7706">
        <w:trPr>
          <w:trHeight w:val="300"/>
        </w:trPr>
        <w:tc>
          <w:tcPr>
            <w:cnfStyle w:val="001000000000" w:firstRow="0" w:lastRow="0" w:firstColumn="1" w:lastColumn="0" w:oddVBand="0" w:evenVBand="0" w:oddHBand="0" w:evenHBand="0" w:firstRowFirstColumn="0" w:firstRowLastColumn="0" w:lastRowFirstColumn="0" w:lastRowLastColumn="0"/>
            <w:tcW w:w="6946" w:type="dxa"/>
            <w:noWrap/>
            <w:hideMark/>
          </w:tcPr>
          <w:p w14:paraId="1235B8A7" w14:textId="77777777" w:rsidR="00CB7706" w:rsidRPr="00C93734" w:rsidRDefault="00CB7706" w:rsidP="00C93734">
            <w:pPr>
              <w:spacing w:after="0"/>
              <w:jc w:val="both"/>
              <w:rPr>
                <w:rFonts w:eastAsia="Times New Roman"/>
                <w:color w:val="000000"/>
                <w:szCs w:val="22"/>
              </w:rPr>
            </w:pPr>
            <w:r w:rsidRPr="00C93734">
              <w:rPr>
                <w:rFonts w:eastAsia="Times New Roman"/>
                <w:color w:val="000000"/>
                <w:szCs w:val="22"/>
              </w:rPr>
              <w:t>Cultural Education</w:t>
            </w:r>
          </w:p>
        </w:tc>
        <w:tc>
          <w:tcPr>
            <w:tcW w:w="1346" w:type="dxa"/>
            <w:noWrap/>
            <w:vAlign w:val="bottom"/>
            <w:hideMark/>
          </w:tcPr>
          <w:p w14:paraId="31F9ABEC" w14:textId="77777777" w:rsidR="00CB7706" w:rsidRPr="00C93734" w:rsidRDefault="00CB7706"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szCs w:val="22"/>
              </w:rPr>
            </w:pPr>
            <w:r w:rsidRPr="00C93734">
              <w:rPr>
                <w:color w:val="000000"/>
                <w:szCs w:val="22"/>
              </w:rPr>
              <w:t xml:space="preserve">                                10 </w:t>
            </w:r>
          </w:p>
        </w:tc>
        <w:tc>
          <w:tcPr>
            <w:tcW w:w="1347" w:type="dxa"/>
            <w:noWrap/>
            <w:vAlign w:val="bottom"/>
            <w:hideMark/>
          </w:tcPr>
          <w:p w14:paraId="52453AA0" w14:textId="77777777" w:rsidR="00CB7706" w:rsidRPr="00C93734" w:rsidRDefault="00CB7706" w:rsidP="00A41064">
            <w:pPr>
              <w:spacing w:after="0"/>
              <w:jc w:val="both"/>
              <w:cnfStyle w:val="000000000000" w:firstRow="0" w:lastRow="0" w:firstColumn="0" w:lastColumn="0" w:oddVBand="0" w:evenVBand="0" w:oddHBand="0" w:evenHBand="0" w:firstRowFirstColumn="0" w:firstRowLastColumn="0" w:lastRowFirstColumn="0" w:lastRowLastColumn="0"/>
              <w:rPr>
                <w:color w:val="000000"/>
                <w:szCs w:val="22"/>
              </w:rPr>
            </w:pPr>
            <w:r w:rsidRPr="00C93734">
              <w:rPr>
                <w:color w:val="000000"/>
                <w:szCs w:val="22"/>
              </w:rPr>
              <w:t xml:space="preserve">                  </w:t>
            </w:r>
            <w:r w:rsidR="008D64CF" w:rsidRPr="00C93734">
              <w:rPr>
                <w:color w:val="000000"/>
                <w:szCs w:val="22"/>
              </w:rPr>
              <w:t xml:space="preserve">                              </w:t>
            </w:r>
            <w:r w:rsidR="00A41064">
              <w:rPr>
                <w:color w:val="000000"/>
                <w:szCs w:val="22"/>
              </w:rPr>
              <w:t>10</w:t>
            </w:r>
          </w:p>
        </w:tc>
      </w:tr>
      <w:tr w:rsidR="00CB7706" w:rsidRPr="00CB7706" w14:paraId="210B92FF" w14:textId="77777777" w:rsidTr="008D64CF">
        <w:trPr>
          <w:trHeight w:val="300"/>
        </w:trPr>
        <w:tc>
          <w:tcPr>
            <w:cnfStyle w:val="001000000000" w:firstRow="0" w:lastRow="0" w:firstColumn="1" w:lastColumn="0" w:oddVBand="0" w:evenVBand="0" w:oddHBand="0" w:evenHBand="0" w:firstRowFirstColumn="0" w:firstRowLastColumn="0" w:lastRowFirstColumn="0" w:lastRowLastColumn="0"/>
            <w:tcW w:w="6946" w:type="dxa"/>
            <w:shd w:val="clear" w:color="auto" w:fill="E6E4DE" w:themeFill="accent6"/>
            <w:noWrap/>
            <w:hideMark/>
          </w:tcPr>
          <w:p w14:paraId="6944C412" w14:textId="77777777" w:rsidR="00CB7706" w:rsidRPr="00C93734" w:rsidRDefault="00CB7706" w:rsidP="00C93734">
            <w:pPr>
              <w:spacing w:after="0"/>
              <w:jc w:val="both"/>
              <w:rPr>
                <w:rFonts w:eastAsia="Times New Roman"/>
                <w:b/>
                <w:color w:val="000000"/>
              </w:rPr>
            </w:pPr>
            <w:r w:rsidRPr="00C93734">
              <w:rPr>
                <w:rFonts w:eastAsia="Times New Roman"/>
                <w:b/>
                <w:color w:val="000000"/>
              </w:rPr>
              <w:t>Visitor Economy</w:t>
            </w:r>
          </w:p>
        </w:tc>
        <w:tc>
          <w:tcPr>
            <w:tcW w:w="1346" w:type="dxa"/>
            <w:shd w:val="clear" w:color="auto" w:fill="E6E4DE" w:themeFill="accent6"/>
            <w:noWrap/>
            <w:vAlign w:val="bottom"/>
            <w:hideMark/>
          </w:tcPr>
          <w:p w14:paraId="0E22E8D8" w14:textId="77777777" w:rsidR="00CB7706" w:rsidRPr="00C93734" w:rsidRDefault="00CB7706" w:rsidP="00C93734">
            <w:pPr>
              <w:spacing w:after="0"/>
              <w:jc w:val="both"/>
              <w:cnfStyle w:val="000000000000" w:firstRow="0" w:lastRow="0" w:firstColumn="0" w:lastColumn="0" w:oddVBand="0" w:evenVBand="0" w:oddHBand="0" w:evenHBand="0" w:firstRowFirstColumn="0" w:firstRowLastColumn="0" w:lastRowFirstColumn="0" w:lastRowLastColumn="0"/>
              <w:rPr>
                <w:b/>
                <w:color w:val="000000"/>
              </w:rPr>
            </w:pPr>
            <w:r w:rsidRPr="00C93734">
              <w:rPr>
                <w:b/>
                <w:color w:val="000000"/>
              </w:rPr>
              <w:t>400</w:t>
            </w:r>
          </w:p>
        </w:tc>
        <w:tc>
          <w:tcPr>
            <w:tcW w:w="1347" w:type="dxa"/>
            <w:shd w:val="clear" w:color="auto" w:fill="E6E4DE" w:themeFill="accent6"/>
            <w:noWrap/>
            <w:vAlign w:val="bottom"/>
            <w:hideMark/>
          </w:tcPr>
          <w:p w14:paraId="6C4B5512" w14:textId="77777777" w:rsidR="00CB7706" w:rsidRPr="00C93734" w:rsidRDefault="00CB7706" w:rsidP="00C93734">
            <w:pPr>
              <w:spacing w:after="0"/>
              <w:jc w:val="both"/>
              <w:cnfStyle w:val="000000000000" w:firstRow="0" w:lastRow="0" w:firstColumn="0" w:lastColumn="0" w:oddVBand="0" w:evenVBand="0" w:oddHBand="0" w:evenHBand="0" w:firstRowFirstColumn="0" w:firstRowLastColumn="0" w:lastRowFirstColumn="0" w:lastRowLastColumn="0"/>
              <w:rPr>
                <w:b/>
                <w:color w:val="000000"/>
              </w:rPr>
            </w:pPr>
            <w:r w:rsidRPr="00C93734">
              <w:rPr>
                <w:b/>
                <w:color w:val="000000"/>
              </w:rPr>
              <w:t>4,830</w:t>
            </w:r>
          </w:p>
        </w:tc>
      </w:tr>
      <w:tr w:rsidR="00CB7706" w:rsidRPr="00CB7706" w14:paraId="2AFD4568" w14:textId="77777777" w:rsidTr="00CB7706">
        <w:trPr>
          <w:trHeight w:val="300"/>
        </w:trPr>
        <w:tc>
          <w:tcPr>
            <w:cnfStyle w:val="001000000000" w:firstRow="0" w:lastRow="0" w:firstColumn="1" w:lastColumn="0" w:oddVBand="0" w:evenVBand="0" w:oddHBand="0" w:evenHBand="0" w:firstRowFirstColumn="0" w:firstRowLastColumn="0" w:lastRowFirstColumn="0" w:lastRowLastColumn="0"/>
            <w:tcW w:w="6946" w:type="dxa"/>
            <w:noWrap/>
            <w:hideMark/>
          </w:tcPr>
          <w:p w14:paraId="5412F310" w14:textId="77777777" w:rsidR="00CB7706" w:rsidRPr="00C93734" w:rsidRDefault="00CB7706" w:rsidP="00C93734">
            <w:pPr>
              <w:spacing w:after="0"/>
              <w:jc w:val="both"/>
              <w:rPr>
                <w:rFonts w:eastAsia="Times New Roman"/>
                <w:color w:val="000000"/>
                <w:szCs w:val="22"/>
              </w:rPr>
            </w:pPr>
            <w:r w:rsidRPr="00C93734">
              <w:rPr>
                <w:rFonts w:eastAsia="Times New Roman"/>
                <w:color w:val="000000"/>
                <w:szCs w:val="22"/>
              </w:rPr>
              <w:t>Retail  (and wholesale)</w:t>
            </w:r>
          </w:p>
        </w:tc>
        <w:tc>
          <w:tcPr>
            <w:tcW w:w="1346" w:type="dxa"/>
            <w:noWrap/>
            <w:vAlign w:val="bottom"/>
            <w:hideMark/>
          </w:tcPr>
          <w:p w14:paraId="76039004" w14:textId="77777777" w:rsidR="00CB7706" w:rsidRPr="00C93734" w:rsidRDefault="00CB7706"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szCs w:val="22"/>
              </w:rPr>
            </w:pPr>
            <w:r w:rsidRPr="00C93734">
              <w:rPr>
                <w:color w:val="000000"/>
                <w:szCs w:val="22"/>
              </w:rPr>
              <w:t xml:space="preserve">                              970 </w:t>
            </w:r>
          </w:p>
        </w:tc>
        <w:tc>
          <w:tcPr>
            <w:tcW w:w="1347" w:type="dxa"/>
            <w:noWrap/>
            <w:vAlign w:val="bottom"/>
            <w:hideMark/>
          </w:tcPr>
          <w:p w14:paraId="01B8D62E" w14:textId="77777777" w:rsidR="00CB7706" w:rsidRPr="00C93734" w:rsidRDefault="00CB7706"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szCs w:val="22"/>
              </w:rPr>
            </w:pPr>
            <w:r w:rsidRPr="00C93734">
              <w:rPr>
                <w:color w:val="000000"/>
                <w:szCs w:val="22"/>
              </w:rPr>
              <w:t xml:space="preserve">                                        10,880 </w:t>
            </w:r>
          </w:p>
        </w:tc>
      </w:tr>
      <w:tr w:rsidR="00CB7706" w:rsidRPr="00CB7706" w14:paraId="768985A9" w14:textId="77777777" w:rsidTr="00CB7706">
        <w:trPr>
          <w:trHeight w:val="322"/>
        </w:trPr>
        <w:tc>
          <w:tcPr>
            <w:cnfStyle w:val="001000000000" w:firstRow="0" w:lastRow="0" w:firstColumn="1" w:lastColumn="0" w:oddVBand="0" w:evenVBand="0" w:oddHBand="0" w:evenHBand="0" w:firstRowFirstColumn="0" w:firstRowLastColumn="0" w:lastRowFirstColumn="0" w:lastRowLastColumn="0"/>
            <w:tcW w:w="6946" w:type="dxa"/>
            <w:shd w:val="clear" w:color="auto" w:fill="BED600" w:themeFill="accent1"/>
            <w:noWrap/>
            <w:vAlign w:val="bottom"/>
            <w:hideMark/>
          </w:tcPr>
          <w:p w14:paraId="515C5E14" w14:textId="77777777" w:rsidR="00CB7706" w:rsidRPr="00C93734" w:rsidRDefault="00CB7706" w:rsidP="00C93734">
            <w:pPr>
              <w:spacing w:after="0"/>
              <w:jc w:val="both"/>
              <w:rPr>
                <w:rFonts w:eastAsia="Times New Roman"/>
                <w:b/>
                <w:color w:val="000000"/>
                <w:szCs w:val="22"/>
              </w:rPr>
            </w:pPr>
            <w:r w:rsidRPr="00C93734">
              <w:rPr>
                <w:rFonts w:eastAsia="Times New Roman"/>
                <w:b/>
                <w:color w:val="000000"/>
                <w:szCs w:val="22"/>
              </w:rPr>
              <w:t>Total Visitor Economy</w:t>
            </w:r>
            <w:r w:rsidR="00B125CE">
              <w:rPr>
                <w:rFonts w:eastAsia="Times New Roman"/>
                <w:b/>
                <w:color w:val="000000"/>
                <w:szCs w:val="22"/>
              </w:rPr>
              <w:t>, Services</w:t>
            </w:r>
            <w:r w:rsidRPr="00C93734">
              <w:rPr>
                <w:rFonts w:eastAsia="Times New Roman"/>
                <w:b/>
                <w:color w:val="000000"/>
                <w:szCs w:val="22"/>
              </w:rPr>
              <w:t xml:space="preserve"> &amp; Retail</w:t>
            </w:r>
          </w:p>
        </w:tc>
        <w:tc>
          <w:tcPr>
            <w:tcW w:w="1346" w:type="dxa"/>
            <w:shd w:val="clear" w:color="auto" w:fill="BED600" w:themeFill="accent1"/>
            <w:noWrap/>
            <w:vAlign w:val="bottom"/>
            <w:hideMark/>
          </w:tcPr>
          <w:p w14:paraId="5F92180E" w14:textId="77777777" w:rsidR="00CB7706" w:rsidRPr="00C93734" w:rsidRDefault="00CB7706" w:rsidP="007479CC">
            <w:pPr>
              <w:spacing w:after="0"/>
              <w:jc w:val="both"/>
              <w:cnfStyle w:val="000000000000" w:firstRow="0" w:lastRow="0" w:firstColumn="0" w:lastColumn="0" w:oddVBand="0" w:evenVBand="0" w:oddHBand="0" w:evenHBand="0" w:firstRowFirstColumn="0" w:firstRowLastColumn="0" w:lastRowFirstColumn="0" w:lastRowLastColumn="0"/>
              <w:rPr>
                <w:b/>
                <w:color w:val="000000"/>
                <w:szCs w:val="22"/>
              </w:rPr>
            </w:pPr>
            <w:r w:rsidRPr="00C93734">
              <w:rPr>
                <w:b/>
                <w:color w:val="000000"/>
                <w:szCs w:val="22"/>
              </w:rPr>
              <w:t xml:space="preserve">                          1,</w:t>
            </w:r>
            <w:r w:rsidR="007479CC" w:rsidRPr="00C93734">
              <w:rPr>
                <w:b/>
                <w:color w:val="000000"/>
                <w:szCs w:val="22"/>
              </w:rPr>
              <w:t>3</w:t>
            </w:r>
            <w:r w:rsidR="007479CC">
              <w:rPr>
                <w:b/>
                <w:color w:val="000000"/>
                <w:szCs w:val="22"/>
              </w:rPr>
              <w:t>70</w:t>
            </w:r>
            <w:r w:rsidR="007479CC" w:rsidRPr="00C93734">
              <w:rPr>
                <w:b/>
                <w:color w:val="000000"/>
                <w:szCs w:val="22"/>
              </w:rPr>
              <w:t xml:space="preserve"> </w:t>
            </w:r>
          </w:p>
        </w:tc>
        <w:tc>
          <w:tcPr>
            <w:tcW w:w="1347" w:type="dxa"/>
            <w:shd w:val="clear" w:color="auto" w:fill="BED600" w:themeFill="accent1"/>
            <w:noWrap/>
            <w:vAlign w:val="bottom"/>
            <w:hideMark/>
          </w:tcPr>
          <w:p w14:paraId="02B1B56B" w14:textId="77777777" w:rsidR="00CB7706" w:rsidRPr="00C93734" w:rsidRDefault="00CB7706" w:rsidP="00A41064">
            <w:pPr>
              <w:spacing w:after="0"/>
              <w:jc w:val="both"/>
              <w:cnfStyle w:val="000000000000" w:firstRow="0" w:lastRow="0" w:firstColumn="0" w:lastColumn="0" w:oddVBand="0" w:evenVBand="0" w:oddHBand="0" w:evenHBand="0" w:firstRowFirstColumn="0" w:firstRowLastColumn="0" w:lastRowFirstColumn="0" w:lastRowLastColumn="0"/>
              <w:rPr>
                <w:b/>
                <w:color w:val="000000"/>
                <w:szCs w:val="22"/>
              </w:rPr>
            </w:pPr>
            <w:r w:rsidRPr="00C93734">
              <w:rPr>
                <w:b/>
                <w:color w:val="000000"/>
                <w:szCs w:val="22"/>
              </w:rPr>
              <w:t xml:space="preserve">                                        15,</w:t>
            </w:r>
            <w:r w:rsidR="007479CC" w:rsidRPr="00C93734">
              <w:rPr>
                <w:b/>
                <w:color w:val="000000"/>
                <w:szCs w:val="22"/>
              </w:rPr>
              <w:t>7</w:t>
            </w:r>
            <w:r w:rsidR="00A41064">
              <w:rPr>
                <w:b/>
                <w:color w:val="000000"/>
                <w:szCs w:val="22"/>
              </w:rPr>
              <w:t>1</w:t>
            </w:r>
            <w:r w:rsidR="007479CC" w:rsidRPr="00C93734">
              <w:rPr>
                <w:b/>
                <w:color w:val="000000"/>
                <w:szCs w:val="22"/>
              </w:rPr>
              <w:t xml:space="preserve">0 </w:t>
            </w:r>
          </w:p>
        </w:tc>
      </w:tr>
    </w:tbl>
    <w:p w14:paraId="14D9A2A7" w14:textId="77777777" w:rsidR="00CB7706" w:rsidRDefault="008D64CF" w:rsidP="002A4A83">
      <w:pPr>
        <w:pStyle w:val="TableSource"/>
      </w:pPr>
      <w:r>
        <w:t>Source: IDBR 2013</w:t>
      </w:r>
      <w:r w:rsidR="0038769D">
        <w:t xml:space="preserve">. Figures rounded to nearest 10.  </w:t>
      </w:r>
    </w:p>
    <w:p w14:paraId="7C41AD9E" w14:textId="77777777" w:rsidR="00866C9F" w:rsidRDefault="007479CC" w:rsidP="00C93734">
      <w:pPr>
        <w:jc w:val="both"/>
      </w:pPr>
      <w:r>
        <w:t xml:space="preserve">In terms of company size, the </w:t>
      </w:r>
      <w:r w:rsidR="00866C9F">
        <w:t xml:space="preserve">sector has a similar profile to the total </w:t>
      </w:r>
      <w:r>
        <w:t xml:space="preserve">local </w:t>
      </w:r>
      <w:r w:rsidR="00866C9F">
        <w:t xml:space="preserve">economy. </w:t>
      </w:r>
      <w:r>
        <w:t>Like the total local economy, it</w:t>
      </w:r>
      <w:r w:rsidR="004603A5">
        <w:t xml:space="preserve"> is </w:t>
      </w:r>
      <w:r>
        <w:t xml:space="preserve">particularly </w:t>
      </w:r>
      <w:r w:rsidR="004603A5">
        <w:t xml:space="preserve">characterised particularly by </w:t>
      </w:r>
      <w:r w:rsidR="00866C9F">
        <w:t xml:space="preserve">micro-businesses (0-10 employees). </w:t>
      </w:r>
    </w:p>
    <w:p w14:paraId="7EAE7524" w14:textId="77777777" w:rsidR="00ED4C3F" w:rsidRDefault="00ED4C3F" w:rsidP="00C93734">
      <w:pPr>
        <w:pStyle w:val="Caption"/>
        <w:jc w:val="both"/>
      </w:pPr>
      <w:bookmarkStart w:id="605" w:name="_Toc383159700"/>
      <w:r>
        <w:t xml:space="preserve">Table </w:t>
      </w:r>
      <w:fldSimple w:instr=" STYLEREF 1 \s  \* MERGEFORMAT ">
        <w:r w:rsidR="00E95E1A">
          <w:rPr>
            <w:noProof/>
          </w:rPr>
          <w:t>8</w:t>
        </w:r>
      </w:fldSimple>
      <w:r>
        <w:t>-</w:t>
      </w:r>
      <w:fldSimple w:instr=" SEQ Table \* ARABIC \s 1  \* MERGEFORMAT ">
        <w:r w:rsidR="00E95E1A">
          <w:rPr>
            <w:noProof/>
          </w:rPr>
          <w:t>2</w:t>
        </w:r>
      </w:fldSimple>
      <w:r>
        <w:tab/>
      </w:r>
      <w:bookmarkEnd w:id="605"/>
      <w:r w:rsidR="002A4A83">
        <w:t xml:space="preserve">% of Firms by Employment Size Band </w:t>
      </w:r>
    </w:p>
    <w:tbl>
      <w:tblPr>
        <w:tblStyle w:val="Atkins14pt"/>
        <w:tblW w:w="8629" w:type="dxa"/>
        <w:tblLayout w:type="fixed"/>
        <w:tblLook w:val="04A0" w:firstRow="1" w:lastRow="0" w:firstColumn="1" w:lastColumn="0" w:noHBand="0" w:noVBand="1"/>
      </w:tblPr>
      <w:tblGrid>
        <w:gridCol w:w="1560"/>
        <w:gridCol w:w="1009"/>
        <w:gridCol w:w="1010"/>
        <w:gridCol w:w="1010"/>
        <w:gridCol w:w="1010"/>
        <w:gridCol w:w="1010"/>
        <w:gridCol w:w="1010"/>
        <w:gridCol w:w="1010"/>
      </w:tblGrid>
      <w:tr w:rsidR="00A41064" w:rsidRPr="00866C9F" w14:paraId="2DC6E104" w14:textId="77777777" w:rsidTr="00E95E1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560" w:type="dxa"/>
            <w:noWrap/>
            <w:hideMark/>
          </w:tcPr>
          <w:p w14:paraId="05D0D1E7" w14:textId="77777777" w:rsidR="00A41064" w:rsidRPr="00BB02D8" w:rsidRDefault="00A41064" w:rsidP="00C93734">
            <w:pPr>
              <w:spacing w:after="0"/>
              <w:jc w:val="both"/>
              <w:rPr>
                <w:rFonts w:eastAsia="Times New Roman"/>
                <w:bCs/>
                <w:color w:val="000000"/>
              </w:rPr>
            </w:pPr>
          </w:p>
        </w:tc>
        <w:tc>
          <w:tcPr>
            <w:tcW w:w="7069" w:type="dxa"/>
            <w:gridSpan w:val="7"/>
            <w:noWrap/>
            <w:hideMark/>
          </w:tcPr>
          <w:p w14:paraId="37114D15" w14:textId="77777777" w:rsidR="00A41064" w:rsidRPr="00BB02D8" w:rsidRDefault="00A41064"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bCs/>
                <w:color w:val="000000"/>
              </w:rPr>
            </w:pPr>
            <w:r w:rsidRPr="00BB02D8">
              <w:rPr>
                <w:rFonts w:eastAsia="Times New Roman"/>
                <w:bCs/>
                <w:color w:val="000000"/>
              </w:rPr>
              <w:t>Business Size</w:t>
            </w:r>
          </w:p>
        </w:tc>
      </w:tr>
      <w:tr w:rsidR="00A41064" w:rsidRPr="00866C9F" w14:paraId="168436AC" w14:textId="77777777" w:rsidTr="00A41064">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1B32DBF" w14:textId="77777777" w:rsidR="00A41064" w:rsidRPr="00BB02D8" w:rsidRDefault="00A41064" w:rsidP="00C93734">
            <w:pPr>
              <w:spacing w:after="0"/>
              <w:jc w:val="both"/>
              <w:rPr>
                <w:rFonts w:eastAsia="Times New Roman"/>
                <w:b/>
                <w:bCs/>
                <w:color w:val="000000"/>
              </w:rPr>
            </w:pPr>
          </w:p>
        </w:tc>
        <w:tc>
          <w:tcPr>
            <w:tcW w:w="1009" w:type="dxa"/>
            <w:noWrap/>
            <w:hideMark/>
          </w:tcPr>
          <w:p w14:paraId="11EEC351" w14:textId="77777777" w:rsidR="00A41064" w:rsidRPr="00BB02D8"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BB02D8">
              <w:rPr>
                <w:rFonts w:eastAsia="Times New Roman"/>
                <w:b/>
                <w:bCs/>
                <w:color w:val="000000"/>
              </w:rPr>
              <w:t>0-10</w:t>
            </w:r>
          </w:p>
        </w:tc>
        <w:tc>
          <w:tcPr>
            <w:tcW w:w="1010" w:type="dxa"/>
            <w:noWrap/>
            <w:hideMark/>
          </w:tcPr>
          <w:p w14:paraId="0FC7C67B" w14:textId="77777777" w:rsidR="00A41064" w:rsidRPr="00BB02D8"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BB02D8">
              <w:rPr>
                <w:rFonts w:eastAsia="Times New Roman"/>
                <w:b/>
                <w:bCs/>
                <w:color w:val="000000"/>
              </w:rPr>
              <w:t>11-20</w:t>
            </w:r>
          </w:p>
        </w:tc>
        <w:tc>
          <w:tcPr>
            <w:tcW w:w="1010" w:type="dxa"/>
            <w:noWrap/>
            <w:hideMark/>
          </w:tcPr>
          <w:p w14:paraId="7E161E2B" w14:textId="77777777" w:rsidR="00A41064" w:rsidRPr="00BB02D8"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BB02D8">
              <w:rPr>
                <w:rFonts w:eastAsia="Times New Roman"/>
                <w:b/>
                <w:bCs/>
                <w:color w:val="000000"/>
              </w:rPr>
              <w:t>21-50</w:t>
            </w:r>
          </w:p>
        </w:tc>
        <w:tc>
          <w:tcPr>
            <w:tcW w:w="1010" w:type="dxa"/>
            <w:noWrap/>
            <w:hideMark/>
          </w:tcPr>
          <w:p w14:paraId="31904E62" w14:textId="77777777" w:rsidR="00A41064" w:rsidRPr="00BB02D8"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BB02D8">
              <w:rPr>
                <w:rFonts w:eastAsia="Times New Roman"/>
                <w:b/>
                <w:bCs/>
                <w:color w:val="000000"/>
              </w:rPr>
              <w:t>51-100</w:t>
            </w:r>
          </w:p>
        </w:tc>
        <w:tc>
          <w:tcPr>
            <w:tcW w:w="1010" w:type="dxa"/>
            <w:noWrap/>
            <w:hideMark/>
          </w:tcPr>
          <w:p w14:paraId="081BDBB3" w14:textId="77777777" w:rsidR="00A41064" w:rsidRPr="00BB02D8"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BB02D8">
              <w:rPr>
                <w:rFonts w:eastAsia="Times New Roman"/>
                <w:b/>
                <w:bCs/>
                <w:color w:val="000000"/>
              </w:rPr>
              <w:t>101-250</w:t>
            </w:r>
          </w:p>
        </w:tc>
        <w:tc>
          <w:tcPr>
            <w:tcW w:w="1010" w:type="dxa"/>
            <w:noWrap/>
            <w:hideMark/>
          </w:tcPr>
          <w:p w14:paraId="2FC80A31" w14:textId="77777777" w:rsidR="00A41064" w:rsidRPr="00BB02D8"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BB02D8">
              <w:rPr>
                <w:rFonts w:eastAsia="Times New Roman"/>
                <w:b/>
                <w:bCs/>
                <w:color w:val="000000"/>
              </w:rPr>
              <w:t>250-500</w:t>
            </w:r>
          </w:p>
        </w:tc>
        <w:tc>
          <w:tcPr>
            <w:tcW w:w="1010" w:type="dxa"/>
            <w:noWrap/>
            <w:hideMark/>
          </w:tcPr>
          <w:p w14:paraId="283BBB11" w14:textId="77777777" w:rsidR="00A41064" w:rsidRPr="00BB02D8"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BB02D8">
              <w:rPr>
                <w:rFonts w:eastAsia="Times New Roman"/>
                <w:b/>
                <w:bCs/>
                <w:color w:val="000000"/>
              </w:rPr>
              <w:t>h. 500+</w:t>
            </w:r>
          </w:p>
        </w:tc>
      </w:tr>
      <w:tr w:rsidR="00A41064" w:rsidRPr="00866C9F" w14:paraId="52A7BB3D" w14:textId="77777777" w:rsidTr="00A41064">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9322080" w14:textId="77777777" w:rsidR="00A41064" w:rsidRPr="00BB02D8" w:rsidRDefault="00A41064" w:rsidP="00C93734">
            <w:pPr>
              <w:spacing w:after="0"/>
              <w:jc w:val="both"/>
              <w:rPr>
                <w:rFonts w:eastAsia="Times New Roman"/>
                <w:b/>
                <w:bCs/>
                <w:color w:val="000000"/>
              </w:rPr>
            </w:pPr>
            <w:r w:rsidRPr="00BB02D8">
              <w:rPr>
                <w:rFonts w:eastAsia="Times New Roman"/>
                <w:b/>
                <w:bCs/>
                <w:color w:val="000000"/>
              </w:rPr>
              <w:t>Retail &amp; Tourism</w:t>
            </w:r>
          </w:p>
        </w:tc>
        <w:tc>
          <w:tcPr>
            <w:tcW w:w="1009" w:type="dxa"/>
            <w:noWrap/>
            <w:vAlign w:val="bottom"/>
            <w:hideMark/>
          </w:tcPr>
          <w:p w14:paraId="4315BB4C" w14:textId="77777777" w:rsidR="00A41064" w:rsidRPr="00BB02D8" w:rsidRDefault="00A41064" w:rsidP="00A41064">
            <w:pPr>
              <w:jc w:val="both"/>
              <w:cnfStyle w:val="000000000000" w:firstRow="0" w:lastRow="0" w:firstColumn="0" w:lastColumn="0" w:oddVBand="0" w:evenVBand="0" w:oddHBand="0" w:evenHBand="0" w:firstRowFirstColumn="0" w:firstRowLastColumn="0" w:lastRowFirstColumn="0" w:lastRowLastColumn="0"/>
              <w:rPr>
                <w:color w:val="000000"/>
              </w:rPr>
            </w:pPr>
            <w:r w:rsidRPr="00BB02D8">
              <w:rPr>
                <w:color w:val="000000"/>
              </w:rPr>
              <w:t>7</w:t>
            </w:r>
            <w:r>
              <w:rPr>
                <w:color w:val="000000"/>
              </w:rPr>
              <w:t>2.6</w:t>
            </w:r>
            <w:r w:rsidRPr="00BB02D8">
              <w:rPr>
                <w:color w:val="000000"/>
              </w:rPr>
              <w:t>%</w:t>
            </w:r>
          </w:p>
        </w:tc>
        <w:tc>
          <w:tcPr>
            <w:tcW w:w="1010" w:type="dxa"/>
            <w:noWrap/>
            <w:vAlign w:val="bottom"/>
            <w:hideMark/>
          </w:tcPr>
          <w:p w14:paraId="33BF228F" w14:textId="77777777" w:rsidR="00A41064" w:rsidRPr="00BB02D8" w:rsidRDefault="00A41064"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BB02D8">
              <w:rPr>
                <w:color w:val="000000"/>
              </w:rPr>
              <w:t>1</w:t>
            </w:r>
            <w:r>
              <w:rPr>
                <w:color w:val="000000"/>
              </w:rPr>
              <w:t>2.0</w:t>
            </w:r>
            <w:r w:rsidRPr="00BB02D8">
              <w:rPr>
                <w:color w:val="000000"/>
              </w:rPr>
              <w:t>%</w:t>
            </w:r>
          </w:p>
        </w:tc>
        <w:tc>
          <w:tcPr>
            <w:tcW w:w="1010" w:type="dxa"/>
            <w:noWrap/>
            <w:vAlign w:val="bottom"/>
            <w:hideMark/>
          </w:tcPr>
          <w:p w14:paraId="469D9A85" w14:textId="77777777" w:rsidR="00A41064" w:rsidRPr="00BB02D8" w:rsidRDefault="00A41064" w:rsidP="00C93734">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10.8</w:t>
            </w:r>
            <w:r w:rsidRPr="00BB02D8">
              <w:rPr>
                <w:color w:val="000000"/>
              </w:rPr>
              <w:t>%</w:t>
            </w:r>
          </w:p>
        </w:tc>
        <w:tc>
          <w:tcPr>
            <w:tcW w:w="1010" w:type="dxa"/>
            <w:noWrap/>
            <w:vAlign w:val="bottom"/>
            <w:hideMark/>
          </w:tcPr>
          <w:p w14:paraId="273DC09A" w14:textId="77777777" w:rsidR="00A41064" w:rsidRPr="00BB02D8" w:rsidRDefault="00A41064" w:rsidP="00C93734">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3.0</w:t>
            </w:r>
            <w:r w:rsidRPr="00BB02D8">
              <w:rPr>
                <w:color w:val="000000"/>
              </w:rPr>
              <w:t>%</w:t>
            </w:r>
          </w:p>
        </w:tc>
        <w:tc>
          <w:tcPr>
            <w:tcW w:w="1010" w:type="dxa"/>
            <w:noWrap/>
            <w:vAlign w:val="bottom"/>
            <w:hideMark/>
          </w:tcPr>
          <w:p w14:paraId="07129716" w14:textId="77777777" w:rsidR="00A41064" w:rsidRPr="00BB02D8" w:rsidRDefault="00A41064" w:rsidP="00C93734">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0.8</w:t>
            </w:r>
            <w:r w:rsidRPr="00BB02D8">
              <w:rPr>
                <w:color w:val="000000"/>
              </w:rPr>
              <w:t>%</w:t>
            </w:r>
          </w:p>
        </w:tc>
        <w:tc>
          <w:tcPr>
            <w:tcW w:w="1010" w:type="dxa"/>
            <w:noWrap/>
            <w:vAlign w:val="bottom"/>
            <w:hideMark/>
          </w:tcPr>
          <w:p w14:paraId="6F3AD0E0" w14:textId="77777777" w:rsidR="00A41064" w:rsidRPr="00BB02D8" w:rsidRDefault="00A41064"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BB02D8">
              <w:rPr>
                <w:color w:val="000000"/>
              </w:rPr>
              <w:t>0.3%</w:t>
            </w:r>
          </w:p>
        </w:tc>
        <w:tc>
          <w:tcPr>
            <w:tcW w:w="1010" w:type="dxa"/>
            <w:noWrap/>
            <w:vAlign w:val="bottom"/>
            <w:hideMark/>
          </w:tcPr>
          <w:p w14:paraId="3E6C0FD2" w14:textId="77777777" w:rsidR="00A41064" w:rsidRPr="00BB02D8" w:rsidRDefault="00A41064" w:rsidP="00C93734">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0.0</w:t>
            </w:r>
            <w:r w:rsidRPr="00BB02D8">
              <w:rPr>
                <w:color w:val="000000"/>
              </w:rPr>
              <w:t>%</w:t>
            </w:r>
          </w:p>
        </w:tc>
      </w:tr>
      <w:tr w:rsidR="00A41064" w:rsidRPr="00866C9F" w14:paraId="5A835F70" w14:textId="77777777" w:rsidTr="00A41064">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7C6E5BC" w14:textId="77777777" w:rsidR="00A41064" w:rsidRPr="00BB02D8" w:rsidRDefault="00A41064" w:rsidP="00C93734">
            <w:pPr>
              <w:spacing w:after="0"/>
              <w:jc w:val="both"/>
              <w:rPr>
                <w:rFonts w:eastAsia="Times New Roman"/>
                <w:b/>
                <w:color w:val="000000"/>
              </w:rPr>
            </w:pPr>
            <w:r w:rsidRPr="00BB02D8">
              <w:rPr>
                <w:rFonts w:eastAsia="Times New Roman"/>
                <w:b/>
                <w:color w:val="000000"/>
              </w:rPr>
              <w:t>Total Local Economy</w:t>
            </w:r>
          </w:p>
        </w:tc>
        <w:tc>
          <w:tcPr>
            <w:tcW w:w="1009" w:type="dxa"/>
            <w:noWrap/>
            <w:hideMark/>
          </w:tcPr>
          <w:p w14:paraId="74681737" w14:textId="77777777" w:rsidR="00A41064" w:rsidRPr="00BB02D8"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BB02D8">
              <w:rPr>
                <w:rFonts w:eastAsia="Times New Roman"/>
                <w:b/>
                <w:color w:val="000000"/>
              </w:rPr>
              <w:t>76.4%</w:t>
            </w:r>
          </w:p>
        </w:tc>
        <w:tc>
          <w:tcPr>
            <w:tcW w:w="1010" w:type="dxa"/>
            <w:noWrap/>
            <w:hideMark/>
          </w:tcPr>
          <w:p w14:paraId="584F827A" w14:textId="77777777" w:rsidR="00A41064" w:rsidRPr="00BB02D8"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BB02D8">
              <w:rPr>
                <w:rFonts w:eastAsia="Times New Roman"/>
                <w:b/>
                <w:color w:val="000000"/>
              </w:rPr>
              <w:t>10.2%</w:t>
            </w:r>
          </w:p>
        </w:tc>
        <w:tc>
          <w:tcPr>
            <w:tcW w:w="1010" w:type="dxa"/>
            <w:noWrap/>
            <w:hideMark/>
          </w:tcPr>
          <w:p w14:paraId="7D4D78EE" w14:textId="77777777" w:rsidR="00A41064" w:rsidRPr="00BB02D8"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BB02D8">
              <w:rPr>
                <w:rFonts w:eastAsia="Times New Roman"/>
                <w:b/>
                <w:color w:val="000000"/>
              </w:rPr>
              <w:t>8.4%</w:t>
            </w:r>
          </w:p>
        </w:tc>
        <w:tc>
          <w:tcPr>
            <w:tcW w:w="1010" w:type="dxa"/>
            <w:noWrap/>
            <w:hideMark/>
          </w:tcPr>
          <w:p w14:paraId="202530E8" w14:textId="77777777" w:rsidR="00A41064" w:rsidRPr="00BB02D8"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BB02D8">
              <w:rPr>
                <w:rFonts w:eastAsia="Times New Roman"/>
                <w:b/>
                <w:color w:val="000000"/>
              </w:rPr>
              <w:t>2.8%</w:t>
            </w:r>
          </w:p>
        </w:tc>
        <w:tc>
          <w:tcPr>
            <w:tcW w:w="1010" w:type="dxa"/>
            <w:noWrap/>
            <w:hideMark/>
          </w:tcPr>
          <w:p w14:paraId="4DD2043B" w14:textId="77777777" w:rsidR="00A41064" w:rsidRPr="00BB02D8"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BB02D8">
              <w:rPr>
                <w:rFonts w:eastAsia="Times New Roman"/>
                <w:b/>
                <w:color w:val="000000"/>
              </w:rPr>
              <w:t>1.5%</w:t>
            </w:r>
          </w:p>
        </w:tc>
        <w:tc>
          <w:tcPr>
            <w:tcW w:w="1010" w:type="dxa"/>
            <w:noWrap/>
            <w:hideMark/>
          </w:tcPr>
          <w:p w14:paraId="0CF91E02" w14:textId="77777777" w:rsidR="00A41064" w:rsidRPr="00BB02D8"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BB02D8">
              <w:rPr>
                <w:rFonts w:eastAsia="Times New Roman"/>
                <w:b/>
                <w:color w:val="000000"/>
              </w:rPr>
              <w:t>0.6%</w:t>
            </w:r>
          </w:p>
        </w:tc>
        <w:tc>
          <w:tcPr>
            <w:tcW w:w="1010" w:type="dxa"/>
            <w:noWrap/>
            <w:hideMark/>
          </w:tcPr>
          <w:p w14:paraId="4C00ECA5" w14:textId="77777777" w:rsidR="00A41064" w:rsidRPr="00BB02D8" w:rsidRDefault="00A41064"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BB02D8">
              <w:rPr>
                <w:rFonts w:eastAsia="Times New Roman"/>
                <w:b/>
                <w:color w:val="000000"/>
              </w:rPr>
              <w:t>0.2%</w:t>
            </w:r>
          </w:p>
        </w:tc>
      </w:tr>
    </w:tbl>
    <w:p w14:paraId="7CF1424C" w14:textId="77777777" w:rsidR="00866C9F" w:rsidRDefault="00925F20" w:rsidP="00925F20">
      <w:pPr>
        <w:pStyle w:val="TableSource"/>
      </w:pPr>
      <w:r>
        <w:t xml:space="preserve">Source: IDBR 2013 </w:t>
      </w:r>
    </w:p>
    <w:p w14:paraId="4E894C0E" w14:textId="77777777" w:rsidR="002F7137" w:rsidRDefault="002F7137" w:rsidP="00C93734">
      <w:pPr>
        <w:pStyle w:val="Heading3"/>
        <w:numPr>
          <w:ilvl w:val="2"/>
          <w:numId w:val="5"/>
        </w:numPr>
        <w:jc w:val="both"/>
      </w:pPr>
      <w:r w:rsidRPr="004C4518">
        <w:t>Sector Profile</w:t>
      </w:r>
    </w:p>
    <w:p w14:paraId="0437850A" w14:textId="77777777" w:rsidR="004603A5" w:rsidRDefault="004603A5" w:rsidP="00C93734">
      <w:pPr>
        <w:pStyle w:val="NormalNoSpace"/>
        <w:jc w:val="both"/>
      </w:pPr>
      <w:r>
        <w:t>The following provides a summary of the outputs of the sample business survey for the retail and visitor economy.  Full results are set out in Appendix B.</w:t>
      </w:r>
    </w:p>
    <w:p w14:paraId="60F77CD7" w14:textId="77777777" w:rsidR="004603A5" w:rsidRDefault="004603A5" w:rsidP="00C93734">
      <w:pPr>
        <w:pStyle w:val="NormalNoSpace"/>
        <w:jc w:val="both"/>
      </w:pPr>
    </w:p>
    <w:p w14:paraId="117D2464" w14:textId="77777777" w:rsidR="00144B5C" w:rsidRPr="00F103FE" w:rsidRDefault="00144B5C" w:rsidP="00C93734">
      <w:pPr>
        <w:jc w:val="both"/>
        <w:rPr>
          <w:rFonts w:cs="Arial"/>
          <w:b/>
        </w:rPr>
      </w:pPr>
      <w:r w:rsidRPr="00F103FE">
        <w:rPr>
          <w:rFonts w:cs="Arial"/>
          <w:b/>
        </w:rPr>
        <w:t>Output</w:t>
      </w:r>
    </w:p>
    <w:p w14:paraId="08E9D378" w14:textId="77777777" w:rsidR="00144B5C" w:rsidRDefault="006F14F8" w:rsidP="00C93734">
      <w:pPr>
        <w:jc w:val="both"/>
        <w:rPr>
          <w:rFonts w:cs="Arial"/>
        </w:rPr>
      </w:pPr>
      <w:r>
        <w:rPr>
          <w:rFonts w:cs="Arial"/>
        </w:rPr>
        <w:t xml:space="preserve">Based on our sample business survey, the sector contributes </w:t>
      </w:r>
      <w:r w:rsidR="00144B5C">
        <w:rPr>
          <w:rFonts w:cs="Arial"/>
        </w:rPr>
        <w:t>£181 million</w:t>
      </w:r>
      <w:r>
        <w:rPr>
          <w:rFonts w:cs="Arial"/>
        </w:rPr>
        <w:t xml:space="preserve"> to local</w:t>
      </w:r>
      <w:r w:rsidR="00144B5C">
        <w:rPr>
          <w:rFonts w:cs="Arial"/>
        </w:rPr>
        <w:t xml:space="preserve"> </w:t>
      </w:r>
      <w:r>
        <w:rPr>
          <w:rFonts w:cs="Arial"/>
        </w:rPr>
        <w:t xml:space="preserve">GDP and £89 million </w:t>
      </w:r>
      <w:r w:rsidR="00FD5ED8">
        <w:rPr>
          <w:rFonts w:cs="Arial"/>
        </w:rPr>
        <w:t xml:space="preserve">in </w:t>
      </w:r>
      <w:r>
        <w:rPr>
          <w:rFonts w:cs="Arial"/>
        </w:rPr>
        <w:t>GVA</w:t>
      </w:r>
      <w:r w:rsidR="00144B5C">
        <w:rPr>
          <w:rFonts w:cs="Arial"/>
        </w:rPr>
        <w:t xml:space="preserve">. </w:t>
      </w:r>
      <w:r w:rsidR="007E4809">
        <w:rPr>
          <w:rFonts w:cs="Arial"/>
        </w:rPr>
        <w:t>We estimate that this is equivalent to approximate</w:t>
      </w:r>
      <w:r w:rsidR="00B125CE">
        <w:rPr>
          <w:rFonts w:cs="Arial"/>
        </w:rPr>
        <w:t>l</w:t>
      </w:r>
      <w:r w:rsidR="007E4809">
        <w:rPr>
          <w:rFonts w:cs="Arial"/>
        </w:rPr>
        <w:t xml:space="preserve">y 6% of the </w:t>
      </w:r>
      <w:r w:rsidR="00FD5ED8">
        <w:rPr>
          <w:rFonts w:cs="Arial"/>
        </w:rPr>
        <w:t>NEL</w:t>
      </w:r>
      <w:r w:rsidR="007E4809">
        <w:rPr>
          <w:rFonts w:cs="Arial"/>
        </w:rPr>
        <w:t xml:space="preserve"> economy.  </w:t>
      </w:r>
      <w:r w:rsidR="00144B5C">
        <w:rPr>
          <w:rFonts w:cs="Arial"/>
        </w:rPr>
        <w:t xml:space="preserve"> At this stage it should </w:t>
      </w:r>
      <w:r w:rsidR="00FD5ED8">
        <w:rPr>
          <w:rFonts w:cs="Arial"/>
        </w:rPr>
        <w:t xml:space="preserve">be noted </w:t>
      </w:r>
      <w:r w:rsidR="00144B5C">
        <w:rPr>
          <w:rFonts w:cs="Arial"/>
        </w:rPr>
        <w:t>that this</w:t>
      </w:r>
      <w:r w:rsidR="00AA0EF3">
        <w:rPr>
          <w:rFonts w:cs="Arial"/>
        </w:rPr>
        <w:t xml:space="preserve"> relates purely to the visitor economy and</w:t>
      </w:r>
      <w:r w:rsidR="00144B5C">
        <w:rPr>
          <w:rFonts w:cs="Arial"/>
        </w:rPr>
        <w:t xml:space="preserve"> does not represent the whole of </w:t>
      </w:r>
      <w:r w:rsidR="00B125CE">
        <w:rPr>
          <w:rFonts w:cs="Arial"/>
        </w:rPr>
        <w:t xml:space="preserve">the retail and service economy which </w:t>
      </w:r>
      <w:r w:rsidR="007E4809">
        <w:rPr>
          <w:rFonts w:cs="Arial"/>
        </w:rPr>
        <w:t>would be much more significant in terms of</w:t>
      </w:r>
      <w:r w:rsidR="00AA0EF3">
        <w:rPr>
          <w:rFonts w:cs="Arial"/>
        </w:rPr>
        <w:t xml:space="preserve"> total</w:t>
      </w:r>
      <w:r w:rsidR="007E4809">
        <w:rPr>
          <w:rFonts w:cs="Arial"/>
        </w:rPr>
        <w:t xml:space="preserve"> economic value</w:t>
      </w:r>
      <w:r w:rsidR="00FD5ED8">
        <w:rPr>
          <w:rFonts w:cs="Arial"/>
        </w:rPr>
        <w:t xml:space="preserve">. </w:t>
      </w:r>
    </w:p>
    <w:p w14:paraId="0D624C7B" w14:textId="77777777" w:rsidR="00144B5C" w:rsidRDefault="00144B5C" w:rsidP="00C93734">
      <w:pPr>
        <w:pStyle w:val="Caption"/>
        <w:jc w:val="both"/>
      </w:pPr>
      <w:r>
        <w:t xml:space="preserve">Table </w:t>
      </w:r>
      <w:fldSimple w:instr=" STYLEREF 1 \s  \* MERGEFORMAT ">
        <w:r w:rsidR="00E95E1A">
          <w:rPr>
            <w:noProof/>
          </w:rPr>
          <w:t>8</w:t>
        </w:r>
      </w:fldSimple>
      <w:r>
        <w:t>-</w:t>
      </w:r>
      <w:fldSimple w:instr=" SEQ Table \* ARABIC \s 1  \* MERGEFORMAT ">
        <w:r w:rsidR="00E95E1A">
          <w:rPr>
            <w:noProof/>
          </w:rPr>
          <w:t>3</w:t>
        </w:r>
      </w:fldSimple>
      <w:r w:rsidR="00E95E1A">
        <w:tab/>
      </w:r>
      <w:r w:rsidR="002A4A83">
        <w:t>Visitor Economy</w:t>
      </w:r>
      <w:r w:rsidR="00AA0EF3">
        <w:t xml:space="preserve"> - </w:t>
      </w:r>
      <w:r w:rsidR="002A4A83">
        <w:t xml:space="preserve"> Economic Contribution</w:t>
      </w:r>
    </w:p>
    <w:tbl>
      <w:tblPr>
        <w:tblStyle w:val="Atkins14pt"/>
        <w:tblW w:w="10065" w:type="dxa"/>
        <w:tblLayout w:type="fixed"/>
        <w:tblLook w:val="04A0" w:firstRow="1" w:lastRow="0" w:firstColumn="1" w:lastColumn="0" w:noHBand="0" w:noVBand="1"/>
      </w:tblPr>
      <w:tblGrid>
        <w:gridCol w:w="1280"/>
        <w:gridCol w:w="1555"/>
        <w:gridCol w:w="1560"/>
        <w:gridCol w:w="1417"/>
        <w:gridCol w:w="1418"/>
        <w:gridCol w:w="1417"/>
        <w:gridCol w:w="1418"/>
      </w:tblGrid>
      <w:tr w:rsidR="00E95E1A" w:rsidRPr="00E95E1A" w14:paraId="3D512F9F" w14:textId="77777777" w:rsidTr="00AC16FE">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280" w:type="dxa"/>
            <w:noWrap/>
            <w:hideMark/>
          </w:tcPr>
          <w:p w14:paraId="0F1CD2C5" w14:textId="77777777" w:rsidR="00E95E1A" w:rsidRPr="00E95E1A" w:rsidRDefault="00E95E1A" w:rsidP="00E95E1A">
            <w:pPr>
              <w:spacing w:after="0"/>
              <w:rPr>
                <w:rFonts w:eastAsia="Times New Roman"/>
                <w:color w:val="000000"/>
              </w:rPr>
            </w:pPr>
            <w:r w:rsidRPr="00E95E1A">
              <w:rPr>
                <w:rFonts w:eastAsia="Times New Roman"/>
                <w:color w:val="000000"/>
              </w:rPr>
              <w:t>Sector</w:t>
            </w:r>
          </w:p>
        </w:tc>
        <w:tc>
          <w:tcPr>
            <w:tcW w:w="1555" w:type="dxa"/>
            <w:noWrap/>
            <w:hideMark/>
          </w:tcPr>
          <w:p w14:paraId="5FCE7900" w14:textId="77777777" w:rsidR="00E95E1A" w:rsidRPr="00E95E1A" w:rsidRDefault="00E95E1A" w:rsidP="00E95E1A">
            <w:pPr>
              <w:spacing w:after="0"/>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E95E1A">
              <w:rPr>
                <w:rFonts w:eastAsia="Times New Roman"/>
                <w:color w:val="000000"/>
              </w:rPr>
              <w:t>GDP</w:t>
            </w:r>
          </w:p>
        </w:tc>
        <w:tc>
          <w:tcPr>
            <w:tcW w:w="1560" w:type="dxa"/>
            <w:noWrap/>
            <w:hideMark/>
          </w:tcPr>
          <w:p w14:paraId="0F04E000" w14:textId="77777777" w:rsidR="00E95E1A" w:rsidRPr="00E95E1A" w:rsidRDefault="00E95E1A" w:rsidP="00E95E1A">
            <w:pPr>
              <w:spacing w:after="0"/>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E95E1A">
              <w:rPr>
                <w:rFonts w:eastAsia="Times New Roman"/>
                <w:color w:val="000000"/>
              </w:rPr>
              <w:t>Total Purchases</w:t>
            </w:r>
          </w:p>
        </w:tc>
        <w:tc>
          <w:tcPr>
            <w:tcW w:w="1417" w:type="dxa"/>
            <w:noWrap/>
            <w:hideMark/>
          </w:tcPr>
          <w:p w14:paraId="49122229" w14:textId="77777777" w:rsidR="00E95E1A" w:rsidRPr="00E95E1A" w:rsidRDefault="00E95E1A" w:rsidP="00E95E1A">
            <w:pPr>
              <w:spacing w:after="0"/>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E95E1A">
              <w:rPr>
                <w:rFonts w:eastAsia="Times New Roman"/>
                <w:color w:val="000000"/>
              </w:rPr>
              <w:t>Payroll</w:t>
            </w:r>
          </w:p>
        </w:tc>
        <w:tc>
          <w:tcPr>
            <w:tcW w:w="1418" w:type="dxa"/>
            <w:noWrap/>
            <w:hideMark/>
          </w:tcPr>
          <w:p w14:paraId="57B567A5" w14:textId="77777777" w:rsidR="00E95E1A" w:rsidRPr="00E95E1A" w:rsidRDefault="00E95E1A" w:rsidP="00E95E1A">
            <w:pPr>
              <w:spacing w:after="0"/>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E95E1A">
              <w:rPr>
                <w:rFonts w:eastAsia="Times New Roman"/>
                <w:color w:val="000000"/>
              </w:rPr>
              <w:t>Land property</w:t>
            </w:r>
          </w:p>
        </w:tc>
        <w:tc>
          <w:tcPr>
            <w:tcW w:w="1417" w:type="dxa"/>
            <w:noWrap/>
            <w:hideMark/>
          </w:tcPr>
          <w:p w14:paraId="6555FC3B" w14:textId="77777777" w:rsidR="00E95E1A" w:rsidRPr="00E95E1A" w:rsidRDefault="00E95E1A" w:rsidP="00E95E1A">
            <w:pPr>
              <w:spacing w:after="0"/>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E95E1A">
              <w:rPr>
                <w:rFonts w:eastAsia="Times New Roman"/>
                <w:color w:val="000000"/>
              </w:rPr>
              <w:t>Gross Profit</w:t>
            </w:r>
          </w:p>
        </w:tc>
        <w:tc>
          <w:tcPr>
            <w:tcW w:w="1418" w:type="dxa"/>
            <w:noWrap/>
            <w:hideMark/>
          </w:tcPr>
          <w:p w14:paraId="2EBA54BA" w14:textId="77777777" w:rsidR="00E95E1A" w:rsidRPr="00E95E1A" w:rsidRDefault="00E95E1A" w:rsidP="00E95E1A">
            <w:pPr>
              <w:spacing w:after="0"/>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E95E1A">
              <w:rPr>
                <w:rFonts w:eastAsia="Times New Roman"/>
                <w:color w:val="000000"/>
              </w:rPr>
              <w:t>GVA</w:t>
            </w:r>
          </w:p>
        </w:tc>
      </w:tr>
      <w:tr w:rsidR="00E95E1A" w:rsidRPr="00E95E1A" w14:paraId="60151390" w14:textId="77777777" w:rsidTr="00AC16FE">
        <w:trPr>
          <w:trHeight w:val="255"/>
        </w:trPr>
        <w:tc>
          <w:tcPr>
            <w:cnfStyle w:val="001000000000" w:firstRow="0" w:lastRow="0" w:firstColumn="1" w:lastColumn="0" w:oddVBand="0" w:evenVBand="0" w:oddHBand="0" w:evenHBand="0" w:firstRowFirstColumn="0" w:firstRowLastColumn="0" w:lastRowFirstColumn="0" w:lastRowLastColumn="0"/>
            <w:tcW w:w="1280" w:type="dxa"/>
            <w:noWrap/>
            <w:hideMark/>
          </w:tcPr>
          <w:p w14:paraId="6E9CCE9C" w14:textId="77777777" w:rsidR="00E95E1A" w:rsidRPr="00E95E1A" w:rsidRDefault="00AC16FE" w:rsidP="00E95E1A">
            <w:pPr>
              <w:spacing w:after="0"/>
              <w:rPr>
                <w:rFonts w:eastAsia="Times New Roman"/>
                <w:color w:val="000000"/>
              </w:rPr>
            </w:pPr>
            <w:r>
              <w:rPr>
                <w:rFonts w:eastAsia="Times New Roman"/>
                <w:color w:val="000000"/>
              </w:rPr>
              <w:t>Visitor</w:t>
            </w:r>
            <w:r w:rsidR="00E95E1A" w:rsidRPr="00E95E1A">
              <w:rPr>
                <w:rFonts w:eastAsia="Times New Roman"/>
                <w:color w:val="000000"/>
              </w:rPr>
              <w:t xml:space="preserve"> economy</w:t>
            </w:r>
          </w:p>
        </w:tc>
        <w:tc>
          <w:tcPr>
            <w:tcW w:w="1555" w:type="dxa"/>
            <w:noWrap/>
            <w:hideMark/>
          </w:tcPr>
          <w:p w14:paraId="10AF2D70" w14:textId="77777777" w:rsidR="00E95E1A" w:rsidRPr="00E95E1A" w:rsidRDefault="00E95E1A" w:rsidP="00E95E1A">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w:t>
            </w:r>
            <w:r w:rsidRPr="00E95E1A">
              <w:rPr>
                <w:rFonts w:eastAsia="Times New Roman"/>
                <w:color w:val="000000"/>
              </w:rPr>
              <w:t xml:space="preserve">181,998,800 </w:t>
            </w:r>
          </w:p>
        </w:tc>
        <w:tc>
          <w:tcPr>
            <w:tcW w:w="1560" w:type="dxa"/>
            <w:noWrap/>
            <w:hideMark/>
          </w:tcPr>
          <w:p w14:paraId="2B6ED16B" w14:textId="77777777" w:rsidR="00E95E1A" w:rsidRPr="00E95E1A" w:rsidRDefault="00E95E1A" w:rsidP="00E95E1A">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w:t>
            </w:r>
            <w:r w:rsidRPr="00E95E1A">
              <w:rPr>
                <w:rFonts w:eastAsia="Times New Roman"/>
                <w:color w:val="000000"/>
              </w:rPr>
              <w:t xml:space="preserve">66,804,265 </w:t>
            </w:r>
          </w:p>
        </w:tc>
        <w:tc>
          <w:tcPr>
            <w:tcW w:w="1417" w:type="dxa"/>
            <w:noWrap/>
            <w:hideMark/>
          </w:tcPr>
          <w:p w14:paraId="5564C465" w14:textId="77777777" w:rsidR="00E95E1A" w:rsidRPr="00E95E1A" w:rsidRDefault="00E95E1A" w:rsidP="00E95E1A">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w:t>
            </w:r>
            <w:r w:rsidRPr="00E95E1A">
              <w:rPr>
                <w:rFonts w:eastAsia="Times New Roman"/>
                <w:color w:val="000000"/>
              </w:rPr>
              <w:t xml:space="preserve">43,575,713 </w:t>
            </w:r>
          </w:p>
        </w:tc>
        <w:tc>
          <w:tcPr>
            <w:tcW w:w="1418" w:type="dxa"/>
            <w:noWrap/>
            <w:hideMark/>
          </w:tcPr>
          <w:p w14:paraId="15CF3E52" w14:textId="77777777" w:rsidR="00E95E1A" w:rsidRPr="00E95E1A" w:rsidRDefault="00E95E1A" w:rsidP="00E95E1A">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w:t>
            </w:r>
            <w:r w:rsidRPr="00E95E1A">
              <w:rPr>
                <w:rFonts w:eastAsia="Times New Roman"/>
                <w:color w:val="000000"/>
              </w:rPr>
              <w:t xml:space="preserve">26,122,181 </w:t>
            </w:r>
          </w:p>
        </w:tc>
        <w:tc>
          <w:tcPr>
            <w:tcW w:w="1417" w:type="dxa"/>
            <w:noWrap/>
            <w:hideMark/>
          </w:tcPr>
          <w:p w14:paraId="4A968B48" w14:textId="77777777" w:rsidR="00E95E1A" w:rsidRPr="00E95E1A" w:rsidRDefault="00E95E1A" w:rsidP="00E95E1A">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w:t>
            </w:r>
            <w:r w:rsidRPr="00E95E1A">
              <w:rPr>
                <w:rFonts w:eastAsia="Times New Roman"/>
                <w:color w:val="000000"/>
              </w:rPr>
              <w:t xml:space="preserve">45,720,305 </w:t>
            </w:r>
          </w:p>
        </w:tc>
        <w:tc>
          <w:tcPr>
            <w:tcW w:w="1418" w:type="dxa"/>
            <w:noWrap/>
            <w:hideMark/>
          </w:tcPr>
          <w:p w14:paraId="0C6A2B8A" w14:textId="77777777" w:rsidR="00E95E1A" w:rsidRPr="00E95E1A" w:rsidRDefault="00E95E1A" w:rsidP="00E95E1A">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95E1A">
              <w:rPr>
                <w:rFonts w:eastAsia="Times New Roman"/>
                <w:color w:val="000000"/>
              </w:rPr>
              <w:t xml:space="preserve">£89,296,017 </w:t>
            </w:r>
          </w:p>
        </w:tc>
      </w:tr>
      <w:tr w:rsidR="00E95E1A" w:rsidRPr="00E95E1A" w14:paraId="41CEE162" w14:textId="77777777" w:rsidTr="00AC16FE">
        <w:trPr>
          <w:trHeight w:val="255"/>
        </w:trPr>
        <w:tc>
          <w:tcPr>
            <w:cnfStyle w:val="001000000000" w:firstRow="0" w:lastRow="0" w:firstColumn="1" w:lastColumn="0" w:oddVBand="0" w:evenVBand="0" w:oddHBand="0" w:evenHBand="0" w:firstRowFirstColumn="0" w:firstRowLastColumn="0" w:lastRowFirstColumn="0" w:lastRowLastColumn="0"/>
            <w:tcW w:w="1280" w:type="dxa"/>
            <w:noWrap/>
            <w:hideMark/>
          </w:tcPr>
          <w:p w14:paraId="239C71A0" w14:textId="77777777" w:rsidR="00E95E1A" w:rsidRPr="00E95E1A" w:rsidRDefault="00E95E1A" w:rsidP="00E95E1A">
            <w:pPr>
              <w:spacing w:after="0"/>
              <w:rPr>
                <w:rFonts w:eastAsia="Times New Roman"/>
                <w:color w:val="000000"/>
              </w:rPr>
            </w:pPr>
            <w:r w:rsidRPr="00E95E1A">
              <w:rPr>
                <w:rFonts w:eastAsia="Times New Roman"/>
                <w:color w:val="000000"/>
              </w:rPr>
              <w:t>Total</w:t>
            </w:r>
          </w:p>
        </w:tc>
        <w:tc>
          <w:tcPr>
            <w:tcW w:w="1555" w:type="dxa"/>
            <w:noWrap/>
            <w:hideMark/>
          </w:tcPr>
          <w:p w14:paraId="43BFD9B2" w14:textId="77777777" w:rsidR="00E95E1A" w:rsidRPr="00E95E1A" w:rsidRDefault="00E95E1A" w:rsidP="00E95E1A">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£1,740,618,300</w:t>
            </w:r>
          </w:p>
        </w:tc>
        <w:tc>
          <w:tcPr>
            <w:tcW w:w="1560" w:type="dxa"/>
            <w:noWrap/>
            <w:hideMark/>
          </w:tcPr>
          <w:p w14:paraId="320F61F3" w14:textId="77777777" w:rsidR="00E95E1A" w:rsidRPr="00E95E1A" w:rsidRDefault="00E95E1A" w:rsidP="00E95E1A">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95E1A">
              <w:rPr>
                <w:rFonts w:eastAsia="Times New Roman"/>
                <w:color w:val="000000"/>
              </w:rPr>
              <w:t xml:space="preserve">£687,591,325 </w:t>
            </w:r>
          </w:p>
        </w:tc>
        <w:tc>
          <w:tcPr>
            <w:tcW w:w="1417" w:type="dxa"/>
            <w:noWrap/>
            <w:hideMark/>
          </w:tcPr>
          <w:p w14:paraId="132D6A6B" w14:textId="77777777" w:rsidR="00E95E1A" w:rsidRPr="00E95E1A" w:rsidRDefault="00E95E1A" w:rsidP="00E95E1A">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95E1A">
              <w:rPr>
                <w:rFonts w:eastAsia="Times New Roman"/>
                <w:color w:val="000000"/>
              </w:rPr>
              <w:t xml:space="preserve">£464,748,498 </w:t>
            </w:r>
          </w:p>
        </w:tc>
        <w:tc>
          <w:tcPr>
            <w:tcW w:w="1418" w:type="dxa"/>
            <w:noWrap/>
            <w:hideMark/>
          </w:tcPr>
          <w:p w14:paraId="505834C1" w14:textId="77777777" w:rsidR="00E95E1A" w:rsidRPr="00E95E1A" w:rsidRDefault="00E95E1A" w:rsidP="00E95E1A">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w:t>
            </w:r>
            <w:r w:rsidRPr="00E95E1A">
              <w:rPr>
                <w:rFonts w:eastAsia="Times New Roman"/>
                <w:color w:val="000000"/>
              </w:rPr>
              <w:t xml:space="preserve">182,392,375 </w:t>
            </w:r>
          </w:p>
        </w:tc>
        <w:tc>
          <w:tcPr>
            <w:tcW w:w="1417" w:type="dxa"/>
            <w:noWrap/>
            <w:hideMark/>
          </w:tcPr>
          <w:p w14:paraId="62ECBE8E" w14:textId="77777777" w:rsidR="00E95E1A" w:rsidRPr="00E95E1A" w:rsidRDefault="00E95E1A" w:rsidP="00E95E1A">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w:t>
            </w:r>
            <w:r w:rsidRPr="00E95E1A">
              <w:rPr>
                <w:rFonts w:eastAsia="Times New Roman"/>
                <w:color w:val="000000"/>
              </w:rPr>
              <w:t xml:space="preserve">448,059,002 </w:t>
            </w:r>
          </w:p>
        </w:tc>
        <w:tc>
          <w:tcPr>
            <w:tcW w:w="1418" w:type="dxa"/>
            <w:noWrap/>
            <w:hideMark/>
          </w:tcPr>
          <w:p w14:paraId="2F5743C0" w14:textId="77777777" w:rsidR="00E95E1A" w:rsidRPr="00E95E1A" w:rsidRDefault="00E95E1A" w:rsidP="00E95E1A">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95E1A">
              <w:rPr>
                <w:rFonts w:eastAsia="Times New Roman"/>
                <w:color w:val="000000"/>
              </w:rPr>
              <w:t xml:space="preserve">£912,807,499 </w:t>
            </w:r>
          </w:p>
        </w:tc>
      </w:tr>
    </w:tbl>
    <w:p w14:paraId="38A95521" w14:textId="77777777" w:rsidR="00144B5C" w:rsidRPr="002805F3" w:rsidRDefault="00144B5C" w:rsidP="00C93734">
      <w:pPr>
        <w:pStyle w:val="TableSource"/>
        <w:jc w:val="both"/>
      </w:pPr>
      <w:r>
        <w:t>S</w:t>
      </w:r>
      <w:r w:rsidRPr="002805F3">
        <w:t xml:space="preserve">ource: Hill Taylor &amp; Atkins 2013. Atkins Ref: Survey – A5.1/L20. </w:t>
      </w:r>
    </w:p>
    <w:p w14:paraId="53339560" w14:textId="77777777" w:rsidR="006E52FE" w:rsidRDefault="00144B5C" w:rsidP="00C93734">
      <w:pPr>
        <w:jc w:val="both"/>
        <w:rPr>
          <w:rFonts w:cs="Arial"/>
          <w:b/>
        </w:rPr>
      </w:pPr>
      <w:r w:rsidRPr="00F103FE">
        <w:rPr>
          <w:rFonts w:cs="Arial"/>
          <w:b/>
        </w:rPr>
        <w:t xml:space="preserve">Employment </w:t>
      </w:r>
    </w:p>
    <w:p w14:paraId="7CF65B2A" w14:textId="77777777" w:rsidR="00755506" w:rsidRPr="000A0326" w:rsidRDefault="006E52FE" w:rsidP="000A0326">
      <w:pPr>
        <w:jc w:val="both"/>
        <w:rPr>
          <w:rFonts w:cs="Arial"/>
          <w:b/>
        </w:rPr>
      </w:pPr>
      <w:r>
        <w:rPr>
          <w:rFonts w:cs="Arial"/>
        </w:rPr>
        <w:t>T</w:t>
      </w:r>
      <w:r w:rsidR="00144B5C">
        <w:rPr>
          <w:rFonts w:cs="Arial"/>
        </w:rPr>
        <w:t xml:space="preserve">he </w:t>
      </w:r>
      <w:r w:rsidR="00FD5ED8">
        <w:rPr>
          <w:rFonts w:cs="Arial"/>
        </w:rPr>
        <w:t>visitor economy</w:t>
      </w:r>
      <w:r w:rsidR="00144B5C">
        <w:rPr>
          <w:rFonts w:cs="Arial"/>
        </w:rPr>
        <w:t xml:space="preserve"> also contributes</w:t>
      </w:r>
      <w:r w:rsidR="007E4809">
        <w:rPr>
          <w:rFonts w:cs="Arial"/>
        </w:rPr>
        <w:t xml:space="preserve"> to local employment providing approximately </w:t>
      </w:r>
      <w:r w:rsidR="00144B5C">
        <w:rPr>
          <w:rFonts w:cs="Arial"/>
        </w:rPr>
        <w:t xml:space="preserve">4,830 </w:t>
      </w:r>
      <w:r w:rsidR="007E4809">
        <w:rPr>
          <w:rFonts w:cs="Arial"/>
        </w:rPr>
        <w:t xml:space="preserve">direct </w:t>
      </w:r>
      <w:r w:rsidR="00144B5C">
        <w:rPr>
          <w:rFonts w:cs="Arial"/>
        </w:rPr>
        <w:t>local jobs</w:t>
      </w:r>
      <w:r w:rsidR="00144B5C">
        <w:rPr>
          <w:rStyle w:val="FootnoteReference"/>
          <w:rFonts w:cs="Arial"/>
        </w:rPr>
        <w:footnoteReference w:id="31"/>
      </w:r>
      <w:r w:rsidR="00144B5C">
        <w:rPr>
          <w:rFonts w:cs="Arial"/>
        </w:rPr>
        <w:t xml:space="preserve">, 3,860 indirect jobs across the whole economy </w:t>
      </w:r>
      <w:r w:rsidR="00FD5ED8">
        <w:rPr>
          <w:rFonts w:cs="Arial"/>
        </w:rPr>
        <w:t>and supporting a further</w:t>
      </w:r>
      <w:r w:rsidR="00144B5C">
        <w:rPr>
          <w:rFonts w:cs="Arial"/>
        </w:rPr>
        <w:t xml:space="preserve"> 1,440 </w:t>
      </w:r>
      <w:r w:rsidR="007E4809">
        <w:rPr>
          <w:rFonts w:cs="Arial"/>
        </w:rPr>
        <w:t xml:space="preserve">jobs through </w:t>
      </w:r>
      <w:r w:rsidR="00144B5C">
        <w:rPr>
          <w:rFonts w:cs="Arial"/>
        </w:rPr>
        <w:t xml:space="preserve">induced </w:t>
      </w:r>
      <w:r w:rsidR="007E4809">
        <w:rPr>
          <w:rFonts w:cs="Arial"/>
        </w:rPr>
        <w:t>expenditure</w:t>
      </w:r>
      <w:r w:rsidR="00144B5C">
        <w:rPr>
          <w:rFonts w:cs="Arial"/>
        </w:rPr>
        <w:t>.</w:t>
      </w:r>
    </w:p>
    <w:p w14:paraId="12144B8D" w14:textId="77777777" w:rsidR="00144B5C" w:rsidRDefault="00144B5C" w:rsidP="00C93734">
      <w:pPr>
        <w:pStyle w:val="Caption"/>
        <w:jc w:val="both"/>
      </w:pPr>
      <w:r>
        <w:t xml:space="preserve">Table </w:t>
      </w:r>
      <w:fldSimple w:instr=" STYLEREF 1 \s  \* MERGEFORMAT ">
        <w:r w:rsidR="00E95E1A">
          <w:rPr>
            <w:noProof/>
          </w:rPr>
          <w:t>8</w:t>
        </w:r>
      </w:fldSimple>
      <w:r>
        <w:t>-</w:t>
      </w:r>
      <w:fldSimple w:instr=" SEQ Table \* ARABIC \s 1  \* MERGEFORMAT ">
        <w:r w:rsidR="00E95E1A">
          <w:rPr>
            <w:noProof/>
          </w:rPr>
          <w:t>4</w:t>
        </w:r>
      </w:fldSimple>
      <w:r>
        <w:tab/>
        <w:t>Key Sector Employment Summary</w:t>
      </w:r>
      <w:r w:rsidR="00721840">
        <w:t xml:space="preserve"> – Visitor Economy</w:t>
      </w:r>
      <w:r w:rsidR="00925F20">
        <w:t xml:space="preserve"> </w:t>
      </w:r>
    </w:p>
    <w:tbl>
      <w:tblPr>
        <w:tblW w:w="4357" w:type="dxa"/>
        <w:tblInd w:w="89" w:type="dxa"/>
        <w:tblLook w:val="04A0" w:firstRow="1" w:lastRow="0" w:firstColumn="1" w:lastColumn="0" w:noHBand="0" w:noVBand="1"/>
      </w:tblPr>
      <w:tblGrid>
        <w:gridCol w:w="3240"/>
        <w:gridCol w:w="1117"/>
      </w:tblGrid>
      <w:tr w:rsidR="00721840" w:rsidRPr="00144B5C" w14:paraId="1E2ED78F" w14:textId="77777777" w:rsidTr="00721840">
        <w:trPr>
          <w:trHeight w:val="270"/>
        </w:trPr>
        <w:tc>
          <w:tcPr>
            <w:tcW w:w="3240" w:type="dxa"/>
            <w:tcBorders>
              <w:top w:val="single" w:sz="4" w:space="0" w:color="auto"/>
              <w:left w:val="single" w:sz="4" w:space="0" w:color="auto"/>
              <w:bottom w:val="single" w:sz="8" w:space="0" w:color="auto"/>
              <w:right w:val="single" w:sz="8" w:space="0" w:color="000000"/>
            </w:tcBorders>
            <w:shd w:val="clear" w:color="000000" w:fill="BED600"/>
            <w:noWrap/>
            <w:hideMark/>
          </w:tcPr>
          <w:p w14:paraId="2FA32C47" w14:textId="77777777" w:rsidR="00721840" w:rsidRPr="00144B5C" w:rsidRDefault="00721840" w:rsidP="00C93734">
            <w:pPr>
              <w:spacing w:after="0"/>
              <w:jc w:val="both"/>
              <w:rPr>
                <w:rFonts w:eastAsia="Times New Roman" w:cs="Arial"/>
                <w:b/>
                <w:bCs/>
                <w:color w:val="000000"/>
                <w:szCs w:val="20"/>
                <w:lang w:eastAsia="en-GB"/>
              </w:rPr>
            </w:pPr>
            <w:r w:rsidRPr="00144B5C">
              <w:rPr>
                <w:rFonts w:eastAsia="Times New Roman" w:cs="Arial"/>
                <w:b/>
                <w:bCs/>
                <w:color w:val="000000"/>
                <w:szCs w:val="20"/>
                <w:lang w:eastAsia="en-GB"/>
              </w:rPr>
              <w:t>Geography</w:t>
            </w:r>
          </w:p>
        </w:tc>
        <w:tc>
          <w:tcPr>
            <w:tcW w:w="1117" w:type="dxa"/>
            <w:tcBorders>
              <w:top w:val="single" w:sz="4" w:space="0" w:color="auto"/>
              <w:left w:val="nil"/>
              <w:bottom w:val="single" w:sz="8" w:space="0" w:color="auto"/>
              <w:right w:val="single" w:sz="8" w:space="0" w:color="000000"/>
            </w:tcBorders>
            <w:shd w:val="clear" w:color="000000" w:fill="BED600"/>
            <w:noWrap/>
            <w:hideMark/>
          </w:tcPr>
          <w:p w14:paraId="21E66148" w14:textId="77777777" w:rsidR="00721840" w:rsidRPr="00144B5C" w:rsidRDefault="00721840" w:rsidP="00AA0EF3">
            <w:pPr>
              <w:spacing w:after="0"/>
              <w:jc w:val="both"/>
              <w:rPr>
                <w:rFonts w:eastAsia="Times New Roman" w:cs="Arial"/>
                <w:b/>
                <w:bCs/>
                <w:color w:val="000000"/>
                <w:szCs w:val="20"/>
                <w:lang w:eastAsia="en-GB"/>
              </w:rPr>
            </w:pPr>
            <w:r w:rsidRPr="00144B5C">
              <w:rPr>
                <w:rFonts w:eastAsia="Times New Roman" w:cs="Arial"/>
                <w:b/>
                <w:bCs/>
                <w:color w:val="000000"/>
                <w:szCs w:val="20"/>
                <w:lang w:eastAsia="en-GB"/>
              </w:rPr>
              <w:t>Visitor Economy</w:t>
            </w:r>
          </w:p>
        </w:tc>
      </w:tr>
      <w:tr w:rsidR="00721840" w:rsidRPr="00144B5C" w14:paraId="537C5F08" w14:textId="77777777" w:rsidTr="00721840">
        <w:trPr>
          <w:trHeight w:val="270"/>
        </w:trPr>
        <w:tc>
          <w:tcPr>
            <w:tcW w:w="3240" w:type="dxa"/>
            <w:tcBorders>
              <w:top w:val="nil"/>
              <w:left w:val="single" w:sz="4" w:space="0" w:color="auto"/>
              <w:bottom w:val="single" w:sz="8" w:space="0" w:color="000000"/>
              <w:right w:val="single" w:sz="8" w:space="0" w:color="000000"/>
            </w:tcBorders>
            <w:shd w:val="clear" w:color="auto" w:fill="E6E4DE" w:themeFill="accent6"/>
            <w:noWrap/>
            <w:hideMark/>
          </w:tcPr>
          <w:p w14:paraId="0610389C" w14:textId="77777777" w:rsidR="00721840" w:rsidRPr="00144B5C" w:rsidRDefault="009D5E00" w:rsidP="00C93734">
            <w:pPr>
              <w:spacing w:after="0"/>
              <w:jc w:val="both"/>
              <w:rPr>
                <w:rFonts w:eastAsia="Times New Roman" w:cs="Arial"/>
                <w:b/>
                <w:bCs/>
                <w:color w:val="000000"/>
                <w:szCs w:val="20"/>
                <w:lang w:eastAsia="en-GB"/>
              </w:rPr>
            </w:pPr>
            <w:r>
              <w:rPr>
                <w:rFonts w:eastAsia="Times New Roman" w:cs="Arial"/>
                <w:b/>
                <w:bCs/>
                <w:color w:val="000000"/>
                <w:szCs w:val="20"/>
                <w:lang w:eastAsia="en-GB"/>
              </w:rPr>
              <w:t>Direct</w:t>
            </w:r>
            <w:r w:rsidRPr="00144B5C">
              <w:rPr>
                <w:rFonts w:eastAsia="Times New Roman" w:cs="Arial"/>
                <w:b/>
                <w:bCs/>
                <w:color w:val="000000"/>
                <w:szCs w:val="20"/>
                <w:lang w:eastAsia="en-GB"/>
              </w:rPr>
              <w:t xml:space="preserve"> </w:t>
            </w:r>
            <w:r w:rsidR="00721840" w:rsidRPr="00144B5C">
              <w:rPr>
                <w:rFonts w:eastAsia="Times New Roman" w:cs="Arial"/>
                <w:b/>
                <w:bCs/>
                <w:color w:val="000000"/>
                <w:szCs w:val="20"/>
                <w:lang w:eastAsia="en-GB"/>
              </w:rPr>
              <w:t>Jobs</w:t>
            </w:r>
          </w:p>
        </w:tc>
        <w:tc>
          <w:tcPr>
            <w:tcW w:w="1117" w:type="dxa"/>
            <w:tcBorders>
              <w:top w:val="nil"/>
              <w:left w:val="nil"/>
              <w:bottom w:val="single" w:sz="8" w:space="0" w:color="000000"/>
              <w:right w:val="nil"/>
            </w:tcBorders>
            <w:shd w:val="clear" w:color="auto" w:fill="E6E4DE" w:themeFill="accent6"/>
            <w:vAlign w:val="bottom"/>
            <w:hideMark/>
          </w:tcPr>
          <w:p w14:paraId="375859DE" w14:textId="77777777" w:rsidR="00721840" w:rsidRPr="00144B5C" w:rsidRDefault="00721840" w:rsidP="00C93734">
            <w:pPr>
              <w:spacing w:after="0"/>
              <w:jc w:val="both"/>
              <w:rPr>
                <w:rFonts w:eastAsia="Times New Roman" w:cs="Arial"/>
                <w:color w:val="394A58"/>
                <w:szCs w:val="20"/>
                <w:lang w:eastAsia="en-GB"/>
              </w:rPr>
            </w:pPr>
            <w:r w:rsidRPr="00144B5C">
              <w:rPr>
                <w:rFonts w:eastAsia="Times New Roman" w:cs="Arial"/>
                <w:color w:val="394A58"/>
                <w:szCs w:val="20"/>
                <w:lang w:eastAsia="en-GB"/>
              </w:rPr>
              <w:t> </w:t>
            </w:r>
          </w:p>
        </w:tc>
      </w:tr>
      <w:tr w:rsidR="00721840" w:rsidRPr="00144B5C" w14:paraId="397A9DB0" w14:textId="77777777" w:rsidTr="00721840">
        <w:trPr>
          <w:trHeight w:val="270"/>
        </w:trPr>
        <w:tc>
          <w:tcPr>
            <w:tcW w:w="3240" w:type="dxa"/>
            <w:tcBorders>
              <w:top w:val="nil"/>
              <w:left w:val="single" w:sz="4" w:space="0" w:color="auto"/>
              <w:bottom w:val="single" w:sz="8" w:space="0" w:color="000000"/>
              <w:right w:val="single" w:sz="8" w:space="0" w:color="000000"/>
            </w:tcBorders>
            <w:shd w:val="clear" w:color="auto" w:fill="auto"/>
            <w:noWrap/>
            <w:hideMark/>
          </w:tcPr>
          <w:p w14:paraId="65569763" w14:textId="77777777" w:rsidR="00721840" w:rsidRPr="00144B5C" w:rsidRDefault="00721840" w:rsidP="00C93734">
            <w:pPr>
              <w:spacing w:after="0"/>
              <w:jc w:val="both"/>
              <w:rPr>
                <w:rFonts w:eastAsia="Times New Roman" w:cs="Arial"/>
                <w:color w:val="000000"/>
                <w:szCs w:val="20"/>
                <w:lang w:eastAsia="en-GB"/>
              </w:rPr>
            </w:pPr>
            <w:r w:rsidRPr="00144B5C">
              <w:rPr>
                <w:rFonts w:eastAsia="Times New Roman" w:cs="Arial"/>
                <w:color w:val="000000"/>
                <w:szCs w:val="20"/>
                <w:lang w:eastAsia="en-GB"/>
              </w:rPr>
              <w:t>North East Lincolnshire</w:t>
            </w:r>
          </w:p>
        </w:tc>
        <w:tc>
          <w:tcPr>
            <w:tcW w:w="1117" w:type="dxa"/>
            <w:tcBorders>
              <w:top w:val="nil"/>
              <w:left w:val="nil"/>
              <w:bottom w:val="single" w:sz="8" w:space="0" w:color="000000"/>
              <w:right w:val="single" w:sz="8" w:space="0" w:color="000000"/>
            </w:tcBorders>
            <w:shd w:val="clear" w:color="auto" w:fill="auto"/>
            <w:noWrap/>
            <w:hideMark/>
          </w:tcPr>
          <w:p w14:paraId="45FA96DE" w14:textId="77777777" w:rsidR="00721840" w:rsidRPr="00144B5C" w:rsidRDefault="00721840" w:rsidP="00C93734">
            <w:pPr>
              <w:spacing w:after="0"/>
              <w:jc w:val="both"/>
              <w:rPr>
                <w:rFonts w:eastAsia="Times New Roman" w:cs="Arial"/>
                <w:color w:val="000000"/>
                <w:szCs w:val="20"/>
                <w:lang w:eastAsia="en-GB"/>
              </w:rPr>
            </w:pPr>
            <w:r w:rsidRPr="00144B5C">
              <w:rPr>
                <w:rFonts w:eastAsia="Times New Roman" w:cs="Arial"/>
                <w:color w:val="000000"/>
                <w:szCs w:val="20"/>
                <w:lang w:eastAsia="en-GB"/>
              </w:rPr>
              <w:t>4,830</w:t>
            </w:r>
          </w:p>
        </w:tc>
      </w:tr>
      <w:tr w:rsidR="00721840" w:rsidRPr="00144B5C" w14:paraId="4B9FF549" w14:textId="77777777" w:rsidTr="00721840">
        <w:trPr>
          <w:trHeight w:val="270"/>
        </w:trPr>
        <w:tc>
          <w:tcPr>
            <w:tcW w:w="3240" w:type="dxa"/>
            <w:tcBorders>
              <w:top w:val="nil"/>
              <w:left w:val="single" w:sz="4" w:space="0" w:color="auto"/>
              <w:bottom w:val="single" w:sz="8" w:space="0" w:color="000000"/>
              <w:right w:val="single" w:sz="8" w:space="0" w:color="000000"/>
            </w:tcBorders>
            <w:shd w:val="clear" w:color="000000" w:fill="E6E4DE"/>
            <w:noWrap/>
            <w:hideMark/>
          </w:tcPr>
          <w:p w14:paraId="30003704" w14:textId="77777777" w:rsidR="00721840" w:rsidRPr="00144B5C" w:rsidRDefault="00721840" w:rsidP="00C93734">
            <w:pPr>
              <w:spacing w:after="0"/>
              <w:jc w:val="both"/>
              <w:rPr>
                <w:rFonts w:eastAsia="Times New Roman" w:cs="Arial"/>
                <w:b/>
                <w:bCs/>
                <w:color w:val="000000"/>
                <w:szCs w:val="20"/>
                <w:lang w:eastAsia="en-GB"/>
              </w:rPr>
            </w:pPr>
            <w:r w:rsidRPr="00144B5C">
              <w:rPr>
                <w:rFonts w:eastAsia="Times New Roman" w:cs="Arial"/>
                <w:b/>
                <w:bCs/>
                <w:color w:val="000000"/>
                <w:szCs w:val="20"/>
                <w:lang w:eastAsia="en-GB"/>
              </w:rPr>
              <w:t>Indirect Jobs</w:t>
            </w:r>
          </w:p>
        </w:tc>
        <w:tc>
          <w:tcPr>
            <w:tcW w:w="1117" w:type="dxa"/>
            <w:tcBorders>
              <w:top w:val="nil"/>
              <w:left w:val="nil"/>
              <w:bottom w:val="single" w:sz="8" w:space="0" w:color="000000"/>
              <w:right w:val="nil"/>
            </w:tcBorders>
            <w:shd w:val="clear" w:color="auto" w:fill="E6E4DE" w:themeFill="accent6"/>
            <w:vAlign w:val="bottom"/>
            <w:hideMark/>
          </w:tcPr>
          <w:p w14:paraId="134B5246" w14:textId="77777777" w:rsidR="00721840" w:rsidRPr="00144B5C" w:rsidRDefault="00721840" w:rsidP="00C93734">
            <w:pPr>
              <w:spacing w:after="0"/>
              <w:jc w:val="both"/>
              <w:rPr>
                <w:rFonts w:eastAsia="Times New Roman" w:cs="Arial"/>
                <w:color w:val="394A58"/>
                <w:szCs w:val="20"/>
                <w:lang w:eastAsia="en-GB"/>
              </w:rPr>
            </w:pPr>
            <w:r w:rsidRPr="00144B5C">
              <w:rPr>
                <w:rFonts w:eastAsia="Times New Roman" w:cs="Arial"/>
                <w:color w:val="394A58"/>
                <w:szCs w:val="20"/>
                <w:lang w:eastAsia="en-GB"/>
              </w:rPr>
              <w:t> </w:t>
            </w:r>
          </w:p>
        </w:tc>
      </w:tr>
      <w:tr w:rsidR="00721840" w:rsidRPr="00144B5C" w14:paraId="022EE2EE" w14:textId="77777777" w:rsidTr="00721840">
        <w:trPr>
          <w:trHeight w:val="270"/>
        </w:trPr>
        <w:tc>
          <w:tcPr>
            <w:tcW w:w="3240" w:type="dxa"/>
            <w:tcBorders>
              <w:top w:val="nil"/>
              <w:left w:val="single" w:sz="4" w:space="0" w:color="auto"/>
              <w:bottom w:val="single" w:sz="8" w:space="0" w:color="000000"/>
              <w:right w:val="single" w:sz="8" w:space="0" w:color="000000"/>
            </w:tcBorders>
            <w:shd w:val="clear" w:color="auto" w:fill="auto"/>
            <w:noWrap/>
            <w:hideMark/>
          </w:tcPr>
          <w:p w14:paraId="5291D1A7" w14:textId="77777777" w:rsidR="00721840" w:rsidRPr="00144B5C" w:rsidRDefault="00721840" w:rsidP="00C93734">
            <w:pPr>
              <w:spacing w:after="0"/>
              <w:jc w:val="both"/>
              <w:rPr>
                <w:rFonts w:eastAsia="Times New Roman" w:cs="Arial"/>
                <w:color w:val="000000"/>
                <w:szCs w:val="20"/>
                <w:lang w:eastAsia="en-GB"/>
              </w:rPr>
            </w:pPr>
            <w:r w:rsidRPr="00144B5C">
              <w:rPr>
                <w:rFonts w:eastAsia="Times New Roman" w:cs="Arial"/>
                <w:color w:val="000000"/>
                <w:szCs w:val="20"/>
                <w:lang w:eastAsia="en-GB"/>
              </w:rPr>
              <w:t>N.&amp; N.E Lincolnshire &amp; Humber</w:t>
            </w:r>
          </w:p>
        </w:tc>
        <w:tc>
          <w:tcPr>
            <w:tcW w:w="1117" w:type="dxa"/>
            <w:tcBorders>
              <w:top w:val="nil"/>
              <w:left w:val="nil"/>
              <w:bottom w:val="single" w:sz="8" w:space="0" w:color="000000"/>
              <w:right w:val="single" w:sz="8" w:space="0" w:color="000000"/>
            </w:tcBorders>
            <w:shd w:val="clear" w:color="auto" w:fill="auto"/>
            <w:noWrap/>
            <w:hideMark/>
          </w:tcPr>
          <w:p w14:paraId="3F24CF3B" w14:textId="77777777" w:rsidR="00721840" w:rsidRPr="00144B5C" w:rsidRDefault="00721840" w:rsidP="00C93734">
            <w:pPr>
              <w:spacing w:after="0"/>
              <w:jc w:val="both"/>
              <w:rPr>
                <w:rFonts w:eastAsia="Times New Roman" w:cs="Arial"/>
                <w:color w:val="000000"/>
                <w:szCs w:val="20"/>
                <w:lang w:eastAsia="en-GB"/>
              </w:rPr>
            </w:pPr>
            <w:r w:rsidRPr="00144B5C">
              <w:rPr>
                <w:rFonts w:eastAsia="Times New Roman" w:cs="Arial"/>
                <w:color w:val="000000"/>
                <w:szCs w:val="20"/>
                <w:lang w:eastAsia="en-GB"/>
              </w:rPr>
              <w:t>1,570</w:t>
            </w:r>
          </w:p>
        </w:tc>
      </w:tr>
      <w:tr w:rsidR="00721840" w:rsidRPr="00144B5C" w14:paraId="35C2D452" w14:textId="77777777" w:rsidTr="00721840">
        <w:trPr>
          <w:trHeight w:val="270"/>
        </w:trPr>
        <w:tc>
          <w:tcPr>
            <w:tcW w:w="3240" w:type="dxa"/>
            <w:tcBorders>
              <w:top w:val="nil"/>
              <w:left w:val="single" w:sz="4" w:space="0" w:color="auto"/>
              <w:bottom w:val="single" w:sz="8" w:space="0" w:color="000000"/>
              <w:right w:val="single" w:sz="8" w:space="0" w:color="000000"/>
            </w:tcBorders>
            <w:shd w:val="clear" w:color="auto" w:fill="auto"/>
            <w:noWrap/>
            <w:hideMark/>
          </w:tcPr>
          <w:p w14:paraId="5BC4656E" w14:textId="77777777" w:rsidR="00721840" w:rsidRPr="00144B5C" w:rsidRDefault="00721840" w:rsidP="00C93734">
            <w:pPr>
              <w:spacing w:after="0"/>
              <w:jc w:val="both"/>
              <w:rPr>
                <w:rFonts w:eastAsia="Times New Roman" w:cs="Arial"/>
                <w:color w:val="000000"/>
                <w:szCs w:val="20"/>
                <w:lang w:eastAsia="en-GB"/>
              </w:rPr>
            </w:pPr>
            <w:r w:rsidRPr="00144B5C">
              <w:rPr>
                <w:rFonts w:eastAsia="Times New Roman" w:cs="Arial"/>
                <w:color w:val="000000"/>
                <w:szCs w:val="20"/>
                <w:lang w:eastAsia="en-GB"/>
              </w:rPr>
              <w:t>Elsewhere in Yorkshire and Humber</w:t>
            </w:r>
          </w:p>
        </w:tc>
        <w:tc>
          <w:tcPr>
            <w:tcW w:w="1117" w:type="dxa"/>
            <w:tcBorders>
              <w:top w:val="nil"/>
              <w:left w:val="nil"/>
              <w:bottom w:val="single" w:sz="8" w:space="0" w:color="000000"/>
              <w:right w:val="single" w:sz="8" w:space="0" w:color="000000"/>
            </w:tcBorders>
            <w:shd w:val="clear" w:color="auto" w:fill="auto"/>
            <w:noWrap/>
            <w:hideMark/>
          </w:tcPr>
          <w:p w14:paraId="187403CF" w14:textId="77777777" w:rsidR="00721840" w:rsidRPr="00144B5C" w:rsidRDefault="00721840" w:rsidP="00C93734">
            <w:pPr>
              <w:spacing w:after="0"/>
              <w:jc w:val="both"/>
              <w:rPr>
                <w:rFonts w:eastAsia="Times New Roman" w:cs="Arial"/>
                <w:color w:val="000000"/>
                <w:szCs w:val="20"/>
                <w:lang w:eastAsia="en-GB"/>
              </w:rPr>
            </w:pPr>
            <w:r w:rsidRPr="00144B5C">
              <w:rPr>
                <w:rFonts w:eastAsia="Times New Roman" w:cs="Arial"/>
                <w:color w:val="000000"/>
                <w:szCs w:val="20"/>
                <w:lang w:eastAsia="en-GB"/>
              </w:rPr>
              <w:t>1,210</w:t>
            </w:r>
          </w:p>
        </w:tc>
      </w:tr>
      <w:tr w:rsidR="00721840" w:rsidRPr="00144B5C" w14:paraId="294CDE8D" w14:textId="77777777" w:rsidTr="00721840">
        <w:trPr>
          <w:trHeight w:val="270"/>
        </w:trPr>
        <w:tc>
          <w:tcPr>
            <w:tcW w:w="3240" w:type="dxa"/>
            <w:tcBorders>
              <w:top w:val="nil"/>
              <w:left w:val="single" w:sz="4" w:space="0" w:color="auto"/>
              <w:bottom w:val="single" w:sz="8" w:space="0" w:color="000000"/>
              <w:right w:val="single" w:sz="8" w:space="0" w:color="000000"/>
            </w:tcBorders>
            <w:shd w:val="clear" w:color="auto" w:fill="auto"/>
            <w:noWrap/>
            <w:hideMark/>
          </w:tcPr>
          <w:p w14:paraId="0E582981" w14:textId="77777777" w:rsidR="00721840" w:rsidRPr="00144B5C" w:rsidRDefault="00721840" w:rsidP="00C93734">
            <w:pPr>
              <w:spacing w:after="0"/>
              <w:jc w:val="both"/>
              <w:rPr>
                <w:rFonts w:eastAsia="Times New Roman" w:cs="Arial"/>
                <w:color w:val="000000"/>
                <w:szCs w:val="20"/>
                <w:lang w:eastAsia="en-GB"/>
              </w:rPr>
            </w:pPr>
            <w:r w:rsidRPr="00144B5C">
              <w:rPr>
                <w:rFonts w:eastAsia="Times New Roman" w:cs="Arial"/>
                <w:color w:val="000000"/>
                <w:szCs w:val="20"/>
                <w:lang w:eastAsia="en-GB"/>
              </w:rPr>
              <w:t>Outside L/H</w:t>
            </w:r>
          </w:p>
        </w:tc>
        <w:tc>
          <w:tcPr>
            <w:tcW w:w="1117" w:type="dxa"/>
            <w:tcBorders>
              <w:top w:val="nil"/>
              <w:left w:val="nil"/>
              <w:bottom w:val="single" w:sz="8" w:space="0" w:color="000000"/>
              <w:right w:val="single" w:sz="8" w:space="0" w:color="000000"/>
            </w:tcBorders>
            <w:shd w:val="clear" w:color="auto" w:fill="auto"/>
            <w:noWrap/>
            <w:hideMark/>
          </w:tcPr>
          <w:p w14:paraId="673CF9ED" w14:textId="77777777" w:rsidR="00721840" w:rsidRPr="00144B5C" w:rsidRDefault="00721840" w:rsidP="00C93734">
            <w:pPr>
              <w:spacing w:after="0"/>
              <w:jc w:val="both"/>
              <w:rPr>
                <w:rFonts w:eastAsia="Times New Roman" w:cs="Arial"/>
                <w:color w:val="000000"/>
                <w:szCs w:val="20"/>
                <w:lang w:eastAsia="en-GB"/>
              </w:rPr>
            </w:pPr>
            <w:r w:rsidRPr="00144B5C">
              <w:rPr>
                <w:rFonts w:eastAsia="Times New Roman" w:cs="Arial"/>
                <w:color w:val="000000"/>
                <w:szCs w:val="20"/>
                <w:lang w:eastAsia="en-GB"/>
              </w:rPr>
              <w:t>1,080</w:t>
            </w:r>
          </w:p>
        </w:tc>
      </w:tr>
      <w:tr w:rsidR="00721840" w:rsidRPr="00144B5C" w14:paraId="447D69B7" w14:textId="77777777" w:rsidTr="00721840">
        <w:trPr>
          <w:trHeight w:val="270"/>
        </w:trPr>
        <w:tc>
          <w:tcPr>
            <w:tcW w:w="3240" w:type="dxa"/>
            <w:tcBorders>
              <w:top w:val="nil"/>
              <w:left w:val="single" w:sz="4" w:space="0" w:color="auto"/>
              <w:bottom w:val="single" w:sz="8" w:space="0" w:color="000000"/>
              <w:right w:val="single" w:sz="8" w:space="0" w:color="000000"/>
            </w:tcBorders>
            <w:shd w:val="clear" w:color="auto" w:fill="auto"/>
            <w:noWrap/>
            <w:hideMark/>
          </w:tcPr>
          <w:p w14:paraId="05029ED1" w14:textId="77777777" w:rsidR="00721840" w:rsidRPr="00144B5C" w:rsidRDefault="00721840" w:rsidP="00C93734">
            <w:pPr>
              <w:spacing w:after="0"/>
              <w:jc w:val="both"/>
              <w:rPr>
                <w:rFonts w:eastAsia="Times New Roman" w:cs="Arial"/>
                <w:b/>
                <w:bCs/>
                <w:color w:val="000000"/>
                <w:szCs w:val="20"/>
                <w:lang w:eastAsia="en-GB"/>
              </w:rPr>
            </w:pPr>
            <w:r w:rsidRPr="00144B5C">
              <w:rPr>
                <w:rFonts w:eastAsia="Times New Roman" w:cs="Arial"/>
                <w:b/>
                <w:bCs/>
                <w:color w:val="000000"/>
                <w:szCs w:val="20"/>
                <w:lang w:eastAsia="en-GB"/>
              </w:rPr>
              <w:t>Total</w:t>
            </w:r>
          </w:p>
        </w:tc>
        <w:tc>
          <w:tcPr>
            <w:tcW w:w="1117" w:type="dxa"/>
            <w:tcBorders>
              <w:top w:val="nil"/>
              <w:left w:val="nil"/>
              <w:bottom w:val="single" w:sz="8" w:space="0" w:color="000000"/>
              <w:right w:val="single" w:sz="8" w:space="0" w:color="000000"/>
            </w:tcBorders>
            <w:shd w:val="clear" w:color="auto" w:fill="auto"/>
            <w:noWrap/>
            <w:vAlign w:val="bottom"/>
            <w:hideMark/>
          </w:tcPr>
          <w:p w14:paraId="5093785D" w14:textId="77777777" w:rsidR="00721840" w:rsidRPr="00144B5C" w:rsidRDefault="00721840" w:rsidP="00C93734">
            <w:pPr>
              <w:spacing w:after="0"/>
              <w:jc w:val="both"/>
              <w:rPr>
                <w:rFonts w:eastAsia="Times New Roman" w:cs="Arial"/>
                <w:b/>
                <w:bCs/>
                <w:color w:val="000000"/>
                <w:szCs w:val="20"/>
                <w:lang w:eastAsia="en-GB"/>
              </w:rPr>
            </w:pPr>
            <w:r w:rsidRPr="00144B5C">
              <w:rPr>
                <w:rFonts w:eastAsia="Times New Roman" w:cs="Arial"/>
                <w:b/>
                <w:bCs/>
                <w:color w:val="000000"/>
                <w:szCs w:val="20"/>
                <w:lang w:eastAsia="en-GB"/>
              </w:rPr>
              <w:t>3,860</w:t>
            </w:r>
          </w:p>
        </w:tc>
      </w:tr>
      <w:tr w:rsidR="00721840" w:rsidRPr="00144B5C" w14:paraId="7BF6F99F" w14:textId="77777777" w:rsidTr="00721840">
        <w:trPr>
          <w:trHeight w:val="270"/>
        </w:trPr>
        <w:tc>
          <w:tcPr>
            <w:tcW w:w="3240" w:type="dxa"/>
            <w:tcBorders>
              <w:top w:val="nil"/>
              <w:left w:val="single" w:sz="4" w:space="0" w:color="auto"/>
              <w:bottom w:val="single" w:sz="8" w:space="0" w:color="000000"/>
              <w:right w:val="single" w:sz="8" w:space="0" w:color="000000"/>
            </w:tcBorders>
            <w:shd w:val="clear" w:color="000000" w:fill="E6E4DE"/>
            <w:noWrap/>
            <w:hideMark/>
          </w:tcPr>
          <w:p w14:paraId="1A4D7AD5" w14:textId="77777777" w:rsidR="00721840" w:rsidRPr="00144B5C" w:rsidRDefault="00721840" w:rsidP="00C93734">
            <w:pPr>
              <w:spacing w:after="0"/>
              <w:jc w:val="both"/>
              <w:rPr>
                <w:rFonts w:eastAsia="Times New Roman" w:cs="Arial"/>
                <w:b/>
                <w:bCs/>
                <w:color w:val="000000"/>
                <w:szCs w:val="20"/>
                <w:lang w:eastAsia="en-GB"/>
              </w:rPr>
            </w:pPr>
            <w:r w:rsidRPr="00144B5C">
              <w:rPr>
                <w:rFonts w:eastAsia="Times New Roman" w:cs="Arial"/>
                <w:b/>
                <w:bCs/>
                <w:color w:val="000000"/>
                <w:szCs w:val="20"/>
                <w:lang w:eastAsia="en-GB"/>
              </w:rPr>
              <w:t>Induced</w:t>
            </w:r>
          </w:p>
        </w:tc>
        <w:tc>
          <w:tcPr>
            <w:tcW w:w="1117" w:type="dxa"/>
            <w:tcBorders>
              <w:top w:val="nil"/>
              <w:left w:val="nil"/>
              <w:bottom w:val="single" w:sz="8" w:space="0" w:color="000000"/>
              <w:right w:val="nil"/>
            </w:tcBorders>
            <w:shd w:val="clear" w:color="auto" w:fill="E6E4DE" w:themeFill="accent6"/>
            <w:vAlign w:val="bottom"/>
            <w:hideMark/>
          </w:tcPr>
          <w:p w14:paraId="296DFFB1" w14:textId="77777777" w:rsidR="00721840" w:rsidRPr="00144B5C" w:rsidRDefault="00721840" w:rsidP="00C93734">
            <w:pPr>
              <w:spacing w:after="0"/>
              <w:jc w:val="both"/>
              <w:rPr>
                <w:rFonts w:eastAsia="Times New Roman" w:cs="Arial"/>
                <w:color w:val="394A58"/>
                <w:szCs w:val="20"/>
                <w:lang w:eastAsia="en-GB"/>
              </w:rPr>
            </w:pPr>
            <w:r w:rsidRPr="00144B5C">
              <w:rPr>
                <w:rFonts w:eastAsia="Times New Roman" w:cs="Arial"/>
                <w:color w:val="394A58"/>
                <w:szCs w:val="20"/>
                <w:lang w:eastAsia="en-GB"/>
              </w:rPr>
              <w:t> </w:t>
            </w:r>
          </w:p>
        </w:tc>
      </w:tr>
      <w:tr w:rsidR="00721840" w:rsidRPr="00144B5C" w14:paraId="6047816C" w14:textId="77777777" w:rsidTr="00721840">
        <w:trPr>
          <w:trHeight w:val="270"/>
        </w:trPr>
        <w:tc>
          <w:tcPr>
            <w:tcW w:w="3240" w:type="dxa"/>
            <w:tcBorders>
              <w:top w:val="nil"/>
              <w:left w:val="single" w:sz="4" w:space="0" w:color="auto"/>
              <w:bottom w:val="single" w:sz="8" w:space="0" w:color="000000"/>
              <w:right w:val="single" w:sz="8" w:space="0" w:color="000000"/>
            </w:tcBorders>
            <w:shd w:val="clear" w:color="auto" w:fill="auto"/>
            <w:noWrap/>
            <w:hideMark/>
          </w:tcPr>
          <w:p w14:paraId="4CD33E2D" w14:textId="77777777" w:rsidR="00721840" w:rsidRPr="00144B5C" w:rsidRDefault="00721840" w:rsidP="00C93734">
            <w:pPr>
              <w:spacing w:after="0"/>
              <w:jc w:val="both"/>
              <w:rPr>
                <w:rFonts w:eastAsia="Times New Roman" w:cs="Arial"/>
                <w:color w:val="000000"/>
                <w:szCs w:val="20"/>
                <w:lang w:eastAsia="en-GB"/>
              </w:rPr>
            </w:pPr>
            <w:r w:rsidRPr="00144B5C">
              <w:rPr>
                <w:rFonts w:eastAsia="Times New Roman" w:cs="Arial"/>
                <w:color w:val="000000"/>
                <w:szCs w:val="20"/>
                <w:lang w:eastAsia="en-GB"/>
              </w:rPr>
              <w:t>N.&amp; N.E Lincolnshire &amp; Humber</w:t>
            </w:r>
          </w:p>
        </w:tc>
        <w:tc>
          <w:tcPr>
            <w:tcW w:w="1117" w:type="dxa"/>
            <w:tcBorders>
              <w:top w:val="nil"/>
              <w:left w:val="nil"/>
              <w:bottom w:val="single" w:sz="8" w:space="0" w:color="000000"/>
              <w:right w:val="single" w:sz="8" w:space="0" w:color="000000"/>
            </w:tcBorders>
            <w:shd w:val="clear" w:color="auto" w:fill="auto"/>
            <w:noWrap/>
            <w:hideMark/>
          </w:tcPr>
          <w:p w14:paraId="5F051019" w14:textId="77777777" w:rsidR="00721840" w:rsidRPr="00144B5C" w:rsidRDefault="00721840" w:rsidP="00C93734">
            <w:pPr>
              <w:spacing w:after="0"/>
              <w:jc w:val="both"/>
              <w:rPr>
                <w:rFonts w:eastAsia="Times New Roman" w:cs="Arial"/>
                <w:color w:val="000000"/>
                <w:szCs w:val="20"/>
                <w:lang w:eastAsia="en-GB"/>
              </w:rPr>
            </w:pPr>
            <w:r w:rsidRPr="00144B5C">
              <w:rPr>
                <w:rFonts w:eastAsia="Times New Roman" w:cs="Arial"/>
                <w:color w:val="000000"/>
                <w:szCs w:val="20"/>
                <w:lang w:eastAsia="en-GB"/>
              </w:rPr>
              <w:t>590</w:t>
            </w:r>
          </w:p>
        </w:tc>
      </w:tr>
      <w:tr w:rsidR="00721840" w:rsidRPr="00144B5C" w14:paraId="42891A84" w14:textId="77777777" w:rsidTr="00721840">
        <w:trPr>
          <w:trHeight w:val="270"/>
        </w:trPr>
        <w:tc>
          <w:tcPr>
            <w:tcW w:w="3240" w:type="dxa"/>
            <w:tcBorders>
              <w:top w:val="nil"/>
              <w:left w:val="single" w:sz="4" w:space="0" w:color="auto"/>
              <w:bottom w:val="single" w:sz="8" w:space="0" w:color="000000"/>
              <w:right w:val="single" w:sz="8" w:space="0" w:color="000000"/>
            </w:tcBorders>
            <w:shd w:val="clear" w:color="auto" w:fill="auto"/>
            <w:noWrap/>
            <w:hideMark/>
          </w:tcPr>
          <w:p w14:paraId="323CED1E" w14:textId="77777777" w:rsidR="00721840" w:rsidRPr="00144B5C" w:rsidRDefault="00721840" w:rsidP="00C93734">
            <w:pPr>
              <w:spacing w:after="0"/>
              <w:jc w:val="both"/>
              <w:rPr>
                <w:rFonts w:eastAsia="Times New Roman" w:cs="Arial"/>
                <w:color w:val="000000"/>
                <w:szCs w:val="20"/>
                <w:lang w:eastAsia="en-GB"/>
              </w:rPr>
            </w:pPr>
            <w:r w:rsidRPr="00144B5C">
              <w:rPr>
                <w:rFonts w:eastAsia="Times New Roman" w:cs="Arial"/>
                <w:color w:val="000000"/>
                <w:szCs w:val="20"/>
                <w:lang w:eastAsia="en-GB"/>
              </w:rPr>
              <w:t>Elsewhere in Yorkshire and Humber</w:t>
            </w:r>
          </w:p>
        </w:tc>
        <w:tc>
          <w:tcPr>
            <w:tcW w:w="1117" w:type="dxa"/>
            <w:tcBorders>
              <w:top w:val="nil"/>
              <w:left w:val="nil"/>
              <w:bottom w:val="single" w:sz="8" w:space="0" w:color="000000"/>
              <w:right w:val="single" w:sz="8" w:space="0" w:color="000000"/>
            </w:tcBorders>
            <w:shd w:val="clear" w:color="auto" w:fill="auto"/>
            <w:noWrap/>
            <w:hideMark/>
          </w:tcPr>
          <w:p w14:paraId="66616C6A" w14:textId="77777777" w:rsidR="00721840" w:rsidRPr="00144B5C" w:rsidRDefault="00721840" w:rsidP="00C93734">
            <w:pPr>
              <w:spacing w:after="0"/>
              <w:jc w:val="both"/>
              <w:rPr>
                <w:rFonts w:eastAsia="Times New Roman" w:cs="Arial"/>
                <w:color w:val="000000"/>
                <w:szCs w:val="20"/>
                <w:lang w:eastAsia="en-GB"/>
              </w:rPr>
            </w:pPr>
            <w:r w:rsidRPr="00144B5C">
              <w:rPr>
                <w:rFonts w:eastAsia="Times New Roman" w:cs="Arial"/>
                <w:color w:val="000000"/>
                <w:szCs w:val="20"/>
                <w:lang w:eastAsia="en-GB"/>
              </w:rPr>
              <w:t>450</w:t>
            </w:r>
          </w:p>
        </w:tc>
      </w:tr>
      <w:tr w:rsidR="00721840" w:rsidRPr="00144B5C" w14:paraId="622979CC" w14:textId="77777777" w:rsidTr="00721840">
        <w:trPr>
          <w:trHeight w:val="270"/>
        </w:trPr>
        <w:tc>
          <w:tcPr>
            <w:tcW w:w="3240" w:type="dxa"/>
            <w:tcBorders>
              <w:top w:val="nil"/>
              <w:left w:val="single" w:sz="4" w:space="0" w:color="auto"/>
              <w:bottom w:val="single" w:sz="8" w:space="0" w:color="000000"/>
              <w:right w:val="single" w:sz="8" w:space="0" w:color="000000"/>
            </w:tcBorders>
            <w:shd w:val="clear" w:color="auto" w:fill="auto"/>
            <w:noWrap/>
            <w:hideMark/>
          </w:tcPr>
          <w:p w14:paraId="20CB0509" w14:textId="77777777" w:rsidR="00721840" w:rsidRPr="00144B5C" w:rsidRDefault="00721840" w:rsidP="00C93734">
            <w:pPr>
              <w:spacing w:after="0"/>
              <w:jc w:val="both"/>
              <w:rPr>
                <w:rFonts w:eastAsia="Times New Roman" w:cs="Arial"/>
                <w:color w:val="000000"/>
                <w:szCs w:val="20"/>
                <w:lang w:eastAsia="en-GB"/>
              </w:rPr>
            </w:pPr>
            <w:r w:rsidRPr="00144B5C">
              <w:rPr>
                <w:rFonts w:eastAsia="Times New Roman" w:cs="Arial"/>
                <w:color w:val="000000"/>
                <w:szCs w:val="20"/>
                <w:lang w:eastAsia="en-GB"/>
              </w:rPr>
              <w:t>Outside Yorkshire</w:t>
            </w:r>
          </w:p>
        </w:tc>
        <w:tc>
          <w:tcPr>
            <w:tcW w:w="1117" w:type="dxa"/>
            <w:tcBorders>
              <w:top w:val="nil"/>
              <w:left w:val="nil"/>
              <w:bottom w:val="single" w:sz="8" w:space="0" w:color="000000"/>
              <w:right w:val="single" w:sz="8" w:space="0" w:color="000000"/>
            </w:tcBorders>
            <w:shd w:val="clear" w:color="auto" w:fill="auto"/>
            <w:noWrap/>
            <w:hideMark/>
          </w:tcPr>
          <w:p w14:paraId="278CDDE6" w14:textId="77777777" w:rsidR="00721840" w:rsidRPr="00144B5C" w:rsidRDefault="00721840" w:rsidP="00C93734">
            <w:pPr>
              <w:spacing w:after="0"/>
              <w:jc w:val="both"/>
              <w:rPr>
                <w:rFonts w:eastAsia="Times New Roman" w:cs="Arial"/>
                <w:color w:val="000000"/>
                <w:szCs w:val="20"/>
                <w:lang w:eastAsia="en-GB"/>
              </w:rPr>
            </w:pPr>
            <w:r w:rsidRPr="00144B5C">
              <w:rPr>
                <w:rFonts w:eastAsia="Times New Roman" w:cs="Arial"/>
                <w:color w:val="000000"/>
                <w:szCs w:val="20"/>
                <w:lang w:eastAsia="en-GB"/>
              </w:rPr>
              <w:t>400</w:t>
            </w:r>
          </w:p>
        </w:tc>
      </w:tr>
      <w:tr w:rsidR="00DF75D5" w:rsidRPr="00144B5C" w14:paraId="242EDF85" w14:textId="77777777" w:rsidTr="00721840">
        <w:trPr>
          <w:trHeight w:val="270"/>
        </w:trPr>
        <w:tc>
          <w:tcPr>
            <w:tcW w:w="3240" w:type="dxa"/>
            <w:tcBorders>
              <w:top w:val="nil"/>
              <w:left w:val="single" w:sz="4" w:space="0" w:color="auto"/>
              <w:bottom w:val="single" w:sz="8" w:space="0" w:color="000000"/>
              <w:right w:val="single" w:sz="8" w:space="0" w:color="000000"/>
            </w:tcBorders>
            <w:shd w:val="clear" w:color="auto" w:fill="auto"/>
            <w:noWrap/>
            <w:hideMark/>
          </w:tcPr>
          <w:p w14:paraId="6C327E9E" w14:textId="77777777" w:rsidR="00DF75D5" w:rsidRPr="00DF75D5" w:rsidRDefault="00DF75D5" w:rsidP="00C93734">
            <w:pPr>
              <w:spacing w:after="0"/>
              <w:jc w:val="both"/>
              <w:rPr>
                <w:rFonts w:eastAsia="Times New Roman" w:cs="Arial"/>
                <w:b/>
                <w:color w:val="000000"/>
                <w:szCs w:val="20"/>
                <w:lang w:eastAsia="en-GB"/>
              </w:rPr>
            </w:pPr>
            <w:r>
              <w:rPr>
                <w:rFonts w:eastAsia="Times New Roman" w:cs="Arial"/>
                <w:b/>
                <w:color w:val="000000"/>
                <w:szCs w:val="20"/>
                <w:lang w:eastAsia="en-GB"/>
              </w:rPr>
              <w:t>Total</w:t>
            </w:r>
          </w:p>
        </w:tc>
        <w:tc>
          <w:tcPr>
            <w:tcW w:w="1117" w:type="dxa"/>
            <w:tcBorders>
              <w:top w:val="nil"/>
              <w:left w:val="nil"/>
              <w:bottom w:val="single" w:sz="8" w:space="0" w:color="000000"/>
              <w:right w:val="single" w:sz="8" w:space="0" w:color="000000"/>
            </w:tcBorders>
            <w:shd w:val="clear" w:color="auto" w:fill="auto"/>
            <w:noWrap/>
            <w:hideMark/>
          </w:tcPr>
          <w:p w14:paraId="683068BC" w14:textId="77777777" w:rsidR="00DF75D5" w:rsidRPr="00DF75D5" w:rsidRDefault="00347DF8" w:rsidP="00C93734">
            <w:pPr>
              <w:spacing w:after="0"/>
              <w:jc w:val="both"/>
              <w:rPr>
                <w:rFonts w:eastAsia="Times New Roman" w:cs="Arial"/>
                <w:b/>
                <w:color w:val="000000"/>
                <w:szCs w:val="20"/>
                <w:lang w:eastAsia="en-GB"/>
              </w:rPr>
            </w:pPr>
            <w:r w:rsidRPr="00347DF8">
              <w:rPr>
                <w:rFonts w:eastAsia="Times New Roman" w:cs="Arial"/>
                <w:b/>
                <w:color w:val="000000"/>
                <w:szCs w:val="20"/>
                <w:lang w:eastAsia="en-GB"/>
              </w:rPr>
              <w:t>1,440</w:t>
            </w:r>
          </w:p>
        </w:tc>
      </w:tr>
      <w:tr w:rsidR="00721840" w:rsidRPr="00144B5C" w14:paraId="24244954" w14:textId="77777777" w:rsidTr="00721840">
        <w:trPr>
          <w:trHeight w:val="270"/>
        </w:trPr>
        <w:tc>
          <w:tcPr>
            <w:tcW w:w="3240" w:type="dxa"/>
            <w:tcBorders>
              <w:top w:val="nil"/>
              <w:left w:val="single" w:sz="4" w:space="0" w:color="auto"/>
              <w:bottom w:val="single" w:sz="4" w:space="0" w:color="auto"/>
              <w:right w:val="single" w:sz="8" w:space="0" w:color="000000"/>
            </w:tcBorders>
            <w:shd w:val="clear" w:color="000000" w:fill="E6E4DE"/>
            <w:noWrap/>
            <w:hideMark/>
          </w:tcPr>
          <w:p w14:paraId="3541C862" w14:textId="77777777" w:rsidR="00721840" w:rsidRPr="00144B5C" w:rsidRDefault="00721840" w:rsidP="00C93734">
            <w:pPr>
              <w:spacing w:after="0"/>
              <w:jc w:val="both"/>
              <w:rPr>
                <w:rFonts w:eastAsia="Times New Roman" w:cs="Arial"/>
                <w:b/>
                <w:bCs/>
                <w:color w:val="000000"/>
                <w:szCs w:val="20"/>
                <w:lang w:eastAsia="en-GB"/>
              </w:rPr>
            </w:pPr>
            <w:r w:rsidRPr="00144B5C">
              <w:rPr>
                <w:rFonts w:eastAsia="Times New Roman" w:cs="Arial"/>
                <w:b/>
                <w:bCs/>
                <w:color w:val="000000"/>
                <w:szCs w:val="20"/>
                <w:lang w:eastAsia="en-GB"/>
              </w:rPr>
              <w:t xml:space="preserve">Total </w:t>
            </w:r>
          </w:p>
        </w:tc>
        <w:tc>
          <w:tcPr>
            <w:tcW w:w="1117" w:type="dxa"/>
            <w:tcBorders>
              <w:top w:val="nil"/>
              <w:left w:val="nil"/>
              <w:bottom w:val="single" w:sz="4" w:space="0" w:color="auto"/>
              <w:right w:val="single" w:sz="8" w:space="0" w:color="000000"/>
            </w:tcBorders>
            <w:shd w:val="clear" w:color="000000" w:fill="E6E4DE"/>
            <w:noWrap/>
            <w:hideMark/>
          </w:tcPr>
          <w:p w14:paraId="37B133FD" w14:textId="77777777" w:rsidR="00721840" w:rsidRPr="00144B5C" w:rsidRDefault="00721840" w:rsidP="00C93734">
            <w:pPr>
              <w:spacing w:after="0"/>
              <w:jc w:val="both"/>
              <w:rPr>
                <w:rFonts w:eastAsia="Times New Roman" w:cs="Arial"/>
                <w:b/>
                <w:bCs/>
                <w:color w:val="394A58"/>
                <w:szCs w:val="20"/>
                <w:lang w:eastAsia="en-GB"/>
              </w:rPr>
            </w:pPr>
            <w:r w:rsidRPr="00144B5C">
              <w:rPr>
                <w:rFonts w:eastAsia="Times New Roman" w:cs="Arial"/>
                <w:b/>
                <w:bCs/>
                <w:color w:val="394A58"/>
                <w:szCs w:val="20"/>
                <w:lang w:eastAsia="en-GB"/>
              </w:rPr>
              <w:t>10,130</w:t>
            </w:r>
          </w:p>
        </w:tc>
      </w:tr>
    </w:tbl>
    <w:p w14:paraId="1F1DDBE2" w14:textId="77777777" w:rsidR="00144B5C" w:rsidRPr="002805F3" w:rsidRDefault="00144B5C" w:rsidP="00C93734">
      <w:pPr>
        <w:pStyle w:val="TableSource"/>
        <w:jc w:val="both"/>
      </w:pPr>
      <w:r w:rsidRPr="002805F3">
        <w:t>Source: Atkins 2013. Atkins Ref: Survey –A9-A11. Figures rounded.</w:t>
      </w:r>
    </w:p>
    <w:p w14:paraId="578921B3" w14:textId="77777777" w:rsidR="00144B5C" w:rsidRDefault="00144B5C" w:rsidP="00C93734">
      <w:pPr>
        <w:jc w:val="both"/>
        <w:rPr>
          <w:rFonts w:cs="Arial"/>
          <w:b/>
        </w:rPr>
      </w:pPr>
      <w:r w:rsidRPr="00F103FE">
        <w:rPr>
          <w:rFonts w:cs="Arial"/>
          <w:b/>
        </w:rPr>
        <w:t>Supply chain</w:t>
      </w:r>
    </w:p>
    <w:p w14:paraId="42DEBD7F" w14:textId="77777777" w:rsidR="00144B5C" w:rsidRPr="00B030CF" w:rsidRDefault="00144B5C" w:rsidP="00C93734">
      <w:pPr>
        <w:jc w:val="both"/>
        <w:rPr>
          <w:rFonts w:cs="Arial"/>
        </w:rPr>
      </w:pPr>
      <w:r w:rsidRPr="00B030CF">
        <w:rPr>
          <w:rFonts w:cs="Arial"/>
        </w:rPr>
        <w:t xml:space="preserve">Turnover within the sector is split between purchases, payroll, land and property, This shows that purchases </w:t>
      </w:r>
      <w:r w:rsidR="00FD5ED8">
        <w:rPr>
          <w:rFonts w:cs="Arial"/>
        </w:rPr>
        <w:t>is</w:t>
      </w:r>
      <w:r w:rsidR="00FD5ED8" w:rsidRPr="00B030CF">
        <w:rPr>
          <w:rFonts w:cs="Arial"/>
        </w:rPr>
        <w:t xml:space="preserve"> </w:t>
      </w:r>
      <w:r w:rsidRPr="00B030CF">
        <w:rPr>
          <w:rFonts w:cs="Arial"/>
        </w:rPr>
        <w:t xml:space="preserve">of </w:t>
      </w:r>
      <w:r w:rsidR="00FD5ED8">
        <w:rPr>
          <w:rFonts w:cs="Arial"/>
        </w:rPr>
        <w:t>greatest</w:t>
      </w:r>
      <w:r w:rsidR="00FD5ED8" w:rsidRPr="00B030CF">
        <w:rPr>
          <w:rFonts w:cs="Arial"/>
        </w:rPr>
        <w:t xml:space="preserve"> </w:t>
      </w:r>
      <w:r w:rsidRPr="00B030CF">
        <w:rPr>
          <w:rFonts w:cs="Arial"/>
        </w:rPr>
        <w:t>importance to the sector</w:t>
      </w:r>
      <w:r w:rsidR="00FD5ED8">
        <w:rPr>
          <w:rFonts w:cs="Arial"/>
        </w:rPr>
        <w:t>, constituting</w:t>
      </w:r>
      <w:r w:rsidRPr="00B030CF">
        <w:rPr>
          <w:rFonts w:cs="Arial"/>
        </w:rPr>
        <w:t xml:space="preserve"> 36.7%</w:t>
      </w:r>
      <w:r w:rsidR="00FD5ED8">
        <w:rPr>
          <w:rFonts w:cs="Arial"/>
        </w:rPr>
        <w:t xml:space="preserve"> of turnover</w:t>
      </w:r>
      <w:r w:rsidRPr="00B030CF">
        <w:rPr>
          <w:rFonts w:cs="Arial"/>
        </w:rPr>
        <w:t xml:space="preserve">, whilst payroll makes up almost 25%. </w:t>
      </w:r>
    </w:p>
    <w:p w14:paraId="7618996F" w14:textId="77777777" w:rsidR="00144B5C" w:rsidRDefault="00144B5C" w:rsidP="00C93734">
      <w:pPr>
        <w:pStyle w:val="Caption"/>
        <w:jc w:val="both"/>
      </w:pPr>
      <w:r>
        <w:t xml:space="preserve">Table </w:t>
      </w:r>
      <w:fldSimple w:instr=" STYLEREF 1 \s  \* MERGEFORMAT ">
        <w:r w:rsidR="00E95E1A">
          <w:rPr>
            <w:noProof/>
          </w:rPr>
          <w:t>8</w:t>
        </w:r>
      </w:fldSimple>
      <w:r>
        <w:t>-</w:t>
      </w:r>
      <w:fldSimple w:instr=" SEQ Table \* ARABIC \s 1  \* MERGEFORMAT ">
        <w:r w:rsidR="00E95E1A">
          <w:rPr>
            <w:noProof/>
          </w:rPr>
          <w:t>5</w:t>
        </w:r>
      </w:fldSimple>
      <w:r>
        <w:tab/>
        <w:t xml:space="preserve">Breakdown of Annual Turnover </w:t>
      </w:r>
      <w:r w:rsidR="00AA0EF3">
        <w:t>– Visitor Economy</w:t>
      </w:r>
    </w:p>
    <w:tbl>
      <w:tblPr>
        <w:tblStyle w:val="Atkins14pt"/>
        <w:tblW w:w="3403" w:type="dxa"/>
        <w:tblLayout w:type="fixed"/>
        <w:tblLook w:val="04A0" w:firstRow="1" w:lastRow="0" w:firstColumn="1" w:lastColumn="0" w:noHBand="0" w:noVBand="1"/>
      </w:tblPr>
      <w:tblGrid>
        <w:gridCol w:w="1843"/>
        <w:gridCol w:w="1560"/>
      </w:tblGrid>
      <w:tr w:rsidR="00144B5C" w:rsidRPr="00DC3863" w14:paraId="11D4997E" w14:textId="77777777" w:rsidTr="005C36D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843" w:type="dxa"/>
            <w:noWrap/>
            <w:hideMark/>
          </w:tcPr>
          <w:p w14:paraId="28C33189" w14:textId="77777777" w:rsidR="00144B5C" w:rsidRPr="00DC3863" w:rsidRDefault="00144B5C" w:rsidP="00C93734">
            <w:pPr>
              <w:pStyle w:val="TableHeading"/>
              <w:jc w:val="both"/>
              <w:rPr>
                <w:color w:val="394A58"/>
              </w:rPr>
            </w:pPr>
          </w:p>
        </w:tc>
        <w:tc>
          <w:tcPr>
            <w:tcW w:w="1560" w:type="dxa"/>
            <w:noWrap/>
            <w:hideMark/>
          </w:tcPr>
          <w:p w14:paraId="63501222" w14:textId="77777777" w:rsidR="00144B5C" w:rsidRPr="00DC3863" w:rsidRDefault="00144B5C" w:rsidP="00C93734">
            <w:pPr>
              <w:pStyle w:val="TableHeading"/>
              <w:jc w:val="both"/>
              <w:cnfStyle w:val="100000000000" w:firstRow="1" w:lastRow="0" w:firstColumn="0" w:lastColumn="0" w:oddVBand="0" w:evenVBand="0" w:oddHBand="0" w:evenHBand="0" w:firstRowFirstColumn="0" w:firstRowLastColumn="0" w:lastRowFirstColumn="0" w:lastRowLastColumn="0"/>
              <w:rPr>
                <w:color w:val="auto"/>
              </w:rPr>
            </w:pPr>
            <w:r w:rsidRPr="00DC3863">
              <w:rPr>
                <w:color w:val="auto"/>
              </w:rPr>
              <w:t>Visitor Economy</w:t>
            </w:r>
          </w:p>
        </w:tc>
      </w:tr>
      <w:tr w:rsidR="00144B5C" w:rsidRPr="00DC3863" w14:paraId="624B6FD6" w14:textId="77777777" w:rsidTr="005C36DC">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41122E9" w14:textId="77777777" w:rsidR="00144B5C" w:rsidRPr="00DC3863" w:rsidRDefault="00144B5C" w:rsidP="00C93734">
            <w:pPr>
              <w:pStyle w:val="TableHeading"/>
              <w:ind w:right="202"/>
              <w:jc w:val="both"/>
              <w:rPr>
                <w:b w:val="0"/>
                <w:color w:val="auto"/>
              </w:rPr>
            </w:pPr>
            <w:r w:rsidRPr="00DC3863">
              <w:rPr>
                <w:b w:val="0"/>
                <w:color w:val="auto"/>
              </w:rPr>
              <w:t>Total Purchases</w:t>
            </w:r>
          </w:p>
        </w:tc>
        <w:tc>
          <w:tcPr>
            <w:tcW w:w="1560" w:type="dxa"/>
            <w:noWrap/>
            <w:hideMark/>
          </w:tcPr>
          <w:p w14:paraId="4074F799" w14:textId="77777777" w:rsidR="00144B5C" w:rsidRPr="00DC3863" w:rsidRDefault="00144B5C"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36.7%</w:t>
            </w:r>
          </w:p>
        </w:tc>
      </w:tr>
      <w:tr w:rsidR="00144B5C" w:rsidRPr="00DC3863" w14:paraId="1CA1756E" w14:textId="77777777" w:rsidTr="005C36DC">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30E5AFC" w14:textId="77777777" w:rsidR="00144B5C" w:rsidRPr="00DC3863" w:rsidRDefault="00144B5C" w:rsidP="00C93734">
            <w:pPr>
              <w:pStyle w:val="TableHeading"/>
              <w:ind w:right="202"/>
              <w:jc w:val="both"/>
              <w:rPr>
                <w:b w:val="0"/>
                <w:color w:val="auto"/>
              </w:rPr>
            </w:pPr>
            <w:r w:rsidRPr="00DC3863">
              <w:rPr>
                <w:b w:val="0"/>
                <w:color w:val="auto"/>
              </w:rPr>
              <w:t>Payroll</w:t>
            </w:r>
          </w:p>
        </w:tc>
        <w:tc>
          <w:tcPr>
            <w:tcW w:w="1560" w:type="dxa"/>
            <w:noWrap/>
            <w:hideMark/>
          </w:tcPr>
          <w:p w14:paraId="58C51AC9" w14:textId="77777777" w:rsidR="00144B5C" w:rsidRPr="00DC3863" w:rsidRDefault="00144B5C"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23.9%</w:t>
            </w:r>
          </w:p>
        </w:tc>
      </w:tr>
      <w:tr w:rsidR="00144B5C" w:rsidRPr="00DC3863" w14:paraId="739D5AFE" w14:textId="77777777" w:rsidTr="005C36DC">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922B05C" w14:textId="77777777" w:rsidR="00144B5C" w:rsidRPr="00DC3863" w:rsidRDefault="00144B5C" w:rsidP="00C93734">
            <w:pPr>
              <w:pStyle w:val="TableHeading"/>
              <w:ind w:right="202"/>
              <w:jc w:val="both"/>
              <w:rPr>
                <w:b w:val="0"/>
                <w:color w:val="auto"/>
              </w:rPr>
            </w:pPr>
            <w:r w:rsidRPr="00DC3863">
              <w:rPr>
                <w:b w:val="0"/>
                <w:color w:val="auto"/>
              </w:rPr>
              <w:t>Land property</w:t>
            </w:r>
          </w:p>
        </w:tc>
        <w:tc>
          <w:tcPr>
            <w:tcW w:w="1560" w:type="dxa"/>
            <w:noWrap/>
            <w:hideMark/>
          </w:tcPr>
          <w:p w14:paraId="42D4AA7D" w14:textId="77777777" w:rsidR="00144B5C" w:rsidRPr="00DC3863" w:rsidRDefault="00144B5C"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14.4%</w:t>
            </w:r>
          </w:p>
        </w:tc>
      </w:tr>
      <w:tr w:rsidR="00144B5C" w:rsidRPr="00DC3863" w14:paraId="13119A11" w14:textId="77777777" w:rsidTr="005C36DC">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6B8BD74" w14:textId="77777777" w:rsidR="00144B5C" w:rsidRPr="00DC3863" w:rsidRDefault="00144B5C" w:rsidP="00C93734">
            <w:pPr>
              <w:pStyle w:val="TableHeading"/>
              <w:ind w:right="202"/>
              <w:jc w:val="both"/>
              <w:rPr>
                <w:b w:val="0"/>
                <w:color w:val="auto"/>
              </w:rPr>
            </w:pPr>
            <w:r w:rsidRPr="00DC3863">
              <w:rPr>
                <w:b w:val="0"/>
                <w:color w:val="auto"/>
              </w:rPr>
              <w:t>Gross Profit</w:t>
            </w:r>
          </w:p>
        </w:tc>
        <w:tc>
          <w:tcPr>
            <w:tcW w:w="1560" w:type="dxa"/>
            <w:noWrap/>
            <w:hideMark/>
          </w:tcPr>
          <w:p w14:paraId="2848FCA9" w14:textId="77777777" w:rsidR="00144B5C" w:rsidRPr="00DC3863" w:rsidRDefault="00144B5C"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25.1%</w:t>
            </w:r>
          </w:p>
        </w:tc>
      </w:tr>
    </w:tbl>
    <w:p w14:paraId="25503A45" w14:textId="77777777" w:rsidR="00144B5C" w:rsidRPr="002805F3" w:rsidRDefault="00144B5C" w:rsidP="00C93734">
      <w:pPr>
        <w:pStyle w:val="TableSource"/>
        <w:jc w:val="both"/>
      </w:pPr>
      <w:r w:rsidRPr="002805F3">
        <w:t>Source: Hill Taylor and Atkins 2013. Atkins Ref: Survey –A14</w:t>
      </w:r>
    </w:p>
    <w:p w14:paraId="11D83678" w14:textId="77777777" w:rsidR="00144B5C" w:rsidRDefault="00721840" w:rsidP="00C93734">
      <w:pPr>
        <w:jc w:val="both"/>
        <w:rPr>
          <w:rFonts w:cs="Arial"/>
        </w:rPr>
      </w:pPr>
      <w:r>
        <w:rPr>
          <w:rFonts w:cs="Arial"/>
        </w:rPr>
        <w:t xml:space="preserve">Key purchases </w:t>
      </w:r>
      <w:r w:rsidR="006F6ACC">
        <w:rPr>
          <w:rFonts w:cs="Arial"/>
        </w:rPr>
        <w:t xml:space="preserve">and services </w:t>
      </w:r>
      <w:r>
        <w:rPr>
          <w:rFonts w:cs="Arial"/>
        </w:rPr>
        <w:t>include</w:t>
      </w:r>
      <w:r w:rsidR="00144B5C">
        <w:rPr>
          <w:rFonts w:cs="Arial"/>
        </w:rPr>
        <w:t xml:space="preserve"> energy &amp; utilities (17.9%), financial &amp; insurance (16.6%), wholesale retail goods (14.9%) and </w:t>
      </w:r>
      <w:r w:rsidR="00FD5ED8">
        <w:rPr>
          <w:rFonts w:cs="Arial"/>
        </w:rPr>
        <w:t xml:space="preserve">catering </w:t>
      </w:r>
      <w:r w:rsidR="00144B5C">
        <w:rPr>
          <w:rFonts w:cs="Arial"/>
        </w:rPr>
        <w:t>a</w:t>
      </w:r>
      <w:r>
        <w:rPr>
          <w:rFonts w:cs="Arial"/>
        </w:rPr>
        <w:t xml:space="preserve">nd </w:t>
      </w:r>
      <w:r w:rsidR="00FD5ED8">
        <w:rPr>
          <w:rFonts w:cs="Arial"/>
        </w:rPr>
        <w:t xml:space="preserve">food </w:t>
      </w:r>
      <w:r>
        <w:rPr>
          <w:rFonts w:cs="Arial"/>
        </w:rPr>
        <w:t>(14%)</w:t>
      </w:r>
      <w:r w:rsidR="00144B5C">
        <w:rPr>
          <w:rFonts w:cs="Arial"/>
        </w:rPr>
        <w:t xml:space="preserve">. </w:t>
      </w:r>
    </w:p>
    <w:p w14:paraId="2EAE656C" w14:textId="77777777" w:rsidR="00755506" w:rsidRDefault="00755506">
      <w:pPr>
        <w:spacing w:after="200" w:line="276" w:lineRule="auto"/>
        <w:rPr>
          <w:b/>
          <w:bCs/>
          <w:szCs w:val="18"/>
        </w:rPr>
      </w:pPr>
      <w:r>
        <w:br w:type="page"/>
      </w:r>
    </w:p>
    <w:p w14:paraId="7375B32D" w14:textId="77777777" w:rsidR="00144B5C" w:rsidRDefault="00144B5C" w:rsidP="00C93734">
      <w:pPr>
        <w:pStyle w:val="Caption"/>
        <w:jc w:val="both"/>
      </w:pPr>
      <w:r>
        <w:t xml:space="preserve">Table </w:t>
      </w:r>
      <w:fldSimple w:instr=" STYLEREF 1 \s  \* MERGEFORMAT ">
        <w:r w:rsidR="00E95E1A">
          <w:rPr>
            <w:noProof/>
          </w:rPr>
          <w:t>8</w:t>
        </w:r>
      </w:fldSimple>
      <w:r>
        <w:t>-</w:t>
      </w:r>
      <w:fldSimple w:instr=" SEQ Table \* ARABIC \s 1  \* MERGEFORMAT ">
        <w:r w:rsidR="00E95E1A">
          <w:rPr>
            <w:noProof/>
          </w:rPr>
          <w:t>6</w:t>
        </w:r>
      </w:fldSimple>
      <w:r>
        <w:tab/>
        <w:t xml:space="preserve">Types of Goods &amp; Services Purchased </w:t>
      </w:r>
    </w:p>
    <w:tbl>
      <w:tblPr>
        <w:tblW w:w="5904" w:type="dxa"/>
        <w:tblInd w:w="93" w:type="dxa"/>
        <w:tblLook w:val="04A0" w:firstRow="1" w:lastRow="0" w:firstColumn="1" w:lastColumn="0" w:noHBand="0" w:noVBand="1"/>
      </w:tblPr>
      <w:tblGrid>
        <w:gridCol w:w="4944"/>
        <w:gridCol w:w="1117"/>
      </w:tblGrid>
      <w:tr w:rsidR="00144B5C" w:rsidRPr="00CE0605" w14:paraId="231AA30F" w14:textId="77777777" w:rsidTr="005C36DC">
        <w:trPr>
          <w:trHeight w:val="270"/>
        </w:trPr>
        <w:tc>
          <w:tcPr>
            <w:tcW w:w="4944" w:type="dxa"/>
            <w:tcBorders>
              <w:top w:val="single" w:sz="8" w:space="0" w:color="000000"/>
              <w:left w:val="single" w:sz="8" w:space="0" w:color="000000"/>
              <w:bottom w:val="single" w:sz="8" w:space="0" w:color="auto"/>
              <w:right w:val="single" w:sz="8" w:space="0" w:color="000000"/>
            </w:tcBorders>
            <w:shd w:val="clear" w:color="000000" w:fill="F0EEEB"/>
            <w:noWrap/>
            <w:hideMark/>
          </w:tcPr>
          <w:p w14:paraId="0567C87A" w14:textId="77777777" w:rsidR="00144B5C" w:rsidRPr="00CE0605" w:rsidRDefault="00144B5C" w:rsidP="00C93734">
            <w:pPr>
              <w:spacing w:after="120"/>
              <w:jc w:val="both"/>
              <w:rPr>
                <w:rFonts w:eastAsia="Times New Roman" w:cs="Arial"/>
                <w:b/>
                <w:color w:val="000000"/>
                <w:szCs w:val="20"/>
                <w:lang w:eastAsia="en-GB"/>
              </w:rPr>
            </w:pPr>
            <w:r w:rsidRPr="00CE0605">
              <w:rPr>
                <w:rFonts w:eastAsia="Times New Roman" w:cs="Arial"/>
                <w:b/>
                <w:color w:val="000000"/>
                <w:szCs w:val="20"/>
                <w:lang w:eastAsia="en-GB"/>
              </w:rPr>
              <w:t> Purchases</w:t>
            </w:r>
          </w:p>
        </w:tc>
        <w:tc>
          <w:tcPr>
            <w:tcW w:w="960" w:type="dxa"/>
            <w:tcBorders>
              <w:top w:val="single" w:sz="8" w:space="0" w:color="000000"/>
              <w:left w:val="nil"/>
              <w:bottom w:val="single" w:sz="8" w:space="0" w:color="auto"/>
              <w:right w:val="single" w:sz="8" w:space="0" w:color="000000"/>
            </w:tcBorders>
            <w:shd w:val="clear" w:color="000000" w:fill="F0EEEB"/>
            <w:noWrap/>
            <w:hideMark/>
          </w:tcPr>
          <w:p w14:paraId="79829EFF" w14:textId="77777777" w:rsidR="00144B5C" w:rsidRPr="00CE0605" w:rsidRDefault="00144B5C" w:rsidP="00C93734">
            <w:pPr>
              <w:spacing w:after="120"/>
              <w:jc w:val="both"/>
              <w:rPr>
                <w:rFonts w:eastAsia="Times New Roman" w:cs="Arial"/>
                <w:b/>
                <w:bCs/>
                <w:color w:val="000000"/>
                <w:szCs w:val="20"/>
                <w:lang w:eastAsia="en-GB"/>
              </w:rPr>
            </w:pPr>
            <w:r w:rsidRPr="00CE0605">
              <w:rPr>
                <w:rFonts w:eastAsia="Times New Roman" w:cs="Arial"/>
                <w:b/>
                <w:bCs/>
                <w:color w:val="000000"/>
                <w:szCs w:val="20"/>
                <w:lang w:eastAsia="en-GB"/>
              </w:rPr>
              <w:t>Visitor Economy</w:t>
            </w:r>
          </w:p>
        </w:tc>
      </w:tr>
      <w:tr w:rsidR="00144B5C" w:rsidRPr="00CE0605" w14:paraId="17BA186A" w14:textId="77777777" w:rsidTr="005C36D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4FEE4B31" w14:textId="77777777" w:rsidR="00144B5C" w:rsidRPr="00CE0605" w:rsidRDefault="00144B5C" w:rsidP="00C93734">
            <w:pPr>
              <w:spacing w:after="120"/>
              <w:jc w:val="both"/>
              <w:rPr>
                <w:rFonts w:eastAsia="Times New Roman" w:cs="Arial"/>
                <w:color w:val="000000"/>
                <w:szCs w:val="20"/>
                <w:lang w:eastAsia="en-GB"/>
              </w:rPr>
            </w:pPr>
            <w:r w:rsidRPr="00CE0605">
              <w:rPr>
                <w:rFonts w:eastAsia="Times New Roman" w:cs="Arial"/>
                <w:color w:val="000000"/>
                <w:szCs w:val="20"/>
                <w:lang w:eastAsia="en-GB"/>
              </w:rPr>
              <w:t>Energy &amp; utilities</w:t>
            </w:r>
          </w:p>
        </w:tc>
        <w:tc>
          <w:tcPr>
            <w:tcW w:w="960" w:type="dxa"/>
            <w:tcBorders>
              <w:top w:val="nil"/>
              <w:left w:val="nil"/>
              <w:bottom w:val="single" w:sz="8" w:space="0" w:color="000000"/>
              <w:right w:val="single" w:sz="8" w:space="0" w:color="000000"/>
            </w:tcBorders>
            <w:shd w:val="clear" w:color="auto" w:fill="auto"/>
            <w:noWrap/>
            <w:hideMark/>
          </w:tcPr>
          <w:p w14:paraId="03C7815A" w14:textId="77777777" w:rsidR="00144B5C" w:rsidRPr="00CE0605" w:rsidRDefault="00144B5C" w:rsidP="00C93734">
            <w:pPr>
              <w:spacing w:after="120"/>
              <w:jc w:val="both"/>
              <w:rPr>
                <w:rFonts w:eastAsia="Times New Roman" w:cs="Arial"/>
                <w:color w:val="000000"/>
                <w:szCs w:val="20"/>
                <w:lang w:eastAsia="en-GB"/>
              </w:rPr>
            </w:pPr>
            <w:r w:rsidRPr="00CE0605">
              <w:rPr>
                <w:rFonts w:eastAsia="Times New Roman" w:cs="Arial"/>
                <w:color w:val="000000"/>
                <w:szCs w:val="20"/>
                <w:lang w:eastAsia="en-GB"/>
              </w:rPr>
              <w:t>17.9%</w:t>
            </w:r>
          </w:p>
        </w:tc>
      </w:tr>
      <w:tr w:rsidR="00144B5C" w:rsidRPr="00CE0605" w14:paraId="0114DBE1" w14:textId="77777777" w:rsidTr="005C36D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59474F42" w14:textId="77777777" w:rsidR="00144B5C" w:rsidRPr="00CE0605" w:rsidRDefault="00144B5C" w:rsidP="00C93734">
            <w:pPr>
              <w:spacing w:after="120"/>
              <w:jc w:val="both"/>
              <w:rPr>
                <w:rFonts w:eastAsia="Times New Roman" w:cs="Arial"/>
                <w:color w:val="000000"/>
                <w:szCs w:val="20"/>
                <w:lang w:eastAsia="en-GB"/>
              </w:rPr>
            </w:pPr>
            <w:r w:rsidRPr="00CE0605">
              <w:rPr>
                <w:rFonts w:eastAsia="Times New Roman" w:cs="Arial"/>
                <w:color w:val="000000"/>
                <w:szCs w:val="20"/>
                <w:lang w:eastAsia="en-GB"/>
              </w:rPr>
              <w:t>Financial &amp; insurance services</w:t>
            </w:r>
          </w:p>
        </w:tc>
        <w:tc>
          <w:tcPr>
            <w:tcW w:w="960" w:type="dxa"/>
            <w:tcBorders>
              <w:top w:val="nil"/>
              <w:left w:val="nil"/>
              <w:bottom w:val="single" w:sz="8" w:space="0" w:color="000000"/>
              <w:right w:val="single" w:sz="8" w:space="0" w:color="000000"/>
            </w:tcBorders>
            <w:shd w:val="clear" w:color="auto" w:fill="auto"/>
            <w:noWrap/>
            <w:hideMark/>
          </w:tcPr>
          <w:p w14:paraId="1FB86C06" w14:textId="77777777" w:rsidR="00144B5C" w:rsidRPr="00CE0605" w:rsidRDefault="00144B5C" w:rsidP="00C93734">
            <w:pPr>
              <w:spacing w:after="120"/>
              <w:jc w:val="both"/>
              <w:rPr>
                <w:rFonts w:eastAsia="Times New Roman" w:cs="Arial"/>
                <w:color w:val="000000"/>
                <w:szCs w:val="20"/>
                <w:lang w:eastAsia="en-GB"/>
              </w:rPr>
            </w:pPr>
            <w:r>
              <w:rPr>
                <w:rFonts w:eastAsia="Times New Roman" w:cs="Arial"/>
                <w:color w:val="000000"/>
                <w:szCs w:val="20"/>
                <w:lang w:eastAsia="en-GB"/>
              </w:rPr>
              <w:t>16.6</w:t>
            </w:r>
            <w:r w:rsidRPr="00CE0605">
              <w:rPr>
                <w:rFonts w:eastAsia="Times New Roman" w:cs="Arial"/>
                <w:color w:val="000000"/>
                <w:szCs w:val="20"/>
                <w:lang w:eastAsia="en-GB"/>
              </w:rPr>
              <w:t>%</w:t>
            </w:r>
          </w:p>
        </w:tc>
      </w:tr>
      <w:tr w:rsidR="00144B5C" w:rsidRPr="00CE0605" w14:paraId="2DB6B437" w14:textId="77777777" w:rsidTr="005C36D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1843F4F9" w14:textId="77777777" w:rsidR="00144B5C" w:rsidRPr="00CE0605" w:rsidRDefault="00144B5C" w:rsidP="00C93734">
            <w:pPr>
              <w:spacing w:after="120"/>
              <w:jc w:val="both"/>
              <w:rPr>
                <w:rFonts w:eastAsia="Times New Roman" w:cs="Arial"/>
                <w:color w:val="000000"/>
                <w:szCs w:val="20"/>
                <w:lang w:eastAsia="en-GB"/>
              </w:rPr>
            </w:pPr>
            <w:r w:rsidRPr="00CE0605">
              <w:rPr>
                <w:rFonts w:eastAsia="Times New Roman" w:cs="Arial"/>
                <w:color w:val="000000"/>
                <w:szCs w:val="20"/>
                <w:lang w:eastAsia="en-GB"/>
              </w:rPr>
              <w:t>Wholesale retail goods</w:t>
            </w:r>
          </w:p>
        </w:tc>
        <w:tc>
          <w:tcPr>
            <w:tcW w:w="960" w:type="dxa"/>
            <w:tcBorders>
              <w:top w:val="nil"/>
              <w:left w:val="nil"/>
              <w:bottom w:val="single" w:sz="8" w:space="0" w:color="000000"/>
              <w:right w:val="single" w:sz="8" w:space="0" w:color="000000"/>
            </w:tcBorders>
            <w:shd w:val="clear" w:color="auto" w:fill="auto"/>
            <w:noWrap/>
            <w:hideMark/>
          </w:tcPr>
          <w:p w14:paraId="0219AAB6" w14:textId="77777777" w:rsidR="00144B5C" w:rsidRPr="00CE0605" w:rsidRDefault="00144B5C" w:rsidP="00C93734">
            <w:pPr>
              <w:spacing w:after="120"/>
              <w:jc w:val="both"/>
              <w:rPr>
                <w:rFonts w:eastAsia="Times New Roman" w:cs="Arial"/>
                <w:color w:val="000000"/>
                <w:szCs w:val="20"/>
                <w:lang w:eastAsia="en-GB"/>
              </w:rPr>
            </w:pPr>
            <w:r>
              <w:rPr>
                <w:rFonts w:eastAsia="Times New Roman" w:cs="Arial"/>
                <w:color w:val="000000"/>
                <w:szCs w:val="20"/>
                <w:lang w:eastAsia="en-GB"/>
              </w:rPr>
              <w:t>14.9</w:t>
            </w:r>
            <w:r w:rsidRPr="00CE0605">
              <w:rPr>
                <w:rFonts w:eastAsia="Times New Roman" w:cs="Arial"/>
                <w:color w:val="000000"/>
                <w:szCs w:val="20"/>
                <w:lang w:eastAsia="en-GB"/>
              </w:rPr>
              <w:t>%</w:t>
            </w:r>
          </w:p>
        </w:tc>
      </w:tr>
      <w:tr w:rsidR="00144B5C" w:rsidRPr="00CE0605" w14:paraId="3A2B41DB" w14:textId="77777777" w:rsidTr="005C36D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552C64A1" w14:textId="77777777" w:rsidR="00144B5C" w:rsidRPr="00CE0605" w:rsidRDefault="00144B5C" w:rsidP="00C93734">
            <w:pPr>
              <w:spacing w:after="120"/>
              <w:jc w:val="both"/>
              <w:rPr>
                <w:rFonts w:eastAsia="Times New Roman" w:cs="Arial"/>
                <w:color w:val="000000"/>
                <w:szCs w:val="20"/>
                <w:lang w:eastAsia="en-GB"/>
              </w:rPr>
            </w:pPr>
            <w:r w:rsidRPr="00CE0605">
              <w:rPr>
                <w:rFonts w:eastAsia="Times New Roman" w:cs="Arial"/>
                <w:color w:val="000000"/>
                <w:szCs w:val="20"/>
                <w:lang w:eastAsia="en-GB"/>
              </w:rPr>
              <w:t>Catering and food</w:t>
            </w:r>
          </w:p>
        </w:tc>
        <w:tc>
          <w:tcPr>
            <w:tcW w:w="960" w:type="dxa"/>
            <w:tcBorders>
              <w:top w:val="nil"/>
              <w:left w:val="nil"/>
              <w:bottom w:val="single" w:sz="8" w:space="0" w:color="000000"/>
              <w:right w:val="single" w:sz="8" w:space="0" w:color="000000"/>
            </w:tcBorders>
            <w:shd w:val="clear" w:color="auto" w:fill="auto"/>
            <w:noWrap/>
            <w:hideMark/>
          </w:tcPr>
          <w:p w14:paraId="231D67FE" w14:textId="77777777" w:rsidR="00144B5C" w:rsidRPr="00CE0605" w:rsidRDefault="00144B5C" w:rsidP="00C93734">
            <w:pPr>
              <w:spacing w:after="120"/>
              <w:jc w:val="both"/>
              <w:rPr>
                <w:rFonts w:eastAsia="Times New Roman" w:cs="Arial"/>
                <w:color w:val="000000"/>
                <w:szCs w:val="20"/>
                <w:lang w:eastAsia="en-GB"/>
              </w:rPr>
            </w:pPr>
            <w:r>
              <w:rPr>
                <w:rFonts w:eastAsia="Times New Roman" w:cs="Arial"/>
                <w:color w:val="000000"/>
                <w:szCs w:val="20"/>
                <w:lang w:eastAsia="en-GB"/>
              </w:rPr>
              <w:t>14</w:t>
            </w:r>
            <w:r w:rsidRPr="00CE0605">
              <w:rPr>
                <w:rFonts w:eastAsia="Times New Roman" w:cs="Arial"/>
                <w:color w:val="000000"/>
                <w:szCs w:val="20"/>
                <w:lang w:eastAsia="en-GB"/>
              </w:rPr>
              <w:t>%</w:t>
            </w:r>
          </w:p>
        </w:tc>
      </w:tr>
      <w:tr w:rsidR="00144B5C" w:rsidRPr="00CE0605" w14:paraId="06CF090F" w14:textId="77777777" w:rsidTr="005C36D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288A4C72" w14:textId="77777777" w:rsidR="00144B5C" w:rsidRPr="00CE0605" w:rsidRDefault="00144B5C" w:rsidP="00C93734">
            <w:pPr>
              <w:spacing w:after="120"/>
              <w:jc w:val="both"/>
              <w:rPr>
                <w:rFonts w:eastAsia="Times New Roman" w:cs="Arial"/>
                <w:color w:val="000000"/>
                <w:szCs w:val="20"/>
                <w:lang w:eastAsia="en-GB"/>
              </w:rPr>
            </w:pPr>
            <w:r w:rsidRPr="00CE0605">
              <w:rPr>
                <w:rFonts w:eastAsia="Times New Roman" w:cs="Arial"/>
                <w:color w:val="000000"/>
                <w:szCs w:val="20"/>
                <w:lang w:eastAsia="en-GB"/>
              </w:rPr>
              <w:t>Business or professional services;</w:t>
            </w:r>
          </w:p>
        </w:tc>
        <w:tc>
          <w:tcPr>
            <w:tcW w:w="960" w:type="dxa"/>
            <w:tcBorders>
              <w:top w:val="nil"/>
              <w:left w:val="nil"/>
              <w:bottom w:val="single" w:sz="8" w:space="0" w:color="000000"/>
              <w:right w:val="single" w:sz="8" w:space="0" w:color="000000"/>
            </w:tcBorders>
            <w:shd w:val="clear" w:color="auto" w:fill="auto"/>
            <w:noWrap/>
            <w:hideMark/>
          </w:tcPr>
          <w:p w14:paraId="5CA37BBE" w14:textId="77777777" w:rsidR="00144B5C" w:rsidRPr="00CE0605" w:rsidRDefault="00144B5C" w:rsidP="00C93734">
            <w:pPr>
              <w:spacing w:after="120"/>
              <w:jc w:val="both"/>
              <w:rPr>
                <w:rFonts w:eastAsia="Times New Roman" w:cs="Arial"/>
                <w:color w:val="000000"/>
                <w:szCs w:val="20"/>
                <w:lang w:eastAsia="en-GB"/>
              </w:rPr>
            </w:pPr>
            <w:r>
              <w:rPr>
                <w:rFonts w:eastAsia="Times New Roman" w:cs="Arial"/>
                <w:color w:val="000000"/>
                <w:szCs w:val="20"/>
                <w:lang w:eastAsia="en-GB"/>
              </w:rPr>
              <w:t>7.8</w:t>
            </w:r>
            <w:r w:rsidRPr="00CE0605">
              <w:rPr>
                <w:rFonts w:eastAsia="Times New Roman" w:cs="Arial"/>
                <w:color w:val="000000"/>
                <w:szCs w:val="20"/>
                <w:lang w:eastAsia="en-GB"/>
              </w:rPr>
              <w:t>%</w:t>
            </w:r>
          </w:p>
        </w:tc>
      </w:tr>
      <w:tr w:rsidR="00144B5C" w:rsidRPr="00CE0605" w14:paraId="53720062" w14:textId="77777777" w:rsidTr="005C36D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4F9B408B" w14:textId="77777777" w:rsidR="00144B5C" w:rsidRPr="00CE0605" w:rsidRDefault="00144B5C" w:rsidP="00C93734">
            <w:pPr>
              <w:spacing w:after="120"/>
              <w:jc w:val="both"/>
              <w:rPr>
                <w:rFonts w:eastAsia="Times New Roman" w:cs="Arial"/>
                <w:color w:val="000000"/>
                <w:szCs w:val="20"/>
                <w:lang w:eastAsia="en-GB"/>
              </w:rPr>
            </w:pPr>
            <w:r w:rsidRPr="00CE0605">
              <w:rPr>
                <w:rFonts w:eastAsia="Times New Roman" w:cs="Arial"/>
                <w:color w:val="000000"/>
                <w:szCs w:val="20"/>
                <w:lang w:eastAsia="en-GB"/>
              </w:rPr>
              <w:t>Manufactured components &amp; products</w:t>
            </w:r>
          </w:p>
        </w:tc>
        <w:tc>
          <w:tcPr>
            <w:tcW w:w="960" w:type="dxa"/>
            <w:tcBorders>
              <w:top w:val="nil"/>
              <w:left w:val="nil"/>
              <w:bottom w:val="single" w:sz="8" w:space="0" w:color="000000"/>
              <w:right w:val="single" w:sz="8" w:space="0" w:color="000000"/>
            </w:tcBorders>
            <w:shd w:val="clear" w:color="auto" w:fill="auto"/>
            <w:noWrap/>
            <w:hideMark/>
          </w:tcPr>
          <w:p w14:paraId="1207E1E6" w14:textId="77777777" w:rsidR="00144B5C" w:rsidRPr="00CE0605" w:rsidRDefault="00144B5C" w:rsidP="00C93734">
            <w:pPr>
              <w:spacing w:after="120"/>
              <w:jc w:val="both"/>
              <w:rPr>
                <w:rFonts w:eastAsia="Times New Roman" w:cs="Arial"/>
                <w:color w:val="000000"/>
                <w:szCs w:val="20"/>
                <w:lang w:eastAsia="en-GB"/>
              </w:rPr>
            </w:pPr>
            <w:r>
              <w:rPr>
                <w:rFonts w:eastAsia="Times New Roman" w:cs="Arial"/>
                <w:color w:val="000000"/>
                <w:szCs w:val="20"/>
                <w:lang w:eastAsia="en-GB"/>
              </w:rPr>
              <w:t>6.1</w:t>
            </w:r>
            <w:r w:rsidRPr="00CE0605">
              <w:rPr>
                <w:rFonts w:eastAsia="Times New Roman" w:cs="Arial"/>
                <w:color w:val="000000"/>
                <w:szCs w:val="20"/>
                <w:lang w:eastAsia="en-GB"/>
              </w:rPr>
              <w:t>%</w:t>
            </w:r>
          </w:p>
        </w:tc>
      </w:tr>
      <w:tr w:rsidR="00144B5C" w:rsidRPr="00CE0605" w14:paraId="4326D5A8" w14:textId="77777777" w:rsidTr="005C36D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5785828C" w14:textId="77777777" w:rsidR="00144B5C" w:rsidRPr="00CE0605" w:rsidRDefault="00144B5C" w:rsidP="00C93734">
            <w:pPr>
              <w:spacing w:after="120"/>
              <w:jc w:val="both"/>
              <w:rPr>
                <w:rFonts w:eastAsia="Times New Roman" w:cs="Arial"/>
                <w:color w:val="000000"/>
                <w:szCs w:val="20"/>
                <w:lang w:eastAsia="en-GB"/>
              </w:rPr>
            </w:pPr>
            <w:r w:rsidRPr="00CE0605">
              <w:rPr>
                <w:rFonts w:eastAsia="Times New Roman" w:cs="Arial"/>
                <w:color w:val="000000"/>
                <w:szCs w:val="20"/>
                <w:lang w:eastAsia="en-GB"/>
              </w:rPr>
              <w:t>Leisure and tourism services</w:t>
            </w:r>
          </w:p>
        </w:tc>
        <w:tc>
          <w:tcPr>
            <w:tcW w:w="960" w:type="dxa"/>
            <w:tcBorders>
              <w:top w:val="nil"/>
              <w:left w:val="nil"/>
              <w:bottom w:val="single" w:sz="8" w:space="0" w:color="000000"/>
              <w:right w:val="single" w:sz="8" w:space="0" w:color="000000"/>
            </w:tcBorders>
            <w:shd w:val="clear" w:color="auto" w:fill="auto"/>
            <w:noWrap/>
            <w:hideMark/>
          </w:tcPr>
          <w:p w14:paraId="37EE119F" w14:textId="77777777" w:rsidR="00144B5C" w:rsidRPr="00CE0605" w:rsidRDefault="00144B5C" w:rsidP="00C93734">
            <w:pPr>
              <w:spacing w:after="120"/>
              <w:jc w:val="both"/>
              <w:rPr>
                <w:rFonts w:eastAsia="Times New Roman" w:cs="Arial"/>
                <w:color w:val="000000"/>
                <w:szCs w:val="20"/>
                <w:lang w:eastAsia="en-GB"/>
              </w:rPr>
            </w:pPr>
            <w:r>
              <w:rPr>
                <w:rFonts w:eastAsia="Times New Roman" w:cs="Arial"/>
                <w:color w:val="000000"/>
                <w:szCs w:val="20"/>
                <w:lang w:eastAsia="en-GB"/>
              </w:rPr>
              <w:t>6</w:t>
            </w:r>
            <w:r w:rsidRPr="00CE0605">
              <w:rPr>
                <w:rFonts w:eastAsia="Times New Roman" w:cs="Arial"/>
                <w:color w:val="000000"/>
                <w:szCs w:val="20"/>
                <w:lang w:eastAsia="en-GB"/>
              </w:rPr>
              <w:t>%</w:t>
            </w:r>
          </w:p>
        </w:tc>
      </w:tr>
      <w:tr w:rsidR="00144B5C" w:rsidRPr="00CE0605" w14:paraId="0BF9233B" w14:textId="77777777" w:rsidTr="005C36D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43DF6027" w14:textId="77777777" w:rsidR="00144B5C" w:rsidRPr="00CE0605" w:rsidRDefault="00144B5C" w:rsidP="00C93734">
            <w:pPr>
              <w:spacing w:after="120"/>
              <w:jc w:val="both"/>
              <w:rPr>
                <w:rFonts w:eastAsia="Times New Roman" w:cs="Arial"/>
                <w:color w:val="000000"/>
                <w:szCs w:val="20"/>
                <w:lang w:eastAsia="en-GB"/>
              </w:rPr>
            </w:pPr>
            <w:r w:rsidRPr="00CE0605">
              <w:rPr>
                <w:rFonts w:eastAsia="Times New Roman" w:cs="Arial"/>
                <w:color w:val="000000"/>
                <w:szCs w:val="20"/>
                <w:lang w:eastAsia="en-GB"/>
              </w:rPr>
              <w:t>Education &amp; research</w:t>
            </w:r>
          </w:p>
        </w:tc>
        <w:tc>
          <w:tcPr>
            <w:tcW w:w="960" w:type="dxa"/>
            <w:tcBorders>
              <w:top w:val="nil"/>
              <w:left w:val="nil"/>
              <w:bottom w:val="single" w:sz="8" w:space="0" w:color="000000"/>
              <w:right w:val="single" w:sz="8" w:space="0" w:color="000000"/>
            </w:tcBorders>
            <w:shd w:val="clear" w:color="auto" w:fill="auto"/>
            <w:noWrap/>
            <w:hideMark/>
          </w:tcPr>
          <w:p w14:paraId="6B789500" w14:textId="77777777" w:rsidR="00144B5C" w:rsidRPr="00CE0605" w:rsidRDefault="00144B5C" w:rsidP="00C93734">
            <w:pPr>
              <w:spacing w:after="120"/>
              <w:jc w:val="both"/>
              <w:rPr>
                <w:rFonts w:eastAsia="Times New Roman" w:cs="Arial"/>
                <w:color w:val="000000"/>
                <w:szCs w:val="20"/>
                <w:lang w:eastAsia="en-GB"/>
              </w:rPr>
            </w:pPr>
            <w:r>
              <w:rPr>
                <w:rFonts w:eastAsia="Times New Roman" w:cs="Arial"/>
                <w:color w:val="000000"/>
                <w:szCs w:val="20"/>
                <w:lang w:eastAsia="en-GB"/>
              </w:rPr>
              <w:t>2.8</w:t>
            </w:r>
            <w:r w:rsidRPr="00CE0605">
              <w:rPr>
                <w:rFonts w:eastAsia="Times New Roman" w:cs="Arial"/>
                <w:color w:val="000000"/>
                <w:szCs w:val="20"/>
                <w:lang w:eastAsia="en-GB"/>
              </w:rPr>
              <w:t>%</w:t>
            </w:r>
          </w:p>
        </w:tc>
      </w:tr>
      <w:tr w:rsidR="00144B5C" w:rsidRPr="00CE0605" w14:paraId="3770CB06" w14:textId="77777777" w:rsidTr="005C36DC">
        <w:trPr>
          <w:trHeight w:val="270"/>
        </w:trPr>
        <w:tc>
          <w:tcPr>
            <w:tcW w:w="4944" w:type="dxa"/>
            <w:tcBorders>
              <w:top w:val="nil"/>
              <w:left w:val="single" w:sz="8" w:space="0" w:color="000000"/>
              <w:bottom w:val="single" w:sz="8" w:space="0" w:color="000000"/>
              <w:right w:val="single" w:sz="8" w:space="0" w:color="000000"/>
            </w:tcBorders>
            <w:shd w:val="clear" w:color="auto" w:fill="auto"/>
            <w:noWrap/>
            <w:hideMark/>
          </w:tcPr>
          <w:p w14:paraId="6FC93638" w14:textId="77777777" w:rsidR="00144B5C" w:rsidRPr="00CE0605" w:rsidRDefault="00144B5C" w:rsidP="00C93734">
            <w:pPr>
              <w:spacing w:after="120"/>
              <w:jc w:val="both"/>
              <w:rPr>
                <w:rFonts w:eastAsia="Times New Roman" w:cs="Arial"/>
                <w:color w:val="000000"/>
                <w:szCs w:val="20"/>
                <w:lang w:eastAsia="en-GB"/>
              </w:rPr>
            </w:pPr>
            <w:r w:rsidRPr="00CE0605">
              <w:rPr>
                <w:rFonts w:eastAsia="Times New Roman" w:cs="Arial"/>
                <w:color w:val="000000"/>
                <w:szCs w:val="20"/>
                <w:lang w:eastAsia="en-GB"/>
              </w:rPr>
              <w:t>Logistics, freight service, storage &amp; distribution services</w:t>
            </w:r>
          </w:p>
        </w:tc>
        <w:tc>
          <w:tcPr>
            <w:tcW w:w="960" w:type="dxa"/>
            <w:tcBorders>
              <w:top w:val="nil"/>
              <w:left w:val="nil"/>
              <w:bottom w:val="single" w:sz="8" w:space="0" w:color="000000"/>
              <w:right w:val="single" w:sz="8" w:space="0" w:color="000000"/>
            </w:tcBorders>
            <w:shd w:val="clear" w:color="auto" w:fill="auto"/>
            <w:noWrap/>
            <w:hideMark/>
          </w:tcPr>
          <w:p w14:paraId="1531ED7F" w14:textId="77777777" w:rsidR="00144B5C" w:rsidRPr="00CE0605" w:rsidRDefault="00144B5C" w:rsidP="00C93734">
            <w:pPr>
              <w:spacing w:after="120"/>
              <w:jc w:val="both"/>
              <w:rPr>
                <w:rFonts w:eastAsia="Times New Roman" w:cs="Arial"/>
                <w:color w:val="000000"/>
                <w:szCs w:val="20"/>
                <w:lang w:eastAsia="en-GB"/>
              </w:rPr>
            </w:pPr>
            <w:r>
              <w:rPr>
                <w:rFonts w:eastAsia="Times New Roman" w:cs="Arial"/>
                <w:color w:val="000000"/>
                <w:szCs w:val="20"/>
                <w:lang w:eastAsia="en-GB"/>
              </w:rPr>
              <w:t>2.4</w:t>
            </w:r>
            <w:r w:rsidRPr="00CE0605">
              <w:rPr>
                <w:rFonts w:eastAsia="Times New Roman" w:cs="Arial"/>
                <w:color w:val="000000"/>
                <w:szCs w:val="20"/>
                <w:lang w:eastAsia="en-GB"/>
              </w:rPr>
              <w:t>%</w:t>
            </w:r>
          </w:p>
        </w:tc>
      </w:tr>
    </w:tbl>
    <w:p w14:paraId="7D296D42" w14:textId="77777777" w:rsidR="00144B5C" w:rsidRPr="002805F3" w:rsidRDefault="00144B5C" w:rsidP="00C93734">
      <w:pPr>
        <w:pStyle w:val="TableSource"/>
        <w:jc w:val="both"/>
      </w:pPr>
      <w:r w:rsidRPr="002805F3">
        <w:t>Source: Hill Taylor and Atkins 2013. Atkins Ref: Survey –A13</w:t>
      </w:r>
    </w:p>
    <w:p w14:paraId="39517324" w14:textId="77777777" w:rsidR="00144B5C" w:rsidRDefault="00144B5C" w:rsidP="00C93734">
      <w:pPr>
        <w:jc w:val="both"/>
        <w:rPr>
          <w:rFonts w:cs="Arial"/>
        </w:rPr>
      </w:pPr>
      <w:r>
        <w:rPr>
          <w:rFonts w:cs="Arial"/>
        </w:rPr>
        <w:t xml:space="preserve">A high proportion of customers (63.3%) and suppliers (71%) are </w:t>
      </w:r>
      <w:r w:rsidR="00EB22D1">
        <w:rPr>
          <w:rFonts w:cs="Arial"/>
        </w:rPr>
        <w:t>based in</w:t>
      </w:r>
      <w:r>
        <w:rPr>
          <w:rFonts w:cs="Arial"/>
        </w:rPr>
        <w:t xml:space="preserve"> the </w:t>
      </w:r>
      <w:r w:rsidR="00EB22D1">
        <w:rPr>
          <w:rFonts w:cs="Arial"/>
        </w:rPr>
        <w:t>region</w:t>
      </w:r>
      <w:r w:rsidR="00BF64E6">
        <w:rPr>
          <w:rFonts w:cs="Arial"/>
        </w:rPr>
        <w:t>,</w:t>
      </w:r>
      <w:r w:rsidR="00EB22D1">
        <w:rPr>
          <w:rFonts w:cs="Arial"/>
        </w:rPr>
        <w:t xml:space="preserve"> which indicates the strength of local supply chain linkages</w:t>
      </w:r>
      <w:r w:rsidR="00FD5ED8">
        <w:rPr>
          <w:rFonts w:cs="Arial"/>
        </w:rPr>
        <w:t>.</w:t>
      </w:r>
    </w:p>
    <w:p w14:paraId="04BAF0CB" w14:textId="77777777" w:rsidR="00144B5C" w:rsidRDefault="00144B5C" w:rsidP="00C93734">
      <w:pPr>
        <w:pStyle w:val="Caption"/>
        <w:jc w:val="both"/>
      </w:pPr>
      <w:r>
        <w:t xml:space="preserve">Table </w:t>
      </w:r>
      <w:fldSimple w:instr=" STYLEREF 1 \s  \* MERGEFORMAT ">
        <w:r w:rsidR="00E95E1A">
          <w:rPr>
            <w:noProof/>
          </w:rPr>
          <w:t>8</w:t>
        </w:r>
      </w:fldSimple>
      <w:r>
        <w:t>-</w:t>
      </w:r>
      <w:fldSimple w:instr=" SEQ Table \* ARABIC \s 1  \* MERGEFORMAT ">
        <w:r w:rsidR="00E95E1A">
          <w:rPr>
            <w:noProof/>
          </w:rPr>
          <w:t>7</w:t>
        </w:r>
      </w:fldSimple>
      <w:r>
        <w:tab/>
        <w:t xml:space="preserve">Location of Suppliers &amp; Clients </w:t>
      </w:r>
      <w:r w:rsidR="00AA0EF3">
        <w:t>– Visitor Economy</w:t>
      </w:r>
    </w:p>
    <w:tbl>
      <w:tblPr>
        <w:tblStyle w:val="Atkins14pt"/>
        <w:tblW w:w="4481" w:type="dxa"/>
        <w:tblLook w:val="04A0" w:firstRow="1" w:lastRow="0" w:firstColumn="1" w:lastColumn="0" w:noHBand="0" w:noVBand="1"/>
      </w:tblPr>
      <w:tblGrid>
        <w:gridCol w:w="2410"/>
        <w:gridCol w:w="1102"/>
        <w:gridCol w:w="969"/>
      </w:tblGrid>
      <w:tr w:rsidR="00925F20" w:rsidRPr="00DC3863" w14:paraId="4D149802" w14:textId="77777777" w:rsidTr="00925F20">
        <w:trPr>
          <w:cnfStyle w:val="100000000000" w:firstRow="1" w:lastRow="0" w:firstColumn="0" w:lastColumn="0" w:oddVBand="0" w:evenVBand="0" w:oddHBand="0" w:evenHBand="0" w:firstRowFirstColumn="0" w:firstRowLastColumn="0" w:lastRowFirstColumn="0" w:lastRowLastColumn="0"/>
          <w:trHeight w:val="464"/>
        </w:trPr>
        <w:tc>
          <w:tcPr>
            <w:cnfStyle w:val="001000000100" w:firstRow="0" w:lastRow="0" w:firstColumn="1" w:lastColumn="0" w:oddVBand="0" w:evenVBand="0" w:oddHBand="0" w:evenHBand="0" w:firstRowFirstColumn="1" w:firstRowLastColumn="0" w:lastRowFirstColumn="0" w:lastRowLastColumn="0"/>
            <w:tcW w:w="2410" w:type="dxa"/>
            <w:vMerge w:val="restart"/>
            <w:noWrap/>
          </w:tcPr>
          <w:p w14:paraId="12B43E84" w14:textId="77777777" w:rsidR="00925F20" w:rsidRDefault="00925F20" w:rsidP="006E454F">
            <w:pPr>
              <w:pStyle w:val="TableHeading"/>
            </w:pPr>
            <w:r>
              <w:t>Geography</w:t>
            </w:r>
          </w:p>
        </w:tc>
        <w:tc>
          <w:tcPr>
            <w:tcW w:w="2071" w:type="dxa"/>
            <w:gridSpan w:val="2"/>
            <w:shd w:val="clear" w:color="auto" w:fill="E6E4DE" w:themeFill="accent6"/>
            <w:noWrap/>
          </w:tcPr>
          <w:p w14:paraId="27CF0C38" w14:textId="77777777" w:rsidR="00925F20" w:rsidRPr="00144B5C" w:rsidRDefault="00925F20" w:rsidP="00925F20">
            <w:pPr>
              <w:spacing w:after="0"/>
              <w:jc w:val="both"/>
              <w:cnfStyle w:val="100000000000" w:firstRow="1" w:lastRow="0" w:firstColumn="0" w:lastColumn="0" w:oddVBand="0" w:evenVBand="0" w:oddHBand="0" w:evenHBand="0" w:firstRowFirstColumn="0" w:firstRowLastColumn="0" w:lastRowFirstColumn="0" w:lastRowLastColumn="0"/>
              <w:rPr>
                <w:color w:val="000000"/>
              </w:rPr>
            </w:pPr>
            <w:r>
              <w:rPr>
                <w:color w:val="000000"/>
              </w:rPr>
              <w:t>Visitor Economy</w:t>
            </w:r>
          </w:p>
        </w:tc>
      </w:tr>
      <w:tr w:rsidR="00925F20" w:rsidRPr="00DC3863" w14:paraId="5D56B25E" w14:textId="77777777" w:rsidTr="00B125CE">
        <w:trPr>
          <w:trHeight w:val="300"/>
        </w:trPr>
        <w:tc>
          <w:tcPr>
            <w:cnfStyle w:val="001000000000" w:firstRow="0" w:lastRow="0" w:firstColumn="1" w:lastColumn="0" w:oddVBand="0" w:evenVBand="0" w:oddHBand="0" w:evenHBand="0" w:firstRowFirstColumn="0" w:firstRowLastColumn="0" w:lastRowFirstColumn="0" w:lastRowLastColumn="0"/>
            <w:tcW w:w="2410" w:type="dxa"/>
            <w:vMerge/>
            <w:noWrap/>
            <w:hideMark/>
          </w:tcPr>
          <w:p w14:paraId="2A187280" w14:textId="77777777" w:rsidR="00925F20" w:rsidRDefault="00925F20">
            <w:pPr>
              <w:pStyle w:val="TableHeading"/>
              <w:rPr>
                <w:rFonts w:eastAsiaTheme="minorHAnsi" w:cstheme="minorBidi"/>
                <w:szCs w:val="22"/>
                <w:lang w:eastAsia="en-US"/>
              </w:rPr>
            </w:pPr>
          </w:p>
        </w:tc>
        <w:tc>
          <w:tcPr>
            <w:tcW w:w="1102" w:type="dxa"/>
            <w:shd w:val="clear" w:color="auto" w:fill="E6E4DE" w:themeFill="accent6"/>
            <w:noWrap/>
            <w:hideMark/>
          </w:tcPr>
          <w:p w14:paraId="06ED4FF3" w14:textId="77777777" w:rsidR="00925F20" w:rsidRPr="00144B5C" w:rsidRDefault="00925F20"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144B5C">
              <w:rPr>
                <w:color w:val="000000"/>
              </w:rPr>
              <w:t>Customers</w:t>
            </w:r>
          </w:p>
        </w:tc>
        <w:tc>
          <w:tcPr>
            <w:tcW w:w="969" w:type="dxa"/>
            <w:shd w:val="clear" w:color="auto" w:fill="E6E4DE" w:themeFill="accent6"/>
            <w:noWrap/>
            <w:hideMark/>
          </w:tcPr>
          <w:p w14:paraId="5920E0A3" w14:textId="77777777" w:rsidR="00925F20" w:rsidRPr="00144B5C" w:rsidRDefault="00925F20"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144B5C">
              <w:rPr>
                <w:color w:val="000000"/>
              </w:rPr>
              <w:t>Suppliers</w:t>
            </w:r>
          </w:p>
        </w:tc>
      </w:tr>
      <w:tr w:rsidR="00144B5C" w:rsidRPr="00DC3863" w14:paraId="52E85BD8" w14:textId="77777777" w:rsidTr="00B125CE">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205A23A" w14:textId="77777777" w:rsidR="00144B5C" w:rsidRPr="00144B5C" w:rsidRDefault="00144B5C" w:rsidP="00C93734">
            <w:pPr>
              <w:jc w:val="both"/>
              <w:rPr>
                <w:color w:val="000000"/>
              </w:rPr>
            </w:pPr>
            <w:r w:rsidRPr="00144B5C">
              <w:rPr>
                <w:color w:val="000000"/>
              </w:rPr>
              <w:t>Lincolnshire / Humber</w:t>
            </w:r>
          </w:p>
        </w:tc>
        <w:tc>
          <w:tcPr>
            <w:tcW w:w="1102" w:type="dxa"/>
            <w:noWrap/>
            <w:hideMark/>
          </w:tcPr>
          <w:p w14:paraId="0D2D825C" w14:textId="77777777" w:rsidR="00144B5C" w:rsidRPr="00144B5C" w:rsidRDefault="00144B5C"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44B5C">
              <w:rPr>
                <w:color w:val="000000"/>
              </w:rPr>
              <w:t>51.2%</w:t>
            </w:r>
          </w:p>
        </w:tc>
        <w:tc>
          <w:tcPr>
            <w:tcW w:w="969" w:type="dxa"/>
            <w:noWrap/>
            <w:hideMark/>
          </w:tcPr>
          <w:p w14:paraId="25EEBD7E" w14:textId="77777777" w:rsidR="00144B5C" w:rsidRPr="00144B5C" w:rsidRDefault="00144B5C"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44B5C">
              <w:rPr>
                <w:color w:val="000000"/>
              </w:rPr>
              <w:t>52.7%</w:t>
            </w:r>
          </w:p>
        </w:tc>
      </w:tr>
      <w:tr w:rsidR="00144B5C" w:rsidRPr="00DC3863" w14:paraId="63272FB3" w14:textId="77777777" w:rsidTr="00B125CE">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7185BD7" w14:textId="77777777" w:rsidR="00144B5C" w:rsidRPr="00144B5C" w:rsidRDefault="00144B5C" w:rsidP="00C93734">
            <w:pPr>
              <w:jc w:val="both"/>
              <w:rPr>
                <w:color w:val="000000"/>
              </w:rPr>
            </w:pPr>
            <w:r w:rsidRPr="00144B5C">
              <w:rPr>
                <w:color w:val="000000"/>
              </w:rPr>
              <w:t>Elsewhere in Yorkshire and Humber</w:t>
            </w:r>
          </w:p>
        </w:tc>
        <w:tc>
          <w:tcPr>
            <w:tcW w:w="1102" w:type="dxa"/>
            <w:noWrap/>
            <w:hideMark/>
          </w:tcPr>
          <w:p w14:paraId="3C880FF0" w14:textId="77777777" w:rsidR="00144B5C" w:rsidRPr="00144B5C" w:rsidRDefault="00144B5C"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44B5C">
              <w:rPr>
                <w:color w:val="000000"/>
              </w:rPr>
              <w:t>12.1%</w:t>
            </w:r>
          </w:p>
        </w:tc>
        <w:tc>
          <w:tcPr>
            <w:tcW w:w="969" w:type="dxa"/>
            <w:noWrap/>
            <w:hideMark/>
          </w:tcPr>
          <w:p w14:paraId="4AD832F1" w14:textId="77777777" w:rsidR="00144B5C" w:rsidRPr="00144B5C" w:rsidRDefault="00144B5C"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44B5C">
              <w:rPr>
                <w:color w:val="000000"/>
              </w:rPr>
              <w:t>18.3%</w:t>
            </w:r>
          </w:p>
        </w:tc>
      </w:tr>
      <w:tr w:rsidR="00144B5C" w:rsidRPr="00DC3863" w14:paraId="02367CD2" w14:textId="77777777" w:rsidTr="00B125CE">
        <w:trPr>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E6E4DE" w:themeFill="accent6"/>
            <w:noWrap/>
            <w:hideMark/>
          </w:tcPr>
          <w:p w14:paraId="715DD24C" w14:textId="77777777" w:rsidR="00144B5C" w:rsidRPr="00144B5C" w:rsidRDefault="00144B5C" w:rsidP="00C93734">
            <w:pPr>
              <w:jc w:val="both"/>
              <w:rPr>
                <w:b/>
                <w:color w:val="000000"/>
              </w:rPr>
            </w:pPr>
            <w:r w:rsidRPr="00144B5C">
              <w:rPr>
                <w:b/>
                <w:color w:val="000000"/>
              </w:rPr>
              <w:t>Local Area</w:t>
            </w:r>
          </w:p>
        </w:tc>
        <w:tc>
          <w:tcPr>
            <w:tcW w:w="1102" w:type="dxa"/>
            <w:shd w:val="clear" w:color="auto" w:fill="E6E4DE" w:themeFill="accent6"/>
            <w:noWrap/>
            <w:hideMark/>
          </w:tcPr>
          <w:p w14:paraId="37599982" w14:textId="77777777" w:rsidR="00144B5C" w:rsidRPr="00144B5C" w:rsidRDefault="00144B5C"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144B5C">
              <w:rPr>
                <w:b/>
                <w:color w:val="000000"/>
              </w:rPr>
              <w:t>63.3%</w:t>
            </w:r>
          </w:p>
        </w:tc>
        <w:tc>
          <w:tcPr>
            <w:tcW w:w="969" w:type="dxa"/>
            <w:shd w:val="clear" w:color="auto" w:fill="E6E4DE" w:themeFill="accent6"/>
            <w:noWrap/>
            <w:hideMark/>
          </w:tcPr>
          <w:p w14:paraId="0362D949" w14:textId="77777777" w:rsidR="00144B5C" w:rsidRPr="00144B5C" w:rsidRDefault="00144B5C"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144B5C">
              <w:rPr>
                <w:b/>
                <w:color w:val="000000"/>
              </w:rPr>
              <w:t>71.0%</w:t>
            </w:r>
          </w:p>
        </w:tc>
      </w:tr>
      <w:tr w:rsidR="00144B5C" w:rsidRPr="00DC3863" w14:paraId="365BEFDF" w14:textId="77777777" w:rsidTr="00B125CE">
        <w:trPr>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E6E4DE" w:themeFill="accent6"/>
            <w:noWrap/>
            <w:hideMark/>
          </w:tcPr>
          <w:p w14:paraId="7F5F39B6" w14:textId="77777777" w:rsidR="00144B5C" w:rsidRPr="00144B5C" w:rsidRDefault="00144B5C" w:rsidP="00C93734">
            <w:pPr>
              <w:jc w:val="both"/>
              <w:rPr>
                <w:b/>
                <w:color w:val="000000"/>
              </w:rPr>
            </w:pPr>
            <w:r w:rsidRPr="00144B5C">
              <w:rPr>
                <w:b/>
                <w:color w:val="000000"/>
              </w:rPr>
              <w:t>UK</w:t>
            </w:r>
          </w:p>
        </w:tc>
        <w:tc>
          <w:tcPr>
            <w:tcW w:w="1102" w:type="dxa"/>
            <w:shd w:val="clear" w:color="auto" w:fill="E6E4DE" w:themeFill="accent6"/>
            <w:noWrap/>
            <w:hideMark/>
          </w:tcPr>
          <w:p w14:paraId="0335E885" w14:textId="77777777" w:rsidR="00144B5C" w:rsidRPr="00144B5C" w:rsidRDefault="00144B5C"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144B5C">
              <w:rPr>
                <w:b/>
                <w:color w:val="000000"/>
              </w:rPr>
              <w:t>81.6%</w:t>
            </w:r>
          </w:p>
        </w:tc>
        <w:tc>
          <w:tcPr>
            <w:tcW w:w="969" w:type="dxa"/>
            <w:shd w:val="clear" w:color="auto" w:fill="E6E4DE" w:themeFill="accent6"/>
            <w:noWrap/>
            <w:hideMark/>
          </w:tcPr>
          <w:p w14:paraId="4625E200" w14:textId="77777777" w:rsidR="00144B5C" w:rsidRPr="00144B5C" w:rsidRDefault="00144B5C"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144B5C">
              <w:rPr>
                <w:b/>
                <w:color w:val="000000"/>
              </w:rPr>
              <w:t>95.7%</w:t>
            </w:r>
          </w:p>
        </w:tc>
      </w:tr>
      <w:tr w:rsidR="00144B5C" w:rsidRPr="00DC3863" w14:paraId="2419878F" w14:textId="77777777" w:rsidTr="00B125CE">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00E0EA4" w14:textId="77777777" w:rsidR="00144B5C" w:rsidRPr="00144B5C" w:rsidRDefault="00144B5C" w:rsidP="00C93734">
            <w:pPr>
              <w:jc w:val="both"/>
              <w:rPr>
                <w:color w:val="000000"/>
              </w:rPr>
            </w:pPr>
            <w:r w:rsidRPr="00144B5C">
              <w:rPr>
                <w:color w:val="000000"/>
              </w:rPr>
              <w:t>Europe (other than UK);</w:t>
            </w:r>
          </w:p>
        </w:tc>
        <w:tc>
          <w:tcPr>
            <w:tcW w:w="1102" w:type="dxa"/>
            <w:noWrap/>
            <w:hideMark/>
          </w:tcPr>
          <w:p w14:paraId="365447C6" w14:textId="77777777" w:rsidR="00144B5C" w:rsidRPr="00144B5C" w:rsidRDefault="00144B5C"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44B5C">
              <w:rPr>
                <w:color w:val="000000"/>
              </w:rPr>
              <w:t>4.8%</w:t>
            </w:r>
          </w:p>
        </w:tc>
        <w:tc>
          <w:tcPr>
            <w:tcW w:w="969" w:type="dxa"/>
            <w:noWrap/>
            <w:hideMark/>
          </w:tcPr>
          <w:p w14:paraId="5A52587D" w14:textId="77777777" w:rsidR="00144B5C" w:rsidRPr="00144B5C" w:rsidRDefault="00144B5C"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44B5C">
              <w:rPr>
                <w:color w:val="000000"/>
              </w:rPr>
              <w:t>2.7%</w:t>
            </w:r>
          </w:p>
        </w:tc>
      </w:tr>
      <w:tr w:rsidR="00144B5C" w:rsidRPr="00DC3863" w14:paraId="314586FC" w14:textId="77777777" w:rsidTr="00B125CE">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2722BC1" w14:textId="77777777" w:rsidR="00144B5C" w:rsidRPr="00144B5C" w:rsidRDefault="00144B5C" w:rsidP="00C93734">
            <w:pPr>
              <w:jc w:val="both"/>
              <w:rPr>
                <w:color w:val="000000"/>
              </w:rPr>
            </w:pPr>
            <w:r w:rsidRPr="00144B5C">
              <w:rPr>
                <w:color w:val="000000"/>
              </w:rPr>
              <w:t>USA;</w:t>
            </w:r>
          </w:p>
        </w:tc>
        <w:tc>
          <w:tcPr>
            <w:tcW w:w="1102" w:type="dxa"/>
            <w:noWrap/>
            <w:hideMark/>
          </w:tcPr>
          <w:p w14:paraId="7105446E" w14:textId="77777777" w:rsidR="00144B5C" w:rsidRPr="00144B5C" w:rsidRDefault="00144B5C"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44B5C">
              <w:rPr>
                <w:color w:val="000000"/>
              </w:rPr>
              <w:t>0.5%</w:t>
            </w:r>
          </w:p>
        </w:tc>
        <w:tc>
          <w:tcPr>
            <w:tcW w:w="969" w:type="dxa"/>
            <w:noWrap/>
            <w:hideMark/>
          </w:tcPr>
          <w:p w14:paraId="721F2E71" w14:textId="77777777" w:rsidR="00144B5C" w:rsidRPr="00144B5C" w:rsidRDefault="00144B5C"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44B5C">
              <w:rPr>
                <w:color w:val="000000"/>
              </w:rPr>
              <w:t>0.5%</w:t>
            </w:r>
          </w:p>
        </w:tc>
      </w:tr>
      <w:tr w:rsidR="00144B5C" w:rsidRPr="00DC3863" w14:paraId="4DC5CEF8" w14:textId="77777777" w:rsidTr="00B125CE">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358349B" w14:textId="77777777" w:rsidR="00144B5C" w:rsidRPr="00144B5C" w:rsidRDefault="00144B5C" w:rsidP="00C93734">
            <w:pPr>
              <w:jc w:val="both"/>
              <w:rPr>
                <w:color w:val="000000"/>
              </w:rPr>
            </w:pPr>
            <w:r w:rsidRPr="00144B5C">
              <w:rPr>
                <w:color w:val="000000"/>
              </w:rPr>
              <w:t>China</w:t>
            </w:r>
          </w:p>
        </w:tc>
        <w:tc>
          <w:tcPr>
            <w:tcW w:w="1102" w:type="dxa"/>
            <w:noWrap/>
            <w:hideMark/>
          </w:tcPr>
          <w:p w14:paraId="79E70DF3" w14:textId="77777777" w:rsidR="00144B5C" w:rsidRPr="00144B5C" w:rsidRDefault="00144B5C"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44B5C">
              <w:rPr>
                <w:color w:val="000000"/>
              </w:rPr>
              <w:t>0.0%</w:t>
            </w:r>
          </w:p>
        </w:tc>
        <w:tc>
          <w:tcPr>
            <w:tcW w:w="969" w:type="dxa"/>
            <w:noWrap/>
            <w:hideMark/>
          </w:tcPr>
          <w:p w14:paraId="300F15D8" w14:textId="77777777" w:rsidR="00144B5C" w:rsidRPr="00144B5C" w:rsidRDefault="00144B5C"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44B5C">
              <w:rPr>
                <w:color w:val="000000"/>
              </w:rPr>
              <w:t>0.0%</w:t>
            </w:r>
          </w:p>
        </w:tc>
      </w:tr>
      <w:tr w:rsidR="00144B5C" w:rsidRPr="00DC3863" w14:paraId="5FF56845" w14:textId="77777777" w:rsidTr="00B125CE">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8A1CF38" w14:textId="77777777" w:rsidR="00144B5C" w:rsidRPr="00144B5C" w:rsidRDefault="00144B5C" w:rsidP="00C93734">
            <w:pPr>
              <w:jc w:val="both"/>
              <w:rPr>
                <w:color w:val="000000"/>
              </w:rPr>
            </w:pPr>
            <w:r w:rsidRPr="00144B5C">
              <w:rPr>
                <w:color w:val="000000"/>
              </w:rPr>
              <w:t>Far East;</w:t>
            </w:r>
          </w:p>
        </w:tc>
        <w:tc>
          <w:tcPr>
            <w:tcW w:w="1102" w:type="dxa"/>
            <w:noWrap/>
            <w:hideMark/>
          </w:tcPr>
          <w:p w14:paraId="329769FE" w14:textId="77777777" w:rsidR="00144B5C" w:rsidRPr="00144B5C" w:rsidRDefault="00144B5C"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44B5C">
              <w:rPr>
                <w:color w:val="000000"/>
              </w:rPr>
              <w:t>0.0%</w:t>
            </w:r>
          </w:p>
        </w:tc>
        <w:tc>
          <w:tcPr>
            <w:tcW w:w="969" w:type="dxa"/>
            <w:noWrap/>
            <w:hideMark/>
          </w:tcPr>
          <w:p w14:paraId="75C9F629" w14:textId="77777777" w:rsidR="00144B5C" w:rsidRPr="00144B5C" w:rsidRDefault="00144B5C"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44B5C">
              <w:rPr>
                <w:color w:val="000000"/>
              </w:rPr>
              <w:t>0.5%</w:t>
            </w:r>
          </w:p>
        </w:tc>
      </w:tr>
      <w:tr w:rsidR="00144B5C" w:rsidRPr="00DC3863" w14:paraId="45828736" w14:textId="77777777" w:rsidTr="00B125CE">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4AE1620" w14:textId="77777777" w:rsidR="00144B5C" w:rsidRPr="00144B5C" w:rsidRDefault="00144B5C" w:rsidP="00C93734">
            <w:pPr>
              <w:jc w:val="both"/>
              <w:rPr>
                <w:color w:val="000000"/>
              </w:rPr>
            </w:pPr>
            <w:r w:rsidRPr="00144B5C">
              <w:rPr>
                <w:color w:val="000000"/>
              </w:rPr>
              <w:t>Other Worldwide locations</w:t>
            </w:r>
          </w:p>
        </w:tc>
        <w:tc>
          <w:tcPr>
            <w:tcW w:w="1102" w:type="dxa"/>
            <w:noWrap/>
            <w:hideMark/>
          </w:tcPr>
          <w:p w14:paraId="0593BB85" w14:textId="77777777" w:rsidR="00144B5C" w:rsidRPr="00144B5C" w:rsidRDefault="00144B5C"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44B5C">
              <w:rPr>
                <w:color w:val="000000"/>
              </w:rPr>
              <w:t>1.4%</w:t>
            </w:r>
          </w:p>
        </w:tc>
        <w:tc>
          <w:tcPr>
            <w:tcW w:w="969" w:type="dxa"/>
            <w:noWrap/>
            <w:hideMark/>
          </w:tcPr>
          <w:p w14:paraId="0F8D9464" w14:textId="77777777" w:rsidR="00144B5C" w:rsidRPr="00144B5C" w:rsidRDefault="00144B5C"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144B5C">
              <w:rPr>
                <w:color w:val="000000"/>
              </w:rPr>
              <w:t>0.5%</w:t>
            </w:r>
          </w:p>
        </w:tc>
      </w:tr>
    </w:tbl>
    <w:p w14:paraId="3B89F603" w14:textId="77777777" w:rsidR="00144B5C" w:rsidRPr="002805F3" w:rsidRDefault="00144B5C" w:rsidP="00C93734">
      <w:pPr>
        <w:pStyle w:val="TableSource"/>
        <w:jc w:val="both"/>
      </w:pPr>
      <w:r w:rsidRPr="002805F3">
        <w:t>Source: Hill Taylor and Atkins 2013. Atkins Ref: Survey –A17/K3</w:t>
      </w:r>
    </w:p>
    <w:p w14:paraId="36AFB14C" w14:textId="77777777" w:rsidR="00144B5C" w:rsidRPr="00F103FE" w:rsidRDefault="00144B5C" w:rsidP="00C93734">
      <w:pPr>
        <w:jc w:val="both"/>
        <w:rPr>
          <w:rFonts w:cs="Arial"/>
          <w:b/>
        </w:rPr>
      </w:pPr>
      <w:r w:rsidRPr="00F103FE">
        <w:rPr>
          <w:rFonts w:cs="Arial"/>
          <w:b/>
        </w:rPr>
        <w:t>Skills</w:t>
      </w:r>
    </w:p>
    <w:p w14:paraId="0D319325" w14:textId="77777777" w:rsidR="00144B5C" w:rsidRPr="002805F3" w:rsidRDefault="00144B5C" w:rsidP="00C93734">
      <w:pPr>
        <w:jc w:val="both"/>
      </w:pPr>
      <w:r>
        <w:rPr>
          <w:rFonts w:cs="Arial"/>
        </w:rPr>
        <w:t xml:space="preserve">A </w:t>
      </w:r>
      <w:r w:rsidR="00AE0DD9">
        <w:rPr>
          <w:rFonts w:cs="Arial"/>
        </w:rPr>
        <w:t>relatively</w:t>
      </w:r>
      <w:r>
        <w:rPr>
          <w:rFonts w:cs="Arial"/>
        </w:rPr>
        <w:t xml:space="preserve"> small proportion of firms identified skills shortages (13.4%)</w:t>
      </w:r>
      <w:r w:rsidR="00FD5ED8">
        <w:rPr>
          <w:rFonts w:cs="Arial"/>
        </w:rPr>
        <w:t>,</w:t>
      </w:r>
      <w:r>
        <w:rPr>
          <w:rFonts w:cs="Arial"/>
        </w:rPr>
        <w:t xml:space="preserve"> reflecting the occupations </w:t>
      </w:r>
      <w:r w:rsidR="00FD5ED8">
        <w:rPr>
          <w:rFonts w:cs="Arial"/>
        </w:rPr>
        <w:t xml:space="preserve">predominant </w:t>
      </w:r>
      <w:r>
        <w:rPr>
          <w:rFonts w:cs="Arial"/>
        </w:rPr>
        <w:t>in the sect</w:t>
      </w:r>
      <w:r w:rsidR="00AE0DD9">
        <w:rPr>
          <w:rFonts w:cs="Arial"/>
        </w:rPr>
        <w:t xml:space="preserve">or and the associated skills </w:t>
      </w:r>
      <w:r w:rsidR="00FD5ED8">
        <w:rPr>
          <w:rFonts w:cs="Arial"/>
        </w:rPr>
        <w:t>requirements</w:t>
      </w:r>
      <w:r>
        <w:rPr>
          <w:rFonts w:cs="Arial"/>
        </w:rPr>
        <w:t>. Despite this, organisations like People 1</w:t>
      </w:r>
      <w:r w:rsidRPr="00CE0605">
        <w:rPr>
          <w:rFonts w:cs="Arial"/>
          <w:vertAlign w:val="superscript"/>
        </w:rPr>
        <w:t>st</w:t>
      </w:r>
      <w:r>
        <w:rPr>
          <w:rFonts w:cs="Arial"/>
        </w:rPr>
        <w:t xml:space="preserve"> have identified issues with the productivity of the sector and how raising standards and skills could address issues like high turnover of staff and expected increases in customer expectations. This may also reflect the low skills equilibrium in the local area as there are few skills challenges and comparatively low productivity. The survey did not identify any clear trends associated with skills shortages or gaps and </w:t>
      </w:r>
      <w:r w:rsidR="00FD5ED8">
        <w:rPr>
          <w:rFonts w:cs="Arial"/>
        </w:rPr>
        <w:t xml:space="preserve">to do so </w:t>
      </w:r>
      <w:r>
        <w:rPr>
          <w:rFonts w:cs="Arial"/>
        </w:rPr>
        <w:t>may require further research.</w:t>
      </w:r>
    </w:p>
    <w:p w14:paraId="41E6A073" w14:textId="77777777" w:rsidR="00144B5C" w:rsidRPr="00F103FE" w:rsidRDefault="00144B5C" w:rsidP="00C93734">
      <w:pPr>
        <w:jc w:val="both"/>
        <w:rPr>
          <w:rFonts w:cs="Arial"/>
          <w:b/>
        </w:rPr>
      </w:pPr>
      <w:r w:rsidRPr="00F103FE">
        <w:rPr>
          <w:rFonts w:cs="Arial"/>
          <w:b/>
        </w:rPr>
        <w:t>Future Prospects</w:t>
      </w:r>
    </w:p>
    <w:p w14:paraId="47A6237C" w14:textId="77777777" w:rsidR="00144B5C" w:rsidRDefault="00144B5C" w:rsidP="00C93734">
      <w:pPr>
        <w:jc w:val="both"/>
        <w:rPr>
          <w:rFonts w:cs="Arial"/>
        </w:rPr>
      </w:pPr>
      <w:r>
        <w:rPr>
          <w:rFonts w:cs="Arial"/>
        </w:rPr>
        <w:t xml:space="preserve">Over the past 3 years the majority of the business </w:t>
      </w:r>
      <w:r w:rsidR="00AE0DD9">
        <w:rPr>
          <w:rFonts w:cs="Arial"/>
        </w:rPr>
        <w:t xml:space="preserve">base (63%) has remained stable.  </w:t>
      </w:r>
      <w:r>
        <w:rPr>
          <w:rFonts w:cs="Arial"/>
        </w:rPr>
        <w:t xml:space="preserve">This suggests that the sector is resilient but not overly </w:t>
      </w:r>
      <w:r w:rsidR="00AE0DD9">
        <w:rPr>
          <w:rFonts w:cs="Arial"/>
        </w:rPr>
        <w:t>dynamic</w:t>
      </w:r>
      <w:r w:rsidR="007E0FBA">
        <w:rPr>
          <w:rFonts w:cs="Arial"/>
        </w:rPr>
        <w:t>,</w:t>
      </w:r>
      <w:r w:rsidR="00AE0DD9">
        <w:rPr>
          <w:rFonts w:cs="Arial"/>
        </w:rPr>
        <w:t xml:space="preserve"> although approximately 36% of surveyed businesses stated their intention to invest.   </w:t>
      </w:r>
      <w:r>
        <w:rPr>
          <w:rFonts w:cs="Arial"/>
        </w:rPr>
        <w:t xml:space="preserve"> Those that are looking t</w:t>
      </w:r>
      <w:r w:rsidR="008A6B51">
        <w:rPr>
          <w:rFonts w:cs="Arial"/>
        </w:rPr>
        <w:t xml:space="preserve">o invest </w:t>
      </w:r>
      <w:r w:rsidR="007E0FBA">
        <w:rPr>
          <w:rFonts w:cs="Arial"/>
        </w:rPr>
        <w:t>often identified</w:t>
      </w:r>
      <w:r w:rsidR="008A6B51">
        <w:rPr>
          <w:rFonts w:cs="Arial"/>
        </w:rPr>
        <w:t xml:space="preserve"> land</w:t>
      </w:r>
      <w:r w:rsidR="007E0FBA">
        <w:rPr>
          <w:rFonts w:cs="Arial"/>
        </w:rPr>
        <w:t>,</w:t>
      </w:r>
      <w:r>
        <w:rPr>
          <w:rFonts w:cs="Arial"/>
        </w:rPr>
        <w:t xml:space="preserve"> property and the </w:t>
      </w:r>
      <w:r w:rsidR="008A6B51">
        <w:rPr>
          <w:rFonts w:cs="Arial"/>
        </w:rPr>
        <w:t>workforce</w:t>
      </w:r>
      <w:r w:rsidR="007E0FBA">
        <w:rPr>
          <w:rFonts w:cs="Arial"/>
        </w:rPr>
        <w:t xml:space="preserve"> as the focus of investment plans</w:t>
      </w:r>
      <w:r>
        <w:rPr>
          <w:rFonts w:cs="Arial"/>
        </w:rPr>
        <w:t>.</w:t>
      </w:r>
    </w:p>
    <w:p w14:paraId="4BAC1F5E" w14:textId="77777777" w:rsidR="00144B5C" w:rsidRDefault="00144B5C" w:rsidP="00C93734">
      <w:pPr>
        <w:pStyle w:val="Caption"/>
        <w:jc w:val="both"/>
      </w:pPr>
      <w:r>
        <w:t xml:space="preserve">Table </w:t>
      </w:r>
      <w:fldSimple w:instr=" STYLEREF 1 \s  \* MERGEFORMAT ">
        <w:r w:rsidR="00E95E1A">
          <w:rPr>
            <w:noProof/>
          </w:rPr>
          <w:t>8</w:t>
        </w:r>
      </w:fldSimple>
      <w:r>
        <w:t>-</w:t>
      </w:r>
      <w:fldSimple w:instr=" SEQ Table \* ARABIC \s 1  \* MERGEFORMAT ">
        <w:r w:rsidR="00E95E1A">
          <w:rPr>
            <w:noProof/>
          </w:rPr>
          <w:t>8</w:t>
        </w:r>
      </w:fldSimple>
      <w:r>
        <w:tab/>
        <w:t>Size of Workforce</w:t>
      </w:r>
      <w:r w:rsidR="008A6B51">
        <w:t xml:space="preserve"> </w:t>
      </w:r>
      <w:r w:rsidR="00AA0EF3">
        <w:t>– Visitor Economy</w:t>
      </w:r>
    </w:p>
    <w:tbl>
      <w:tblPr>
        <w:tblStyle w:val="Atkins14pt"/>
        <w:tblW w:w="3686" w:type="dxa"/>
        <w:tblLayout w:type="fixed"/>
        <w:tblLook w:val="04A0" w:firstRow="1" w:lastRow="0" w:firstColumn="1" w:lastColumn="0" w:noHBand="0" w:noVBand="1"/>
      </w:tblPr>
      <w:tblGrid>
        <w:gridCol w:w="1474"/>
        <w:gridCol w:w="2212"/>
      </w:tblGrid>
      <w:tr w:rsidR="00144B5C" w:rsidRPr="002805F3" w14:paraId="0D4D0F65" w14:textId="77777777" w:rsidTr="005C36D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74" w:type="dxa"/>
            <w:noWrap/>
            <w:hideMark/>
          </w:tcPr>
          <w:p w14:paraId="253C3264" w14:textId="77777777" w:rsidR="00144B5C" w:rsidRPr="00DC3863" w:rsidRDefault="00144B5C" w:rsidP="00C93734">
            <w:pPr>
              <w:jc w:val="both"/>
              <w:rPr>
                <w:color w:val="000000"/>
              </w:rPr>
            </w:pPr>
            <w:r w:rsidRPr="00DC3863">
              <w:rPr>
                <w:color w:val="000000"/>
              </w:rPr>
              <w:t>Movement</w:t>
            </w:r>
          </w:p>
        </w:tc>
        <w:tc>
          <w:tcPr>
            <w:tcW w:w="2212" w:type="dxa"/>
            <w:noWrap/>
            <w:hideMark/>
          </w:tcPr>
          <w:p w14:paraId="1165E69F" w14:textId="77777777" w:rsidR="00144B5C" w:rsidRPr="00DC3863" w:rsidRDefault="00144B5C" w:rsidP="00C93734">
            <w:pPr>
              <w:jc w:val="both"/>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Visitor Econom</w:t>
            </w:r>
            <w:r w:rsidR="00AA0EF3">
              <w:rPr>
                <w:color w:val="000000"/>
              </w:rPr>
              <w:t>y</w:t>
            </w:r>
          </w:p>
        </w:tc>
      </w:tr>
      <w:tr w:rsidR="00144B5C" w:rsidRPr="002805F3" w14:paraId="2D4CDDFA" w14:textId="77777777" w:rsidTr="005C36DC">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605460EB" w14:textId="77777777" w:rsidR="00144B5C" w:rsidRPr="00DC3863" w:rsidRDefault="00144B5C" w:rsidP="00C93734">
            <w:pPr>
              <w:spacing w:after="120"/>
              <w:jc w:val="both"/>
              <w:rPr>
                <w:color w:val="000000"/>
              </w:rPr>
            </w:pPr>
            <w:r w:rsidRPr="00DC3863">
              <w:rPr>
                <w:color w:val="000000"/>
              </w:rPr>
              <w:t>Increased</w:t>
            </w:r>
          </w:p>
        </w:tc>
        <w:tc>
          <w:tcPr>
            <w:tcW w:w="2212" w:type="dxa"/>
            <w:noWrap/>
            <w:hideMark/>
          </w:tcPr>
          <w:p w14:paraId="2016FF4D" w14:textId="77777777" w:rsidR="00144B5C" w:rsidRPr="00DC3863" w:rsidRDefault="00144B5C"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18.1%</w:t>
            </w:r>
          </w:p>
        </w:tc>
      </w:tr>
      <w:tr w:rsidR="00144B5C" w:rsidRPr="002805F3" w14:paraId="3DFA1F28" w14:textId="77777777" w:rsidTr="005C36DC">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78EC91B7" w14:textId="77777777" w:rsidR="00144B5C" w:rsidRPr="00DC3863" w:rsidRDefault="00144B5C" w:rsidP="00C93734">
            <w:pPr>
              <w:spacing w:after="120"/>
              <w:jc w:val="both"/>
              <w:rPr>
                <w:color w:val="000000"/>
              </w:rPr>
            </w:pPr>
            <w:r w:rsidRPr="00DC3863">
              <w:rPr>
                <w:color w:val="000000"/>
              </w:rPr>
              <w:t>Decreased</w:t>
            </w:r>
          </w:p>
        </w:tc>
        <w:tc>
          <w:tcPr>
            <w:tcW w:w="2212" w:type="dxa"/>
            <w:noWrap/>
            <w:hideMark/>
          </w:tcPr>
          <w:p w14:paraId="269F07C7" w14:textId="77777777" w:rsidR="00144B5C" w:rsidRPr="00DC3863" w:rsidRDefault="00144B5C"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18.9%</w:t>
            </w:r>
          </w:p>
        </w:tc>
      </w:tr>
      <w:tr w:rsidR="00144B5C" w:rsidRPr="002805F3" w14:paraId="70C49E60" w14:textId="77777777" w:rsidTr="005C36DC">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3F8A0E68" w14:textId="77777777" w:rsidR="00144B5C" w:rsidRPr="00DC3863" w:rsidRDefault="00144B5C" w:rsidP="00C93734">
            <w:pPr>
              <w:spacing w:after="120"/>
              <w:jc w:val="both"/>
              <w:rPr>
                <w:color w:val="000000"/>
              </w:rPr>
            </w:pPr>
            <w:r w:rsidRPr="00DC3863">
              <w:rPr>
                <w:color w:val="000000"/>
              </w:rPr>
              <w:t>Remained stable</w:t>
            </w:r>
          </w:p>
        </w:tc>
        <w:tc>
          <w:tcPr>
            <w:tcW w:w="2212" w:type="dxa"/>
            <w:noWrap/>
            <w:hideMark/>
          </w:tcPr>
          <w:p w14:paraId="2E57938F" w14:textId="77777777" w:rsidR="00144B5C" w:rsidRPr="00DC3863" w:rsidRDefault="00144B5C"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63.0%</w:t>
            </w:r>
          </w:p>
        </w:tc>
      </w:tr>
    </w:tbl>
    <w:p w14:paraId="41FCC961" w14:textId="77777777" w:rsidR="00144B5C" w:rsidRDefault="00144B5C" w:rsidP="00C93734">
      <w:pPr>
        <w:pStyle w:val="TableSource"/>
        <w:jc w:val="both"/>
      </w:pPr>
      <w:r w:rsidRPr="002805F3">
        <w:t>Source: Hill Taylor and Atkins 2013. Atkins Ref: Survey –A20</w:t>
      </w:r>
    </w:p>
    <w:p w14:paraId="19C6557F" w14:textId="77777777" w:rsidR="00144B5C" w:rsidRDefault="00144B5C" w:rsidP="00C93734">
      <w:pPr>
        <w:jc w:val="both"/>
        <w:rPr>
          <w:rFonts w:cs="Arial"/>
        </w:rPr>
      </w:pPr>
      <w:r>
        <w:t xml:space="preserve">Very few firms </w:t>
      </w:r>
      <w:r w:rsidR="00BE08CF">
        <w:t>have recently</w:t>
      </w:r>
      <w:r>
        <w:t xml:space="preserve"> sought to </w:t>
      </w:r>
      <w:r w:rsidR="00BE08CF">
        <w:t>relocate and an impressive 85% consider the area to be a good and competitive location for their business</w:t>
      </w:r>
      <w:r>
        <w:t>.</w:t>
      </w:r>
    </w:p>
    <w:p w14:paraId="68CAB902" w14:textId="77777777" w:rsidR="00AF2D59" w:rsidRDefault="00AE0E3C" w:rsidP="00C93734">
      <w:pPr>
        <w:pStyle w:val="Heading3"/>
        <w:numPr>
          <w:ilvl w:val="0"/>
          <w:numId w:val="0"/>
        </w:numPr>
        <w:jc w:val="both"/>
      </w:pPr>
      <w:r>
        <w:t xml:space="preserve">7.1.3. </w:t>
      </w:r>
      <w:r w:rsidR="002F7137">
        <w:t>Economic Linkages &amp; Supply Chain</w:t>
      </w:r>
    </w:p>
    <w:p w14:paraId="442873B1" w14:textId="77777777" w:rsidR="008D64CF" w:rsidRDefault="008D64CF" w:rsidP="00C93734">
      <w:pPr>
        <w:jc w:val="both"/>
      </w:pPr>
      <w:r>
        <w:t xml:space="preserve">The sector has a different profile to </w:t>
      </w:r>
      <w:r w:rsidR="00A0244B">
        <w:t xml:space="preserve">the other key sectors given that it is a service-based activity and particularly diverse in nature.  </w:t>
      </w:r>
      <w:r>
        <w:t xml:space="preserve"> </w:t>
      </w:r>
      <w:r w:rsidR="00A0244B">
        <w:t>Some key linkages with the wider economy are described below.</w:t>
      </w:r>
    </w:p>
    <w:p w14:paraId="5EEB31B4" w14:textId="77777777" w:rsidR="00127076" w:rsidRPr="00127076" w:rsidRDefault="00EA6D7D" w:rsidP="00C93734">
      <w:pPr>
        <w:jc w:val="both"/>
        <w:rPr>
          <w:b/>
        </w:rPr>
      </w:pPr>
      <w:r w:rsidRPr="00127076">
        <w:rPr>
          <w:b/>
        </w:rPr>
        <w:t>Independent Shops</w:t>
      </w:r>
    </w:p>
    <w:p w14:paraId="7FDEAF83" w14:textId="77777777" w:rsidR="002F7137" w:rsidRDefault="008D64CF" w:rsidP="00C93734">
      <w:pPr>
        <w:jc w:val="both"/>
      </w:pPr>
      <w:r w:rsidRPr="00700F64">
        <w:rPr>
          <w:bCs/>
        </w:rPr>
        <w:t xml:space="preserve">Independent retail is important for the vitality of </w:t>
      </w:r>
      <w:r w:rsidR="00700F64" w:rsidRPr="00700F64">
        <w:rPr>
          <w:bCs/>
        </w:rPr>
        <w:t xml:space="preserve">shopping areas and </w:t>
      </w:r>
      <w:r w:rsidR="00127076" w:rsidRPr="00700F64">
        <w:rPr>
          <w:bCs/>
        </w:rPr>
        <w:t>plays</w:t>
      </w:r>
      <w:r w:rsidR="00700F64" w:rsidRPr="00700F64">
        <w:rPr>
          <w:bCs/>
        </w:rPr>
        <w:t xml:space="preserve"> an important part in supporting the local community, buying locally and employing local people</w:t>
      </w:r>
      <w:r w:rsidR="007E0FBA">
        <w:rPr>
          <w:bCs/>
        </w:rPr>
        <w:t xml:space="preserve">, in comparison to </w:t>
      </w:r>
      <w:r w:rsidR="00700F64" w:rsidRPr="00700F64">
        <w:rPr>
          <w:bCs/>
        </w:rPr>
        <w:t>larger chain stores which</w:t>
      </w:r>
      <w:r w:rsidR="007E0FBA">
        <w:rPr>
          <w:bCs/>
        </w:rPr>
        <w:t xml:space="preserve"> often</w:t>
      </w:r>
      <w:r w:rsidR="00700F64" w:rsidRPr="00700F64">
        <w:rPr>
          <w:bCs/>
        </w:rPr>
        <w:t xml:space="preserve"> do not use local suppliers. Although </w:t>
      </w:r>
      <w:r w:rsidR="007E0FBA">
        <w:rPr>
          <w:bCs/>
        </w:rPr>
        <w:t>high streets</w:t>
      </w:r>
      <w:r w:rsidR="00700F64" w:rsidRPr="00700F64">
        <w:rPr>
          <w:bCs/>
        </w:rPr>
        <w:t xml:space="preserve"> ha</w:t>
      </w:r>
      <w:r w:rsidR="007E0FBA">
        <w:rPr>
          <w:bCs/>
        </w:rPr>
        <w:t>ve</w:t>
      </w:r>
      <w:r w:rsidR="00700F64" w:rsidRPr="00700F64">
        <w:rPr>
          <w:bCs/>
        </w:rPr>
        <w:t xml:space="preserve"> been affected by the 2008-2009 recession, independent retailers have sometime</w:t>
      </w:r>
      <w:r w:rsidR="007E0FBA">
        <w:rPr>
          <w:bCs/>
        </w:rPr>
        <w:t>s proved resilient due to</w:t>
      </w:r>
      <w:r w:rsidR="00700F64" w:rsidRPr="00700F64">
        <w:rPr>
          <w:bCs/>
        </w:rPr>
        <w:t xml:space="preserve"> </w:t>
      </w:r>
      <w:r w:rsidR="007E0FBA">
        <w:rPr>
          <w:bCs/>
        </w:rPr>
        <w:t>local</w:t>
      </w:r>
      <w:r w:rsidR="007E0FBA" w:rsidRPr="00700F64">
        <w:rPr>
          <w:bCs/>
        </w:rPr>
        <w:t xml:space="preserve"> </w:t>
      </w:r>
      <w:r w:rsidR="00700F64" w:rsidRPr="00700F64">
        <w:rPr>
          <w:bCs/>
        </w:rPr>
        <w:t xml:space="preserve">support, low rents and smaller retail spaces reducing risk. Areas such as Seaview Street in Cleethorpes and the Abbeygate </w:t>
      </w:r>
      <w:r w:rsidR="007E0FBA">
        <w:rPr>
          <w:bCs/>
        </w:rPr>
        <w:t>s</w:t>
      </w:r>
      <w:r w:rsidR="007E0FBA" w:rsidRPr="00700F64">
        <w:rPr>
          <w:bCs/>
        </w:rPr>
        <w:t xml:space="preserve">hopping </w:t>
      </w:r>
      <w:r w:rsidR="00700F64" w:rsidRPr="00700F64">
        <w:rPr>
          <w:bCs/>
        </w:rPr>
        <w:t xml:space="preserve">area in Grimsby </w:t>
      </w:r>
      <w:r w:rsidR="007E0FBA">
        <w:rPr>
          <w:bCs/>
        </w:rPr>
        <w:t>demonstrate the</w:t>
      </w:r>
      <w:r w:rsidR="00700F64" w:rsidRPr="00700F64">
        <w:rPr>
          <w:bCs/>
        </w:rPr>
        <w:t xml:space="preserve"> demand for independent shops.</w:t>
      </w:r>
    </w:p>
    <w:p w14:paraId="1D002EBA" w14:textId="77777777" w:rsidR="00127076" w:rsidRPr="00127076" w:rsidRDefault="00EA6D7D" w:rsidP="00C93734">
      <w:pPr>
        <w:jc w:val="both"/>
        <w:rPr>
          <w:b/>
        </w:rPr>
      </w:pPr>
      <w:r w:rsidRPr="00127076">
        <w:rPr>
          <w:b/>
        </w:rPr>
        <w:t>Larger Stores</w:t>
      </w:r>
      <w:r w:rsidR="00127076" w:rsidRPr="00127076">
        <w:rPr>
          <w:b/>
        </w:rPr>
        <w:t xml:space="preserve"> and Multiples</w:t>
      </w:r>
    </w:p>
    <w:p w14:paraId="2B0D4C0B" w14:textId="77777777" w:rsidR="00EA6D7D" w:rsidRDefault="00700F64" w:rsidP="00C93734">
      <w:pPr>
        <w:jc w:val="both"/>
      </w:pPr>
      <w:r>
        <w:t xml:space="preserve">Supermarkets, </w:t>
      </w:r>
      <w:r w:rsidR="007E0FBA">
        <w:t>chain stores</w:t>
      </w:r>
      <w:r>
        <w:t xml:space="preserve"> and department stores can contribute </w:t>
      </w:r>
      <w:r w:rsidR="007E0FBA">
        <w:t>significantly to</w:t>
      </w:r>
      <w:r>
        <w:t xml:space="preserve"> th</w:t>
      </w:r>
      <w:r w:rsidR="00C253A0">
        <w:t>e local area through employment and</w:t>
      </w:r>
      <w:r>
        <w:t xml:space="preserve"> community and social responsibility</w:t>
      </w:r>
      <w:r w:rsidR="007E0FBA">
        <w:t xml:space="preserve"> activities</w:t>
      </w:r>
      <w:r w:rsidR="00C253A0">
        <w:t xml:space="preserve">. There </w:t>
      </w:r>
      <w:r w:rsidR="007E0FBA">
        <w:t xml:space="preserve">has </w:t>
      </w:r>
      <w:r w:rsidR="00C253A0">
        <w:t>been an increase in the number of supermarkets and</w:t>
      </w:r>
      <w:r w:rsidR="007E0FBA">
        <w:t>,</w:t>
      </w:r>
      <w:r w:rsidR="00C253A0">
        <w:t xml:space="preserve"> </w:t>
      </w:r>
      <w:r w:rsidR="007E0FBA">
        <w:t>despite negative associations with supermarket expansion,</w:t>
      </w:r>
      <w:r w:rsidR="00C253A0">
        <w:t xml:space="preserve"> the </w:t>
      </w:r>
      <w:r w:rsidR="007E0FBA">
        <w:t>employment opportunities created are often well matched to local labour supply</w:t>
      </w:r>
      <w:r w:rsidR="00127076">
        <w:t>.  N</w:t>
      </w:r>
      <w:r w:rsidR="00C253A0">
        <w:t xml:space="preserve">ew supermarkets can also offer </w:t>
      </w:r>
      <w:r w:rsidR="00C253A0" w:rsidRPr="00C253A0">
        <w:t xml:space="preserve">training courses with guaranteed </w:t>
      </w:r>
      <w:r w:rsidR="00AA4794">
        <w:t>employment upon completion</w:t>
      </w:r>
      <w:r w:rsidR="00C253A0">
        <w:t xml:space="preserve">. There has been </w:t>
      </w:r>
      <w:r w:rsidR="00AA4794">
        <w:t xml:space="preserve">a </w:t>
      </w:r>
      <w:r w:rsidR="00C253A0">
        <w:t xml:space="preserve">decline in the </w:t>
      </w:r>
      <w:r w:rsidR="00AA4794">
        <w:t xml:space="preserve">presence </w:t>
      </w:r>
      <w:r w:rsidR="00C253A0">
        <w:t xml:space="preserve">of chain </w:t>
      </w:r>
      <w:r w:rsidR="00AA4794">
        <w:t xml:space="preserve">stores </w:t>
      </w:r>
      <w:r w:rsidR="00C253A0">
        <w:t xml:space="preserve">and department stores </w:t>
      </w:r>
      <w:r w:rsidR="00AA4794">
        <w:t>on high streets</w:t>
      </w:r>
      <w:r w:rsidR="00C253A0">
        <w:t xml:space="preserve"> nationally</w:t>
      </w:r>
      <w:r w:rsidR="00AA4794">
        <w:t xml:space="preserve"> in place of expansion in out-of-town retail sites</w:t>
      </w:r>
      <w:r w:rsidR="00C253A0">
        <w:t xml:space="preserve">. In Grimsby, the </w:t>
      </w:r>
      <w:r w:rsidR="00AA4794">
        <w:t>this process</w:t>
      </w:r>
      <w:r w:rsidR="00C253A0">
        <w:t xml:space="preserve"> has </w:t>
      </w:r>
      <w:r w:rsidR="002D1540">
        <w:t>left key retail spaces empty</w:t>
      </w:r>
      <w:r w:rsidR="00AA4794">
        <w:t>,</w:t>
      </w:r>
      <w:r w:rsidR="002D1540">
        <w:t xml:space="preserve"> present</w:t>
      </w:r>
      <w:r w:rsidR="00AA4794">
        <w:t>ing</w:t>
      </w:r>
      <w:r w:rsidR="002D1540">
        <w:t xml:space="preserve"> opportunities for </w:t>
      </w:r>
      <w:r w:rsidR="00AA4794">
        <w:t xml:space="preserve">entrepreneurial </w:t>
      </w:r>
      <w:r w:rsidR="002D1540">
        <w:t>retail activity (e.g. nail salons) and other retail</w:t>
      </w:r>
      <w:r w:rsidR="00AA4794">
        <w:t xml:space="preserve"> activities</w:t>
      </w:r>
      <w:r w:rsidR="002D1540">
        <w:t xml:space="preserve"> looking to </w:t>
      </w:r>
      <w:r w:rsidR="00AA4794">
        <w:t>expand</w:t>
      </w:r>
      <w:r w:rsidR="002D1540">
        <w:t>.</w:t>
      </w:r>
    </w:p>
    <w:p w14:paraId="382B1DDC" w14:textId="77777777" w:rsidR="00127076" w:rsidRPr="00127076" w:rsidRDefault="00EA6D7D" w:rsidP="00C93734">
      <w:pPr>
        <w:jc w:val="both"/>
        <w:rPr>
          <w:b/>
        </w:rPr>
      </w:pPr>
      <w:r w:rsidRPr="00127076">
        <w:rPr>
          <w:b/>
        </w:rPr>
        <w:t>Visitor Attractions</w:t>
      </w:r>
    </w:p>
    <w:p w14:paraId="69254EEC" w14:textId="77777777" w:rsidR="00911361" w:rsidRDefault="002D1540" w:rsidP="00C93734">
      <w:pPr>
        <w:jc w:val="both"/>
      </w:pPr>
      <w:r>
        <w:t xml:space="preserve">There are many visitor attractions in </w:t>
      </w:r>
      <w:r w:rsidR="00AA4794">
        <w:t>NEL</w:t>
      </w:r>
      <w:r w:rsidR="00127076">
        <w:t xml:space="preserve">.  </w:t>
      </w:r>
      <w:r w:rsidR="00AA4794">
        <w:t>These include</w:t>
      </w:r>
      <w:r w:rsidR="00911361">
        <w:t>:</w:t>
      </w:r>
    </w:p>
    <w:p w14:paraId="575190F2" w14:textId="77777777" w:rsidR="00EA6D7D" w:rsidRDefault="00911361" w:rsidP="00C93734">
      <w:pPr>
        <w:pStyle w:val="ListParagraph"/>
        <w:numPr>
          <w:ilvl w:val="0"/>
          <w:numId w:val="39"/>
        </w:numPr>
        <w:jc w:val="both"/>
      </w:pPr>
      <w:r>
        <w:t>History – Victorian seaside resort and fishing heritage attractions.</w:t>
      </w:r>
    </w:p>
    <w:p w14:paraId="6F326C41" w14:textId="77777777" w:rsidR="00911361" w:rsidRDefault="00911361" w:rsidP="00C93734">
      <w:pPr>
        <w:pStyle w:val="ListParagraph"/>
        <w:numPr>
          <w:ilvl w:val="0"/>
          <w:numId w:val="39"/>
        </w:numPr>
        <w:jc w:val="both"/>
      </w:pPr>
      <w:r>
        <w:t>Natural beauty – Countryside, seaside and ecological variety.</w:t>
      </w:r>
    </w:p>
    <w:p w14:paraId="7C6FD95E" w14:textId="77777777" w:rsidR="00911361" w:rsidRDefault="00911361" w:rsidP="00C93734">
      <w:pPr>
        <w:pStyle w:val="ListParagraph"/>
        <w:numPr>
          <w:ilvl w:val="0"/>
          <w:numId w:val="39"/>
        </w:numPr>
        <w:jc w:val="both"/>
      </w:pPr>
      <w:r>
        <w:t>Cultural activities – Theatrical, arts and cinematographic exhibitions, events and shows at the Grimsby Auditorium, Caxton Theatre and Parkway Cinema.</w:t>
      </w:r>
    </w:p>
    <w:p w14:paraId="69F2F0BE" w14:textId="77777777" w:rsidR="00755506" w:rsidRPr="00925F20" w:rsidRDefault="00911361" w:rsidP="00925F20">
      <w:pPr>
        <w:pStyle w:val="ListParagraph"/>
        <w:numPr>
          <w:ilvl w:val="0"/>
          <w:numId w:val="39"/>
        </w:numPr>
        <w:jc w:val="both"/>
      </w:pPr>
      <w:r>
        <w:t xml:space="preserve">Sporting heritage and present activities – Football, swimming and airshows attractions, events and </w:t>
      </w:r>
      <w:r w:rsidR="00FB6819">
        <w:t>performance.</w:t>
      </w:r>
      <w:r w:rsidR="00025C3F">
        <w:t xml:space="preserve"> Grimsby FC is seeking to build a new stadium in the future</w:t>
      </w:r>
      <w:r w:rsidR="00670B46">
        <w:t xml:space="preserve">, and have been supported by NELC in exploring options for developing surrounding land, possibly for retail purposes.  </w:t>
      </w:r>
    </w:p>
    <w:p w14:paraId="280AA422" w14:textId="77777777" w:rsidR="00127076" w:rsidRPr="00127076" w:rsidRDefault="00127076" w:rsidP="00C93734">
      <w:pPr>
        <w:jc w:val="both"/>
        <w:rPr>
          <w:b/>
        </w:rPr>
      </w:pPr>
      <w:r w:rsidRPr="00127076">
        <w:rPr>
          <w:b/>
        </w:rPr>
        <w:t>Food &amp; Drink</w:t>
      </w:r>
    </w:p>
    <w:p w14:paraId="3B477089" w14:textId="77777777" w:rsidR="00EA6D7D" w:rsidRDefault="00FB6819" w:rsidP="00C93734">
      <w:pPr>
        <w:jc w:val="both"/>
      </w:pPr>
      <w:r>
        <w:t xml:space="preserve">Despite traditional fish and chips being the major temptation for visitors and local residents, different types of cuisine </w:t>
      </w:r>
      <w:r w:rsidR="003113D2">
        <w:t>have established</w:t>
      </w:r>
      <w:r>
        <w:t xml:space="preserve"> themselves across </w:t>
      </w:r>
      <w:r w:rsidR="00AA4794">
        <w:t>NEL</w:t>
      </w:r>
      <w:r>
        <w:t xml:space="preserve"> (e.g. Chinese, </w:t>
      </w:r>
      <w:r w:rsidR="003113D2">
        <w:t>Indian</w:t>
      </w:r>
      <w:r>
        <w:t xml:space="preserve">, Italian). </w:t>
      </w:r>
      <w:r w:rsidR="004E68C3">
        <w:t xml:space="preserve">Food and drink has the potential to </w:t>
      </w:r>
      <w:r w:rsidR="00AA4794">
        <w:t>take advantage of</w:t>
      </w:r>
      <w:r w:rsidR="004E68C3">
        <w:t xml:space="preserve"> fresh produce from the agricultural hinterland of Lincolnshire and </w:t>
      </w:r>
      <w:r w:rsidR="00AA4794">
        <w:t>seafood from the fishing industry</w:t>
      </w:r>
      <w:r w:rsidR="004E68C3">
        <w:t>.</w:t>
      </w:r>
    </w:p>
    <w:p w14:paraId="3EB51CD9" w14:textId="77777777" w:rsidR="00127076" w:rsidRPr="00127076" w:rsidRDefault="00FB6819" w:rsidP="00C93734">
      <w:pPr>
        <w:jc w:val="both"/>
        <w:rPr>
          <w:b/>
        </w:rPr>
      </w:pPr>
      <w:r w:rsidRPr="00127076">
        <w:rPr>
          <w:b/>
        </w:rPr>
        <w:t xml:space="preserve">Visitor </w:t>
      </w:r>
      <w:r w:rsidR="00EA6D7D" w:rsidRPr="00127076">
        <w:rPr>
          <w:b/>
        </w:rPr>
        <w:t>Accommodation</w:t>
      </w:r>
    </w:p>
    <w:p w14:paraId="45208BF2" w14:textId="77777777" w:rsidR="00EA6D7D" w:rsidRDefault="00AA4794" w:rsidP="00C93734">
      <w:pPr>
        <w:jc w:val="both"/>
      </w:pPr>
      <w:r>
        <w:t>NEL</w:t>
      </w:r>
      <w:r w:rsidR="00FB6819">
        <w:t xml:space="preserve"> has a variety of hotels, apartments, B&amp;Bs and holiday homes for those visiting for leisure or work. </w:t>
      </w:r>
      <w:r w:rsidR="004E68C3">
        <w:t xml:space="preserve">These accommodation options provide </w:t>
      </w:r>
      <w:r w:rsidR="00DB3D47">
        <w:t>for a range of</w:t>
      </w:r>
      <w:r w:rsidR="004E68C3">
        <w:t xml:space="preserve"> requirements.</w:t>
      </w:r>
      <w:r w:rsidR="00127076">
        <w:t xml:space="preserve">  Business demand has supported growth in the local hotel economy with two new</w:t>
      </w:r>
      <w:r w:rsidR="003113D2">
        <w:t xml:space="preserve"> branded</w:t>
      </w:r>
      <w:r w:rsidR="00127076">
        <w:t xml:space="preserve"> hotels currently under</w:t>
      </w:r>
      <w:r w:rsidR="00DB3D47">
        <w:t xml:space="preserve"> construction.</w:t>
      </w:r>
      <w:r w:rsidR="00127076">
        <w:t>.</w:t>
      </w:r>
    </w:p>
    <w:p w14:paraId="0CA597F6" w14:textId="77777777" w:rsidR="00127076" w:rsidRPr="00127076" w:rsidRDefault="00DB3D47" w:rsidP="00C93734">
      <w:pPr>
        <w:jc w:val="both"/>
        <w:rPr>
          <w:b/>
        </w:rPr>
      </w:pPr>
      <w:r>
        <w:rPr>
          <w:b/>
        </w:rPr>
        <w:t>Seafood</w:t>
      </w:r>
      <w:r w:rsidR="008D64CF" w:rsidRPr="00127076">
        <w:rPr>
          <w:b/>
        </w:rPr>
        <w:t xml:space="preserve"> retail</w:t>
      </w:r>
    </w:p>
    <w:p w14:paraId="47C37210" w14:textId="77777777" w:rsidR="008D64CF" w:rsidRDefault="004E68C3" w:rsidP="00C93734">
      <w:pPr>
        <w:jc w:val="both"/>
      </w:pPr>
      <w:r>
        <w:t xml:space="preserve">Due to the fish processing industry and the </w:t>
      </w:r>
      <w:r w:rsidR="00DB3D47">
        <w:t xml:space="preserve">Grimsby </w:t>
      </w:r>
      <w:r>
        <w:t xml:space="preserve">fish market, there are a </w:t>
      </w:r>
      <w:r w:rsidR="00DB3D47">
        <w:t xml:space="preserve">number </w:t>
      </w:r>
      <w:r>
        <w:t xml:space="preserve">of </w:t>
      </w:r>
      <w:r w:rsidR="00DB3D47">
        <w:t>seafood</w:t>
      </w:r>
      <w:r>
        <w:t xml:space="preserve"> retail and wholesale companies serving fishmongers, restaurants and shops across the country. </w:t>
      </w:r>
      <w:r w:rsidR="00015430">
        <w:t xml:space="preserve"> This clearly offers a major</w:t>
      </w:r>
      <w:r w:rsidR="005C065C">
        <w:t xml:space="preserve"> business</w:t>
      </w:r>
      <w:r w:rsidR="00015430">
        <w:t xml:space="preserve"> opportunity for</w:t>
      </w:r>
      <w:r w:rsidR="005C065C">
        <w:t xml:space="preserve"> improvement and</w:t>
      </w:r>
      <w:r w:rsidR="00015430">
        <w:t xml:space="preserve"> growth over </w:t>
      </w:r>
      <w:r w:rsidR="005C065C">
        <w:t>forthcoming years</w:t>
      </w:r>
      <w:r w:rsidR="00015430">
        <w:t>.</w:t>
      </w:r>
    </w:p>
    <w:p w14:paraId="2FFBA468" w14:textId="77777777" w:rsidR="002F7137" w:rsidRDefault="002F7137" w:rsidP="00C93734">
      <w:pPr>
        <w:pStyle w:val="Heading3"/>
        <w:numPr>
          <w:ilvl w:val="2"/>
          <w:numId w:val="5"/>
        </w:numPr>
        <w:jc w:val="both"/>
      </w:pPr>
      <w:r>
        <w:t>Local Strengths</w:t>
      </w:r>
    </w:p>
    <w:p w14:paraId="63DF0664" w14:textId="77777777" w:rsidR="002F7137" w:rsidRDefault="004E68C3" w:rsidP="00C93734">
      <w:pPr>
        <w:jc w:val="both"/>
      </w:pPr>
      <w:r>
        <w:t>The local economy has a number of strengths</w:t>
      </w:r>
      <w:r w:rsidR="00DB3D47">
        <w:t>,</w:t>
      </w:r>
      <w:r w:rsidR="00941C9F">
        <w:t xml:space="preserve"> identified </w:t>
      </w:r>
      <w:r w:rsidR="00DB3D47">
        <w:t xml:space="preserve">here </w:t>
      </w:r>
      <w:r w:rsidR="00941C9F">
        <w:t>through a</w:t>
      </w:r>
      <w:r>
        <w:t xml:space="preserve"> location q</w:t>
      </w:r>
      <w:r w:rsidR="00941C9F">
        <w:t xml:space="preserve">uotient analysis. These highlight the strength of the local area in </w:t>
      </w:r>
      <w:r w:rsidR="000651EF">
        <w:t>terms of</w:t>
      </w:r>
      <w:r w:rsidR="00941C9F">
        <w:t xml:space="preserve"> camping grounds (Thorpe Park) and amusement and theme parks (Cleethorpes beach)</w:t>
      </w:r>
      <w:r w:rsidR="000651EF">
        <w:t>.</w:t>
      </w:r>
    </w:p>
    <w:p w14:paraId="7E0517A5" w14:textId="77777777" w:rsidR="00E95E1A" w:rsidRDefault="00E95E1A" w:rsidP="00E95E1A">
      <w:pPr>
        <w:pStyle w:val="Caption"/>
      </w:pPr>
      <w:r>
        <w:t xml:space="preserve">Table </w:t>
      </w:r>
      <w:fldSimple w:instr=" STYLEREF 1 \s  \* MERGEFORMAT ">
        <w:r>
          <w:rPr>
            <w:noProof/>
          </w:rPr>
          <w:t>8</w:t>
        </w:r>
      </w:fldSimple>
      <w:r>
        <w:t>-</w:t>
      </w:r>
      <w:fldSimple w:instr=" SEQ Table \* ARABIC \s 1  \* MERGEFORMAT ">
        <w:r>
          <w:rPr>
            <w:noProof/>
          </w:rPr>
          <w:t>9</w:t>
        </w:r>
      </w:fldSimple>
      <w:r>
        <w:tab/>
      </w:r>
      <w:r w:rsidR="00925F20">
        <w:t xml:space="preserve">Employment </w:t>
      </w:r>
      <w:r>
        <w:t>LQ Analysis - Visito</w:t>
      </w:r>
      <w:r w:rsidR="00B23F10">
        <w:t>r Economy</w:t>
      </w:r>
    </w:p>
    <w:tbl>
      <w:tblPr>
        <w:tblStyle w:val="Atkins14pt"/>
        <w:tblW w:w="8938" w:type="dxa"/>
        <w:tblLook w:val="04A0" w:firstRow="1" w:lastRow="0" w:firstColumn="1" w:lastColumn="0" w:noHBand="0" w:noVBand="1"/>
      </w:tblPr>
      <w:tblGrid>
        <w:gridCol w:w="7840"/>
        <w:gridCol w:w="1098"/>
      </w:tblGrid>
      <w:tr w:rsidR="004E68C3" w:rsidRPr="004E68C3" w14:paraId="04801CE8" w14:textId="77777777" w:rsidTr="004E68C3">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7840" w:type="dxa"/>
            <w:noWrap/>
            <w:hideMark/>
          </w:tcPr>
          <w:p w14:paraId="246915AC" w14:textId="77777777" w:rsidR="004E68C3" w:rsidRPr="004E68C3" w:rsidRDefault="004E68C3" w:rsidP="00C93734">
            <w:pPr>
              <w:spacing w:after="0"/>
              <w:jc w:val="both"/>
              <w:rPr>
                <w:rFonts w:eastAsia="Times New Roman"/>
                <w:color w:val="000000"/>
              </w:rPr>
            </w:pPr>
            <w:r w:rsidRPr="004E68C3">
              <w:rPr>
                <w:rFonts w:eastAsia="Times New Roman"/>
                <w:color w:val="000000"/>
              </w:rPr>
              <w:t>Industry</w:t>
            </w:r>
          </w:p>
        </w:tc>
        <w:tc>
          <w:tcPr>
            <w:tcW w:w="1098" w:type="dxa"/>
            <w:noWrap/>
            <w:hideMark/>
          </w:tcPr>
          <w:p w14:paraId="6E711D5B" w14:textId="77777777" w:rsidR="004E68C3" w:rsidRPr="004E68C3" w:rsidRDefault="004E68C3"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Emp LQ</w:t>
            </w:r>
          </w:p>
        </w:tc>
      </w:tr>
      <w:tr w:rsidR="004E68C3" w:rsidRPr="004E68C3" w14:paraId="66EC0B1F" w14:textId="77777777" w:rsidTr="004E68C3">
        <w:trPr>
          <w:trHeight w:val="255"/>
        </w:trPr>
        <w:tc>
          <w:tcPr>
            <w:cnfStyle w:val="001000000000" w:firstRow="0" w:lastRow="0" w:firstColumn="1" w:lastColumn="0" w:oddVBand="0" w:evenVBand="0" w:oddHBand="0" w:evenHBand="0" w:firstRowFirstColumn="0" w:firstRowLastColumn="0" w:lastRowFirstColumn="0" w:lastRowLastColumn="0"/>
            <w:tcW w:w="7840" w:type="dxa"/>
            <w:noWrap/>
            <w:hideMark/>
          </w:tcPr>
          <w:p w14:paraId="41E192AC" w14:textId="77777777" w:rsidR="004E68C3" w:rsidRPr="004E68C3" w:rsidRDefault="004E68C3" w:rsidP="00C93734">
            <w:pPr>
              <w:spacing w:after="0"/>
              <w:jc w:val="both"/>
              <w:rPr>
                <w:rFonts w:eastAsia="Times New Roman"/>
                <w:color w:val="000000"/>
              </w:rPr>
            </w:pPr>
            <w:r w:rsidRPr="004E68C3">
              <w:rPr>
                <w:rFonts w:eastAsia="Times New Roman"/>
                <w:color w:val="000000"/>
              </w:rPr>
              <w:t>55300 : Camping grounds, recreational vehicle parks and trailer parks</w:t>
            </w:r>
          </w:p>
        </w:tc>
        <w:tc>
          <w:tcPr>
            <w:tcW w:w="1098" w:type="dxa"/>
            <w:noWrap/>
            <w:hideMark/>
          </w:tcPr>
          <w:p w14:paraId="05C4B8A3" w14:textId="77777777" w:rsidR="004E68C3" w:rsidRPr="004E68C3" w:rsidRDefault="004E68C3"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68C3">
              <w:rPr>
                <w:rFonts w:eastAsia="Times New Roman"/>
                <w:color w:val="000000"/>
              </w:rPr>
              <w:t>5.351445</w:t>
            </w:r>
          </w:p>
        </w:tc>
      </w:tr>
      <w:tr w:rsidR="004E68C3" w:rsidRPr="004E68C3" w14:paraId="244B70F1" w14:textId="77777777" w:rsidTr="004E68C3">
        <w:trPr>
          <w:trHeight w:val="255"/>
        </w:trPr>
        <w:tc>
          <w:tcPr>
            <w:cnfStyle w:val="001000000000" w:firstRow="0" w:lastRow="0" w:firstColumn="1" w:lastColumn="0" w:oddVBand="0" w:evenVBand="0" w:oddHBand="0" w:evenHBand="0" w:firstRowFirstColumn="0" w:firstRowLastColumn="0" w:lastRowFirstColumn="0" w:lastRowLastColumn="0"/>
            <w:tcW w:w="7840" w:type="dxa"/>
            <w:noWrap/>
            <w:hideMark/>
          </w:tcPr>
          <w:p w14:paraId="0873902A" w14:textId="77777777" w:rsidR="004E68C3" w:rsidRPr="004E68C3" w:rsidRDefault="004E68C3" w:rsidP="00C93734">
            <w:pPr>
              <w:spacing w:after="0"/>
              <w:jc w:val="both"/>
              <w:rPr>
                <w:rFonts w:eastAsia="Times New Roman"/>
                <w:color w:val="000000"/>
              </w:rPr>
            </w:pPr>
            <w:r w:rsidRPr="004E68C3">
              <w:rPr>
                <w:rFonts w:eastAsia="Times New Roman"/>
                <w:color w:val="000000"/>
              </w:rPr>
              <w:t>93210 : Activities of amusement parks and theme parks</w:t>
            </w:r>
          </w:p>
        </w:tc>
        <w:tc>
          <w:tcPr>
            <w:tcW w:w="1098" w:type="dxa"/>
            <w:noWrap/>
            <w:hideMark/>
          </w:tcPr>
          <w:p w14:paraId="546E3DF3" w14:textId="77777777" w:rsidR="004E68C3" w:rsidRPr="004E68C3" w:rsidRDefault="004E68C3"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68C3">
              <w:rPr>
                <w:rFonts w:eastAsia="Times New Roman"/>
                <w:color w:val="000000"/>
              </w:rPr>
              <w:t>4.3202</w:t>
            </w:r>
          </w:p>
        </w:tc>
      </w:tr>
    </w:tbl>
    <w:p w14:paraId="7D3882F9" w14:textId="77777777" w:rsidR="004E68C3" w:rsidRDefault="00E95E1A" w:rsidP="00E95E1A">
      <w:pPr>
        <w:pStyle w:val="TableSource"/>
      </w:pPr>
      <w:r>
        <w:t>Source: BRES 2013</w:t>
      </w:r>
    </w:p>
    <w:p w14:paraId="7C0577D9" w14:textId="77777777" w:rsidR="002F7137" w:rsidRDefault="002F7137" w:rsidP="00C93734">
      <w:pPr>
        <w:pStyle w:val="Heading3"/>
        <w:numPr>
          <w:ilvl w:val="2"/>
          <w:numId w:val="5"/>
        </w:numPr>
        <w:jc w:val="both"/>
      </w:pPr>
      <w:r>
        <w:t xml:space="preserve">Economic Trends </w:t>
      </w:r>
    </w:p>
    <w:p w14:paraId="78D3C786" w14:textId="77777777" w:rsidR="00941C9F" w:rsidRDefault="009E0C1F" w:rsidP="00C93734">
      <w:pPr>
        <w:jc w:val="both"/>
      </w:pPr>
      <w:r>
        <w:t xml:space="preserve">The </w:t>
      </w:r>
      <w:r w:rsidR="000A0326">
        <w:t xml:space="preserve">broad </w:t>
      </w:r>
      <w:r>
        <w:t>sector</w:t>
      </w:r>
      <w:r w:rsidR="000A0326">
        <w:t>, including retail,</w:t>
      </w:r>
      <w:r>
        <w:t xml:space="preserve"> has seen a decline in firm and employment numbers between 2009 and 2013, </w:t>
      </w:r>
      <w:r w:rsidR="00127076">
        <w:t>illustrating</w:t>
      </w:r>
      <w:r>
        <w:t xml:space="preserve"> the vulnerability </w:t>
      </w:r>
      <w:r w:rsidR="00DB3D47">
        <w:t>of the</w:t>
      </w:r>
      <w:r>
        <w:t xml:space="preserve"> sector to macroeconomic conditions. </w:t>
      </w:r>
    </w:p>
    <w:p w14:paraId="6F9A5E15" w14:textId="77777777" w:rsidR="002F7137" w:rsidRDefault="00BB02D8" w:rsidP="00C93734">
      <w:pPr>
        <w:pStyle w:val="Caption"/>
        <w:jc w:val="both"/>
        <w:rPr>
          <w:noProof/>
          <w:lang w:eastAsia="en-GB"/>
        </w:rPr>
      </w:pPr>
      <w:bookmarkStart w:id="606" w:name="_Toc383159677"/>
      <w:r>
        <w:rPr>
          <w:noProof/>
          <w:lang w:eastAsia="en-GB"/>
        </w:rPr>
        <w:t xml:space="preserve">Figure </w:t>
      </w:r>
      <w:fldSimple w:instr=" STYLEREF 1 \s  \* MERGEFORMAT ">
        <w:r w:rsidR="00E95E1A">
          <w:rPr>
            <w:noProof/>
            <w:lang w:eastAsia="en-GB"/>
          </w:rPr>
          <w:t>8</w:t>
        </w:r>
      </w:fldSimple>
      <w:r>
        <w:rPr>
          <w:noProof/>
          <w:lang w:eastAsia="en-GB"/>
        </w:rPr>
        <w:t>-</w:t>
      </w:r>
      <w:fldSimple w:instr=" SEQ Figure \* ARABIC \s 1  \* MERGEFORMAT ">
        <w:r w:rsidR="00E95E1A">
          <w:rPr>
            <w:noProof/>
            <w:lang w:eastAsia="en-GB"/>
          </w:rPr>
          <w:t>1</w:t>
        </w:r>
      </w:fldSimple>
      <w:r>
        <w:rPr>
          <w:noProof/>
          <w:lang w:eastAsia="en-GB"/>
        </w:rPr>
        <w:tab/>
      </w:r>
      <w:r w:rsidR="00925F20">
        <w:rPr>
          <w:noProof/>
          <w:lang w:eastAsia="en-GB"/>
        </w:rPr>
        <w:t>Visitor Economy, Services &amp; Retail</w:t>
      </w:r>
      <w:r>
        <w:rPr>
          <w:noProof/>
          <w:lang w:eastAsia="en-GB"/>
        </w:rPr>
        <w:t xml:space="preserve"> Firm Trends (2009 - 2013)</w:t>
      </w:r>
      <w:r w:rsidR="00BA1CE7">
        <w:rPr>
          <w:noProof/>
          <w:lang w:eastAsia="en-GB"/>
        </w:rPr>
        <w:drawing>
          <wp:inline distT="0" distB="0" distL="0" distR="0" wp14:anchorId="32438A52" wp14:editId="641E4BB2">
            <wp:extent cx="5932967" cy="2923953"/>
            <wp:effectExtent l="0" t="0" r="0" b="0"/>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bookmarkEnd w:id="606"/>
    </w:p>
    <w:p w14:paraId="101835F5" w14:textId="77777777" w:rsidR="00925F20" w:rsidRPr="00925F20" w:rsidRDefault="00925F20" w:rsidP="00925F20">
      <w:pPr>
        <w:pStyle w:val="TableSource"/>
        <w:rPr>
          <w:lang w:eastAsia="en-GB"/>
        </w:rPr>
      </w:pPr>
      <w:r>
        <w:rPr>
          <w:lang w:eastAsia="en-GB"/>
        </w:rPr>
        <w:t xml:space="preserve">Source: IDBR 2013 </w:t>
      </w:r>
    </w:p>
    <w:p w14:paraId="0BDAA1E4" w14:textId="77777777" w:rsidR="009E0C1F" w:rsidRDefault="009E0C1F" w:rsidP="00C93734">
      <w:pPr>
        <w:jc w:val="both"/>
      </w:pPr>
      <w:r>
        <w:t xml:space="preserve">Employment </w:t>
      </w:r>
      <w:r w:rsidR="00127076">
        <w:t>dropped significantly</w:t>
      </w:r>
      <w:r>
        <w:t xml:space="preserve"> between 2009 and 2010</w:t>
      </w:r>
      <w:r w:rsidR="00DB3D47">
        <w:t>,</w:t>
      </w:r>
      <w:r>
        <w:t xml:space="preserve"> </w:t>
      </w:r>
      <w:r w:rsidR="00127076">
        <w:t xml:space="preserve">although has </w:t>
      </w:r>
      <w:r w:rsidR="00DB3D47">
        <w:t>stabilised at this reduced level</w:t>
      </w:r>
      <w:r w:rsidR="00127076">
        <w:t xml:space="preserve"> since</w:t>
      </w:r>
      <w:r>
        <w:t xml:space="preserve"> </w:t>
      </w:r>
      <w:r w:rsidR="00127076">
        <w:t>2010</w:t>
      </w:r>
      <w:r>
        <w:t xml:space="preserve">. This trend shows the impact of </w:t>
      </w:r>
      <w:r w:rsidR="00996E64">
        <w:t>challenging</w:t>
      </w:r>
      <w:r>
        <w:t xml:space="preserve"> macroeconomic conditions and </w:t>
      </w:r>
      <w:r w:rsidR="00996E64">
        <w:t xml:space="preserve">of </w:t>
      </w:r>
      <w:r w:rsidR="00DB3D47">
        <w:t xml:space="preserve">reduced household </w:t>
      </w:r>
      <w:r w:rsidR="00996E64">
        <w:t>disposable income.</w:t>
      </w:r>
    </w:p>
    <w:p w14:paraId="5D816FE8" w14:textId="77777777" w:rsidR="00941C9F" w:rsidRDefault="00BB02D8" w:rsidP="00C93734">
      <w:pPr>
        <w:pStyle w:val="Caption"/>
        <w:jc w:val="both"/>
        <w:rPr>
          <w:noProof/>
          <w:lang w:eastAsia="en-GB"/>
        </w:rPr>
      </w:pPr>
      <w:bookmarkStart w:id="607" w:name="_Toc383159678"/>
      <w:r>
        <w:rPr>
          <w:noProof/>
          <w:lang w:eastAsia="en-GB"/>
        </w:rPr>
        <w:t xml:space="preserve">Figure </w:t>
      </w:r>
      <w:fldSimple w:instr=" STYLEREF 1 \s  \* MERGEFORMAT ">
        <w:r w:rsidR="00E95E1A">
          <w:rPr>
            <w:noProof/>
            <w:lang w:eastAsia="en-GB"/>
          </w:rPr>
          <w:t>8</w:t>
        </w:r>
      </w:fldSimple>
      <w:r>
        <w:rPr>
          <w:noProof/>
          <w:lang w:eastAsia="en-GB"/>
        </w:rPr>
        <w:t>-</w:t>
      </w:r>
      <w:fldSimple w:instr=" SEQ Figure \* ARABIC \s 1  \* MERGEFORMAT ">
        <w:r w:rsidR="00E95E1A">
          <w:rPr>
            <w:noProof/>
            <w:lang w:eastAsia="en-GB"/>
          </w:rPr>
          <w:t>2</w:t>
        </w:r>
      </w:fldSimple>
      <w:r>
        <w:rPr>
          <w:noProof/>
          <w:lang w:eastAsia="en-GB"/>
        </w:rPr>
        <w:tab/>
      </w:r>
      <w:r w:rsidR="00925F20" w:rsidRPr="00925F20">
        <w:rPr>
          <w:noProof/>
          <w:lang w:eastAsia="en-GB"/>
        </w:rPr>
        <w:t xml:space="preserve">Visitor Economy, Services &amp; Retail </w:t>
      </w:r>
      <w:r>
        <w:rPr>
          <w:noProof/>
          <w:lang w:eastAsia="en-GB"/>
        </w:rPr>
        <w:t>Employment Trends (2009 - 2013)</w:t>
      </w:r>
      <w:r w:rsidR="00BA1CE7">
        <w:rPr>
          <w:noProof/>
          <w:lang w:eastAsia="en-GB"/>
        </w:rPr>
        <w:drawing>
          <wp:inline distT="0" distB="0" distL="0" distR="0" wp14:anchorId="794AD8AE" wp14:editId="4767966D">
            <wp:extent cx="5934075" cy="2924175"/>
            <wp:effectExtent l="0" t="0" r="0" b="0"/>
            <wp:docPr id="1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bookmarkEnd w:id="607"/>
    </w:p>
    <w:p w14:paraId="49AF0D71" w14:textId="77777777" w:rsidR="00925F20" w:rsidRPr="00925F20" w:rsidRDefault="00925F20" w:rsidP="00925F20">
      <w:pPr>
        <w:pStyle w:val="TableSource"/>
        <w:rPr>
          <w:lang w:eastAsia="en-GB"/>
        </w:rPr>
      </w:pPr>
      <w:r>
        <w:rPr>
          <w:lang w:eastAsia="en-GB"/>
        </w:rPr>
        <w:t xml:space="preserve">Source: IDBR 2013 </w:t>
      </w:r>
    </w:p>
    <w:p w14:paraId="5BA3930C" w14:textId="77777777" w:rsidR="002F7137" w:rsidRDefault="002F7137" w:rsidP="00C93734">
      <w:pPr>
        <w:pStyle w:val="Heading3"/>
        <w:numPr>
          <w:ilvl w:val="2"/>
          <w:numId w:val="5"/>
        </w:numPr>
        <w:jc w:val="both"/>
      </w:pPr>
      <w:r w:rsidRPr="004A7709">
        <w:t xml:space="preserve">Competition </w:t>
      </w:r>
    </w:p>
    <w:p w14:paraId="2D4D1BE3" w14:textId="77777777" w:rsidR="00C96023" w:rsidRDefault="009E0C1F" w:rsidP="00C93734">
      <w:pPr>
        <w:jc w:val="both"/>
      </w:pPr>
      <w:r>
        <w:t>Retail and tourism are highly competitive</w:t>
      </w:r>
      <w:r w:rsidR="00F56FF3">
        <w:t xml:space="preserve"> sectors</w:t>
      </w:r>
      <w:r>
        <w:t xml:space="preserve">. The catchment area of a </w:t>
      </w:r>
      <w:r w:rsidR="00DB3D47">
        <w:t>retail centre</w:t>
      </w:r>
      <w:r>
        <w:t xml:space="preserve"> and the </w:t>
      </w:r>
      <w:r w:rsidR="00DB3D47">
        <w:t>ability to attract</w:t>
      </w:r>
      <w:r>
        <w:t xml:space="preserve"> visitors to an area </w:t>
      </w:r>
      <w:r w:rsidR="00DB3D47">
        <w:t>depend</w:t>
      </w:r>
      <w:r>
        <w:t xml:space="preserve"> on a number of factors</w:t>
      </w:r>
      <w:r w:rsidR="00DB3D47">
        <w:t>,</w:t>
      </w:r>
      <w:r w:rsidR="002E59EA">
        <w:t xml:space="preserve"> including </w:t>
      </w:r>
      <w:r w:rsidR="00F56FF3">
        <w:t>accessibility,</w:t>
      </w:r>
      <w:r w:rsidR="002E59EA">
        <w:t xml:space="preserve"> demographics</w:t>
      </w:r>
      <w:r w:rsidR="00F56FF3">
        <w:t xml:space="preserve"> and </w:t>
      </w:r>
      <w:r w:rsidR="00DB3D47">
        <w:t>competition</w:t>
      </w:r>
      <w:r w:rsidR="002E59EA">
        <w:t xml:space="preserve">. </w:t>
      </w:r>
      <w:r w:rsidR="00DB3D47">
        <w:t>NEL</w:t>
      </w:r>
      <w:r w:rsidR="002E59EA">
        <w:t xml:space="preserve"> competes largely with </w:t>
      </w:r>
      <w:r w:rsidR="00C96023">
        <w:t>Scunthorpe</w:t>
      </w:r>
      <w:r w:rsidR="002E59EA">
        <w:t xml:space="preserve">, </w:t>
      </w:r>
      <w:r w:rsidR="00C96023">
        <w:t>Doncaster</w:t>
      </w:r>
      <w:r w:rsidR="002E59EA">
        <w:t xml:space="preserve"> and </w:t>
      </w:r>
      <w:r w:rsidR="00C96023">
        <w:t>Hull</w:t>
      </w:r>
      <w:r w:rsidR="00F56FF3">
        <w:t xml:space="preserve"> for retail</w:t>
      </w:r>
      <w:r w:rsidR="007027ED">
        <w:t xml:space="preserve"> expenditure</w:t>
      </w:r>
      <w:r w:rsidR="002E59EA">
        <w:t xml:space="preserve">. </w:t>
      </w:r>
      <w:r w:rsidR="00DB3D47">
        <w:t xml:space="preserve">Local residents </w:t>
      </w:r>
      <w:r w:rsidR="00A76CDD">
        <w:t>may</w:t>
      </w:r>
      <w:r w:rsidR="00DB3D47">
        <w:t xml:space="preserve"> </w:t>
      </w:r>
      <w:r w:rsidR="002E59EA">
        <w:t>also travel to Leeds or Sheffield for shopping trips</w:t>
      </w:r>
      <w:r w:rsidR="00A76CDD">
        <w:t>, given the significant investment in the retail econom</w:t>
      </w:r>
      <w:r w:rsidR="0098206F">
        <w:t>ies</w:t>
      </w:r>
      <w:r w:rsidR="00A76CDD">
        <w:t xml:space="preserve"> of these cities</w:t>
      </w:r>
      <w:r w:rsidR="002E59EA">
        <w:t>.</w:t>
      </w:r>
    </w:p>
    <w:p w14:paraId="023395DB" w14:textId="77777777" w:rsidR="002E59EA" w:rsidRPr="004A7709" w:rsidRDefault="00DB3D47" w:rsidP="00C93734">
      <w:pPr>
        <w:jc w:val="both"/>
      </w:pPr>
      <w:r>
        <w:t>NEL</w:t>
      </w:r>
      <w:r w:rsidR="002E59EA">
        <w:t xml:space="preserve"> offers </w:t>
      </w:r>
      <w:r>
        <w:t>a variety of</w:t>
      </w:r>
      <w:r w:rsidR="002E59EA">
        <w:t xml:space="preserve"> visitor attractions and competes with other</w:t>
      </w:r>
      <w:r>
        <w:t xml:space="preserve"> coastal</w:t>
      </w:r>
      <w:r w:rsidR="002E59EA">
        <w:t xml:space="preserve"> areas (</w:t>
      </w:r>
      <w:r w:rsidR="002E59EA" w:rsidRPr="008F3F98">
        <w:t xml:space="preserve">Mablethorpe, </w:t>
      </w:r>
      <w:r w:rsidR="00AE0E3C">
        <w:t xml:space="preserve">Skegness, </w:t>
      </w:r>
      <w:r w:rsidR="002E59EA" w:rsidRPr="008F3F98">
        <w:t>Donna Nook and North Somercotes</w:t>
      </w:r>
      <w:r w:rsidR="002E59EA">
        <w:t xml:space="preserve">), heritage </w:t>
      </w:r>
      <w:r>
        <w:t xml:space="preserve">sites </w:t>
      </w:r>
      <w:r w:rsidR="002E59EA">
        <w:t xml:space="preserve">(Thornton Abbey, Barton Upon Humber, Lincoln and Hull), </w:t>
      </w:r>
      <w:r>
        <w:t xml:space="preserve">areas of maritime </w:t>
      </w:r>
      <w:r w:rsidR="002E59EA">
        <w:t>heritage (North Yorkshire Coast) and pleasure boating</w:t>
      </w:r>
      <w:r>
        <w:t xml:space="preserve"> locations</w:t>
      </w:r>
      <w:r w:rsidR="002E59EA">
        <w:t xml:space="preserve"> (</w:t>
      </w:r>
      <w:r w:rsidR="00CB5C2E">
        <w:t>Hull, f</w:t>
      </w:r>
      <w:r w:rsidR="002E59EA">
        <w:t xml:space="preserve">acilities on the </w:t>
      </w:r>
      <w:r w:rsidR="00CB5C2E">
        <w:t xml:space="preserve">River </w:t>
      </w:r>
      <w:r w:rsidR="002E59EA">
        <w:t>Trent</w:t>
      </w:r>
      <w:r w:rsidR="00A76CDD">
        <w:t xml:space="preserve"> </w:t>
      </w:r>
      <w:r w:rsidR="002E59EA">
        <w:t>and wider afield).</w:t>
      </w:r>
      <w:r w:rsidR="007027ED">
        <w:t xml:space="preserve">  </w:t>
      </w:r>
      <w:r w:rsidR="00CB5C2E">
        <w:t xml:space="preserve">The area benefits from its distance from competing visitor economy centres, reflected in </w:t>
      </w:r>
      <w:r w:rsidR="007027ED">
        <w:t>a high degree of expenditure retention in the local area, particularly for convenience goods.</w:t>
      </w:r>
    </w:p>
    <w:p w14:paraId="1008A37D" w14:textId="77777777" w:rsidR="002F7137" w:rsidRDefault="002F7137" w:rsidP="00C93734">
      <w:pPr>
        <w:pStyle w:val="Heading3"/>
        <w:numPr>
          <w:ilvl w:val="2"/>
          <w:numId w:val="5"/>
        </w:numPr>
        <w:jc w:val="both"/>
      </w:pPr>
      <w:r>
        <w:t>Prospects for sector</w:t>
      </w:r>
    </w:p>
    <w:p w14:paraId="3674BD57" w14:textId="77777777" w:rsidR="00A9753C" w:rsidRDefault="004524E8" w:rsidP="00C93734">
      <w:pPr>
        <w:jc w:val="both"/>
      </w:pPr>
      <w:r>
        <w:t xml:space="preserve">Despite the fact the visitor economy in NEL faces a range of significant challenges, there </w:t>
      </w:r>
      <w:r w:rsidR="00CB5C2E">
        <w:t xml:space="preserve">are notable </w:t>
      </w:r>
      <w:r>
        <w:t>opportunities for growth and diversification.  These include:</w:t>
      </w:r>
    </w:p>
    <w:p w14:paraId="379095A9" w14:textId="77777777" w:rsidR="008D7250" w:rsidRDefault="00F56FF3">
      <w:pPr>
        <w:pStyle w:val="ListParagraph"/>
        <w:numPr>
          <w:ilvl w:val="0"/>
          <w:numId w:val="69"/>
        </w:numPr>
        <w:jc w:val="both"/>
        <w:rPr>
          <w:rFonts w:cs="Arial"/>
        </w:rPr>
      </w:pPr>
      <w:r>
        <w:t>Business tourism</w:t>
      </w:r>
      <w:r w:rsidR="004524E8">
        <w:t xml:space="preserve"> – Increasing investment in other key sectors will provide an important driver for business-related tourism, particularly in the short to medium</w:t>
      </w:r>
      <w:r w:rsidR="00CB5C2E">
        <w:t xml:space="preserve"> </w:t>
      </w:r>
      <w:r w:rsidR="004524E8">
        <w:t>term as</w:t>
      </w:r>
      <w:r w:rsidR="00CB5C2E">
        <w:t xml:space="preserve"> the</w:t>
      </w:r>
      <w:r w:rsidR="004524E8">
        <w:t xml:space="preserve"> </w:t>
      </w:r>
      <w:r w:rsidR="00CB5C2E">
        <w:t>initial stages of developments attract workers.</w:t>
      </w:r>
      <w:r w:rsidR="000375D1">
        <w:t xml:space="preserve"> </w:t>
      </w:r>
      <w:r w:rsidR="000375D1" w:rsidRPr="00282B77">
        <w:rPr>
          <w:rFonts w:cs="Arial"/>
        </w:rPr>
        <w:t xml:space="preserve">There is potential for a high quality hotel to </w:t>
      </w:r>
      <w:r w:rsidR="000375D1">
        <w:rPr>
          <w:rFonts w:cs="Arial"/>
        </w:rPr>
        <w:t>improve</w:t>
      </w:r>
      <w:r w:rsidR="000375D1" w:rsidRPr="00282B77">
        <w:rPr>
          <w:rFonts w:cs="Arial"/>
        </w:rPr>
        <w:t xml:space="preserve"> </w:t>
      </w:r>
      <w:r w:rsidR="000375D1">
        <w:rPr>
          <w:rFonts w:cs="Arial"/>
        </w:rPr>
        <w:t>the perception</w:t>
      </w:r>
      <w:r w:rsidR="000375D1" w:rsidRPr="00282B77">
        <w:rPr>
          <w:rFonts w:cs="Arial"/>
        </w:rPr>
        <w:t xml:space="preserve"> of accommodation </w:t>
      </w:r>
      <w:r w:rsidR="000375D1">
        <w:rPr>
          <w:rFonts w:cs="Arial"/>
        </w:rPr>
        <w:t xml:space="preserve">options in the area </w:t>
      </w:r>
      <w:r w:rsidR="000375D1" w:rsidRPr="00282B77">
        <w:rPr>
          <w:rFonts w:cs="Arial"/>
        </w:rPr>
        <w:t xml:space="preserve">and </w:t>
      </w:r>
      <w:r w:rsidR="000375D1">
        <w:rPr>
          <w:rFonts w:cs="Arial"/>
        </w:rPr>
        <w:t xml:space="preserve">engage in a greater range of tourism markets. Upcoming developments of branded hotels may address this opportunity. </w:t>
      </w:r>
    </w:p>
    <w:p w14:paraId="40CA532E" w14:textId="77777777" w:rsidR="00F56FF3" w:rsidRDefault="00F56FF3" w:rsidP="00C93734">
      <w:pPr>
        <w:pStyle w:val="ListParagraph"/>
        <w:numPr>
          <w:ilvl w:val="0"/>
          <w:numId w:val="69"/>
        </w:numPr>
        <w:jc w:val="both"/>
      </w:pPr>
      <w:r>
        <w:t>Grimsby town centre</w:t>
      </w:r>
      <w:r w:rsidR="004524E8">
        <w:t xml:space="preserve"> – Considerable momentum has been achieved in </w:t>
      </w:r>
      <w:r w:rsidR="00CB5C2E">
        <w:t>regenerating</w:t>
      </w:r>
      <w:r w:rsidR="004524E8">
        <w:t xml:space="preserve"> Grimsby town centre.  Major opportunities exist to significantly improve the perception of the town centre </w:t>
      </w:r>
      <w:r w:rsidR="00CB5C2E">
        <w:t xml:space="preserve">amongst potential </w:t>
      </w:r>
      <w:r w:rsidR="004524E8">
        <w:t>visitors and investors</w:t>
      </w:r>
      <w:r w:rsidR="000375D1">
        <w:t xml:space="preserve">. </w:t>
      </w:r>
      <w:r w:rsidR="000375D1">
        <w:rPr>
          <w:rFonts w:cs="Arial"/>
        </w:rPr>
        <w:t>For example, there is p</w:t>
      </w:r>
      <w:r w:rsidR="000375D1" w:rsidRPr="00282B77">
        <w:rPr>
          <w:rFonts w:cs="Arial"/>
        </w:rPr>
        <w:t xml:space="preserve">otential for a cultural quarter around Grimsby </w:t>
      </w:r>
      <w:r w:rsidR="000375D1">
        <w:rPr>
          <w:rFonts w:cs="Arial"/>
        </w:rPr>
        <w:t>M</w:t>
      </w:r>
      <w:r w:rsidR="000375D1" w:rsidRPr="00282B77">
        <w:rPr>
          <w:rFonts w:cs="Arial"/>
        </w:rPr>
        <w:t xml:space="preserve">inster to be developed, attracting visitors and </w:t>
      </w:r>
      <w:r w:rsidR="000375D1">
        <w:rPr>
          <w:rFonts w:cs="Arial"/>
        </w:rPr>
        <w:t>creating a more cohesive town centre</w:t>
      </w:r>
      <w:r w:rsidR="000375D1" w:rsidRPr="00282B77">
        <w:rPr>
          <w:rFonts w:cs="Arial"/>
        </w:rPr>
        <w:t>.</w:t>
      </w:r>
      <w:r w:rsidR="000375D1">
        <w:rPr>
          <w:rFonts w:cs="Arial"/>
        </w:rPr>
        <w:t xml:space="preserve"> The recently announced Cartergate development is the first step in creating new office accommodation and improving the area around the Minster</w:t>
      </w:r>
    </w:p>
    <w:p w14:paraId="2CE5DCEF" w14:textId="77777777" w:rsidR="00DF36EA" w:rsidRDefault="00F56FF3" w:rsidP="00DF36EA">
      <w:pPr>
        <w:pStyle w:val="ListParagraph"/>
        <w:numPr>
          <w:ilvl w:val="0"/>
          <w:numId w:val="69"/>
        </w:numPr>
        <w:jc w:val="both"/>
      </w:pPr>
      <w:r>
        <w:t>Cleethorpes visitor economy &amp; town centre</w:t>
      </w:r>
      <w:r w:rsidR="004524E8">
        <w:t xml:space="preserve"> – Ongoing investment in Cleethorpes town centre reinforces the </w:t>
      </w:r>
      <w:r w:rsidR="00CB5C2E">
        <w:t xml:space="preserve">emerging </w:t>
      </w:r>
      <w:r w:rsidR="004524E8">
        <w:t xml:space="preserve">role of the area as a sustainable tourism destination.  </w:t>
      </w:r>
      <w:r w:rsidR="00CB5C2E">
        <w:t xml:space="preserve">The </w:t>
      </w:r>
      <w:r w:rsidR="004524E8">
        <w:t>ageing population</w:t>
      </w:r>
      <w:r w:rsidR="00CB5C2E">
        <w:t xml:space="preserve"> in the UK</w:t>
      </w:r>
      <w:r w:rsidR="004524E8">
        <w:t xml:space="preserve"> and </w:t>
      </w:r>
      <w:r w:rsidR="00283377">
        <w:t>growing urban populations in South Yorkshire and the northern Midlands</w:t>
      </w:r>
      <w:r w:rsidR="00CB5C2E">
        <w:t xml:space="preserve"> will create an increased demand for leisure activities; in this context, </w:t>
      </w:r>
      <w:r w:rsidR="00283377">
        <w:t xml:space="preserve">Cleethorpes is </w:t>
      </w:r>
      <w:r w:rsidR="00CB5C2E">
        <w:t>well positioned</w:t>
      </w:r>
      <w:r w:rsidR="00283377">
        <w:t xml:space="preserve"> to attract significant </w:t>
      </w:r>
      <w:r w:rsidR="00CB5C2E">
        <w:t>tourism</w:t>
      </w:r>
      <w:r w:rsidR="00283377">
        <w:t xml:space="preserve"> expenditure over the next decade.</w:t>
      </w:r>
      <w:r w:rsidR="00DF36EA">
        <w:t xml:space="preserve"> The Cleethorpes Strategic Development Framework 2010 provided a vision for to become a year round visitor centre. </w:t>
      </w:r>
    </w:p>
    <w:p w14:paraId="095992C5" w14:textId="77777777" w:rsidR="00437ACB" w:rsidRPr="00282B77" w:rsidRDefault="00437ACB" w:rsidP="00437ACB">
      <w:pPr>
        <w:pStyle w:val="ListParagraph"/>
        <w:numPr>
          <w:ilvl w:val="0"/>
          <w:numId w:val="69"/>
        </w:numPr>
        <w:jc w:val="both"/>
        <w:rPr>
          <w:rFonts w:cs="Arial"/>
        </w:rPr>
      </w:pPr>
      <w:r w:rsidRPr="00282B77">
        <w:rPr>
          <w:rFonts w:cs="Arial"/>
        </w:rPr>
        <w:t xml:space="preserve">There is potential for </w:t>
      </w:r>
      <w:r>
        <w:rPr>
          <w:rFonts w:cs="Arial"/>
        </w:rPr>
        <w:t xml:space="preserve">increasing tourism to the area due by taking advantage of proximity </w:t>
      </w:r>
      <w:r w:rsidRPr="00282B77">
        <w:rPr>
          <w:rFonts w:cs="Arial"/>
        </w:rPr>
        <w:t>to the Lincolnshire Wolds</w:t>
      </w:r>
      <w:r>
        <w:rPr>
          <w:rFonts w:cs="Arial"/>
        </w:rPr>
        <w:t>. Improved</w:t>
      </w:r>
      <w:r w:rsidRPr="00282B77">
        <w:rPr>
          <w:rFonts w:cs="Arial"/>
        </w:rPr>
        <w:t xml:space="preserve"> transport connections develop </w:t>
      </w:r>
      <w:r>
        <w:rPr>
          <w:rFonts w:cs="Arial"/>
        </w:rPr>
        <w:t>will allow</w:t>
      </w:r>
      <w:r w:rsidRPr="00282B77">
        <w:rPr>
          <w:rFonts w:cs="Arial"/>
        </w:rPr>
        <w:t xml:space="preserve"> the area</w:t>
      </w:r>
      <w:r>
        <w:rPr>
          <w:rFonts w:cs="Arial"/>
        </w:rPr>
        <w:t xml:space="preserve"> to</w:t>
      </w:r>
      <w:r w:rsidRPr="00282B77">
        <w:rPr>
          <w:rFonts w:cs="Arial"/>
        </w:rPr>
        <w:t xml:space="preserve"> become a start or end point for visitors.</w:t>
      </w:r>
    </w:p>
    <w:p w14:paraId="4C605027" w14:textId="77777777" w:rsidR="00437ACB" w:rsidRPr="00282B77" w:rsidRDefault="00437ACB" w:rsidP="00437ACB">
      <w:pPr>
        <w:pStyle w:val="ListParagraph"/>
        <w:numPr>
          <w:ilvl w:val="0"/>
          <w:numId w:val="69"/>
        </w:numPr>
        <w:jc w:val="both"/>
        <w:rPr>
          <w:rFonts w:cs="Arial"/>
        </w:rPr>
      </w:pPr>
      <w:r w:rsidRPr="00282B77">
        <w:rPr>
          <w:rFonts w:cs="Arial"/>
        </w:rPr>
        <w:t>The lack of night</w:t>
      </w:r>
      <w:r>
        <w:rPr>
          <w:rFonts w:cs="Arial"/>
        </w:rPr>
        <w:t>-</w:t>
      </w:r>
      <w:r w:rsidRPr="00282B77">
        <w:rPr>
          <w:rFonts w:cs="Arial"/>
        </w:rPr>
        <w:t xml:space="preserve">time economy </w:t>
      </w:r>
      <w:r>
        <w:rPr>
          <w:rFonts w:cs="Arial"/>
        </w:rPr>
        <w:t>could</w:t>
      </w:r>
      <w:r w:rsidRPr="00282B77">
        <w:rPr>
          <w:rFonts w:cs="Arial"/>
        </w:rPr>
        <w:t xml:space="preserve"> be addressed through</w:t>
      </w:r>
      <w:r>
        <w:rPr>
          <w:rFonts w:cs="Arial"/>
        </w:rPr>
        <w:t xml:space="preserve"> promotion of the subsector as a channel for</w:t>
      </w:r>
      <w:r w:rsidRPr="00282B77">
        <w:rPr>
          <w:rFonts w:cs="Arial"/>
        </w:rPr>
        <w:t xml:space="preserve"> inward investment and </w:t>
      </w:r>
      <w:r>
        <w:rPr>
          <w:rFonts w:cs="Arial"/>
        </w:rPr>
        <w:t>local</w:t>
      </w:r>
      <w:r w:rsidRPr="00282B77">
        <w:rPr>
          <w:rFonts w:cs="Arial"/>
        </w:rPr>
        <w:t xml:space="preserve"> </w:t>
      </w:r>
      <w:r>
        <w:rPr>
          <w:rFonts w:cs="Arial"/>
        </w:rPr>
        <w:t>enterprise</w:t>
      </w:r>
      <w:r w:rsidRPr="00282B77">
        <w:rPr>
          <w:rFonts w:cs="Arial"/>
        </w:rPr>
        <w:t>.</w:t>
      </w:r>
    </w:p>
    <w:p w14:paraId="25EFD80A" w14:textId="77777777" w:rsidR="00437ACB" w:rsidRPr="00282B77" w:rsidRDefault="00437ACB" w:rsidP="00437ACB">
      <w:pPr>
        <w:pStyle w:val="ListParagraph"/>
        <w:numPr>
          <w:ilvl w:val="0"/>
          <w:numId w:val="69"/>
        </w:numPr>
        <w:jc w:val="both"/>
        <w:rPr>
          <w:rFonts w:cs="Arial"/>
        </w:rPr>
      </w:pPr>
      <w:r w:rsidRPr="00282B77">
        <w:rPr>
          <w:rFonts w:cs="Arial"/>
        </w:rPr>
        <w:t xml:space="preserve">Yacht and </w:t>
      </w:r>
      <w:r>
        <w:rPr>
          <w:rFonts w:cs="Arial"/>
        </w:rPr>
        <w:t>marina</w:t>
      </w:r>
      <w:r w:rsidRPr="00282B77">
        <w:rPr>
          <w:rFonts w:cs="Arial"/>
        </w:rPr>
        <w:t xml:space="preserve"> </w:t>
      </w:r>
      <w:r>
        <w:rPr>
          <w:rFonts w:cs="Arial"/>
        </w:rPr>
        <w:t>users</w:t>
      </w:r>
      <w:r w:rsidRPr="00282B77">
        <w:rPr>
          <w:rFonts w:cs="Arial"/>
        </w:rPr>
        <w:t xml:space="preserve"> are seen as very important for the future of leisure in the local area. </w:t>
      </w:r>
    </w:p>
    <w:p w14:paraId="7D3FB260" w14:textId="77777777" w:rsidR="00437ACB" w:rsidRPr="00282B77" w:rsidRDefault="00437ACB" w:rsidP="00437ACB">
      <w:pPr>
        <w:pStyle w:val="ListParagraph"/>
        <w:numPr>
          <w:ilvl w:val="0"/>
          <w:numId w:val="69"/>
        </w:numPr>
        <w:jc w:val="both"/>
        <w:rPr>
          <w:rFonts w:cs="Arial"/>
        </w:rPr>
      </w:pPr>
      <w:r w:rsidRPr="00282B77">
        <w:rPr>
          <w:rFonts w:cs="Arial"/>
        </w:rPr>
        <w:t>The impact of a new stadium on a local area can be significant</w:t>
      </w:r>
      <w:r>
        <w:rPr>
          <w:rFonts w:cs="Arial"/>
        </w:rPr>
        <w:t xml:space="preserve">. KC Stadium in Hull, Doncaster’s Keepmoat Stadium and Bolton’s Macron Stadium have been able to provide an attractive venue for sport and cultural events, valuable business and conferencing facilities and act as a focal point for regeneration efforts in their communities. </w:t>
      </w:r>
      <w:r w:rsidRPr="00282B77">
        <w:rPr>
          <w:rFonts w:cs="Arial"/>
        </w:rPr>
        <w:t xml:space="preserve">However, in the past the economic legacy of new stadia has </w:t>
      </w:r>
      <w:r>
        <w:rPr>
          <w:rFonts w:cs="Arial"/>
        </w:rPr>
        <w:t>often fallen short of expectations:</w:t>
      </w:r>
      <w:r w:rsidRPr="00282B77">
        <w:rPr>
          <w:rFonts w:cs="Arial"/>
        </w:rPr>
        <w:t xml:space="preserve"> Darlington and Coventry </w:t>
      </w:r>
      <w:r>
        <w:rPr>
          <w:rFonts w:cs="Arial"/>
        </w:rPr>
        <w:t>are examples of now-</w:t>
      </w:r>
      <w:r w:rsidRPr="00282B77">
        <w:rPr>
          <w:rFonts w:cs="Arial"/>
        </w:rPr>
        <w:t xml:space="preserve">redundant stadia. </w:t>
      </w:r>
    </w:p>
    <w:p w14:paraId="0FAAF64D" w14:textId="77777777" w:rsidR="008D7250" w:rsidRDefault="00437ACB">
      <w:pPr>
        <w:pStyle w:val="ListParagraph"/>
        <w:numPr>
          <w:ilvl w:val="0"/>
          <w:numId w:val="69"/>
        </w:numPr>
        <w:ind w:left="357" w:hanging="357"/>
        <w:jc w:val="both"/>
        <w:rPr>
          <w:rFonts w:cs="Arial"/>
        </w:rPr>
      </w:pPr>
      <w:r w:rsidRPr="00282B77">
        <w:rPr>
          <w:rFonts w:cs="Arial"/>
        </w:rPr>
        <w:t xml:space="preserve">Investment </w:t>
      </w:r>
      <w:r>
        <w:rPr>
          <w:rFonts w:cs="Arial"/>
        </w:rPr>
        <w:t>in</w:t>
      </w:r>
      <w:r w:rsidRPr="00282B77">
        <w:rPr>
          <w:rFonts w:cs="Arial"/>
        </w:rPr>
        <w:t xml:space="preserve"> the Fishing Heritage Centre and Ice Factory could be a significant driver for jobs and </w:t>
      </w:r>
      <w:r>
        <w:rPr>
          <w:rFonts w:cs="Arial"/>
        </w:rPr>
        <w:t xml:space="preserve">further </w:t>
      </w:r>
      <w:r w:rsidRPr="00282B77">
        <w:rPr>
          <w:rFonts w:cs="Arial"/>
        </w:rPr>
        <w:t xml:space="preserve">investment as well as improving external perceptions of the area as a </w:t>
      </w:r>
      <w:r>
        <w:rPr>
          <w:rFonts w:cs="Arial"/>
        </w:rPr>
        <w:t>tourism destination</w:t>
      </w:r>
      <w:r w:rsidRPr="00282B77">
        <w:rPr>
          <w:rFonts w:cs="Arial"/>
        </w:rPr>
        <w:t xml:space="preserve">.  Similarly, hosting events in the area linked with the industrial heritage of NEL </w:t>
      </w:r>
      <w:r>
        <w:rPr>
          <w:rFonts w:cs="Arial"/>
        </w:rPr>
        <w:t>represents</w:t>
      </w:r>
      <w:r w:rsidRPr="00282B77">
        <w:rPr>
          <w:rFonts w:cs="Arial"/>
        </w:rPr>
        <w:t xml:space="preserve"> an important opportunity for attracting visitor expenditure to the area. </w:t>
      </w:r>
    </w:p>
    <w:p w14:paraId="2CB7B154" w14:textId="77777777" w:rsidR="008D7250" w:rsidRDefault="00347DF8">
      <w:pPr>
        <w:pStyle w:val="ListParagraph"/>
        <w:numPr>
          <w:ilvl w:val="0"/>
          <w:numId w:val="69"/>
        </w:numPr>
        <w:ind w:left="357" w:hanging="357"/>
        <w:jc w:val="both"/>
      </w:pPr>
      <w:r w:rsidRPr="00347DF8">
        <w:rPr>
          <w:rFonts w:cs="Arial"/>
        </w:rPr>
        <w:t xml:space="preserve">A key initiative taken by the Council is the establishment of a private-sector led Visitor Economy, Services &amp; Retail group to establish key priorities for investment in town centres and to oversee marketing and promotional activities.  This provides a dynamic forum for connecting local retail and expenditure with family and business visitor markets. </w:t>
      </w:r>
    </w:p>
    <w:p w14:paraId="1E1AB6B0" w14:textId="77777777" w:rsidR="002F7137" w:rsidRDefault="002F7137" w:rsidP="00C93734">
      <w:pPr>
        <w:pStyle w:val="Heading3"/>
        <w:numPr>
          <w:ilvl w:val="2"/>
          <w:numId w:val="5"/>
        </w:numPr>
        <w:jc w:val="both"/>
      </w:pPr>
      <w:r>
        <w:t xml:space="preserve">Challenges </w:t>
      </w:r>
    </w:p>
    <w:p w14:paraId="01DF493F" w14:textId="77777777" w:rsidR="00282B77" w:rsidRDefault="00282B77" w:rsidP="00C93734">
      <w:pPr>
        <w:jc w:val="both"/>
      </w:pPr>
      <w:r>
        <w:t xml:space="preserve">A range of challenges exist for the </w:t>
      </w:r>
      <w:r w:rsidR="00CB5C2E">
        <w:t>visitor economy</w:t>
      </w:r>
      <w:r>
        <w:t xml:space="preserve">, these include: </w:t>
      </w:r>
    </w:p>
    <w:p w14:paraId="6E09980D" w14:textId="77777777" w:rsidR="002F7137" w:rsidRDefault="00F56FF3" w:rsidP="00C93734">
      <w:pPr>
        <w:pStyle w:val="ListParagraph"/>
        <w:numPr>
          <w:ilvl w:val="0"/>
          <w:numId w:val="70"/>
        </w:numPr>
        <w:jc w:val="both"/>
      </w:pPr>
      <w:r>
        <w:t xml:space="preserve">The night-time economy in Grimsby </w:t>
      </w:r>
      <w:r w:rsidR="00283377">
        <w:t>is weak and is</w:t>
      </w:r>
      <w:r>
        <w:t xml:space="preserve"> considered a deterrent</w:t>
      </w:r>
      <w:r w:rsidR="005D79B3">
        <w:t>,</w:t>
      </w:r>
      <w:r>
        <w:t xml:space="preserve"> especially to families and professionals.</w:t>
      </w:r>
      <w:r w:rsidR="00283377">
        <w:t xml:space="preserve">  </w:t>
      </w:r>
      <w:r w:rsidR="005D79B3">
        <w:t>Continued</w:t>
      </w:r>
      <w:r w:rsidR="00283377">
        <w:t xml:space="preserve"> investment into major regeneration opportunities will be an important driver </w:t>
      </w:r>
      <w:r w:rsidR="00BE4B29">
        <w:t xml:space="preserve">in </w:t>
      </w:r>
      <w:r w:rsidR="00283377">
        <w:t xml:space="preserve">changing perceptions and </w:t>
      </w:r>
      <w:r w:rsidR="00BF64E6">
        <w:t xml:space="preserve">improving </w:t>
      </w:r>
      <w:r w:rsidR="00283377">
        <w:t xml:space="preserve">property market </w:t>
      </w:r>
      <w:r w:rsidR="00BF64E6">
        <w:t xml:space="preserve">conditions in order to improve the </w:t>
      </w:r>
      <w:r w:rsidR="00283377">
        <w:t>viability</w:t>
      </w:r>
      <w:r w:rsidR="00BF64E6">
        <w:t xml:space="preserve"> of a night-time economy</w:t>
      </w:r>
      <w:r w:rsidR="00283377">
        <w:t>.</w:t>
      </w:r>
    </w:p>
    <w:p w14:paraId="011B2456" w14:textId="77777777" w:rsidR="002D1540" w:rsidRDefault="003D64D7" w:rsidP="00C93734">
      <w:pPr>
        <w:pStyle w:val="ListParagraph"/>
        <w:numPr>
          <w:ilvl w:val="0"/>
          <w:numId w:val="70"/>
        </w:numPr>
        <w:jc w:val="both"/>
      </w:pPr>
      <w:r>
        <w:t xml:space="preserve">It is felt </w:t>
      </w:r>
      <w:r w:rsidR="00F56FF3">
        <w:t xml:space="preserve">by many that </w:t>
      </w:r>
      <w:r>
        <w:t>the area is missing a high quality hotel. There are few vacancies in hotels during the week and</w:t>
      </w:r>
      <w:r w:rsidR="00BE4B29">
        <w:t xml:space="preserve"> </w:t>
      </w:r>
      <w:r>
        <w:t xml:space="preserve"> visitors connected to</w:t>
      </w:r>
      <w:r w:rsidR="00BE4B29">
        <w:t xml:space="preserve"> the</w:t>
      </w:r>
      <w:r>
        <w:t xml:space="preserve"> </w:t>
      </w:r>
      <w:r w:rsidR="00BE4B29">
        <w:t xml:space="preserve">chemicals </w:t>
      </w:r>
      <w:r>
        <w:t xml:space="preserve">and </w:t>
      </w:r>
      <w:r w:rsidR="00BE4B29">
        <w:t xml:space="preserve">renewable sectors in particular </w:t>
      </w:r>
      <w:r>
        <w:t xml:space="preserve">have requested and sought high quality hotel accommodation. This has led to many staying outside the area, which </w:t>
      </w:r>
      <w:r w:rsidR="00BE4B29">
        <w:t>represents a leakage of potential expenditure for</w:t>
      </w:r>
      <w:r>
        <w:t xml:space="preserve"> the local economy.</w:t>
      </w:r>
    </w:p>
    <w:p w14:paraId="094DBA28" w14:textId="77777777" w:rsidR="00866C9F" w:rsidRDefault="003D64D7" w:rsidP="00C93734">
      <w:pPr>
        <w:pStyle w:val="ListParagraph"/>
        <w:numPr>
          <w:ilvl w:val="0"/>
          <w:numId w:val="70"/>
        </w:numPr>
        <w:jc w:val="both"/>
      </w:pPr>
      <w:r>
        <w:t>National</w:t>
      </w:r>
      <w:r w:rsidR="00BE4B29">
        <w:t>-level</w:t>
      </w:r>
      <w:r>
        <w:t xml:space="preserve"> </w:t>
      </w:r>
      <w:r w:rsidR="00BE4B29">
        <w:t>strategies seek</w:t>
      </w:r>
      <w:r w:rsidR="00AD6736">
        <w:t xml:space="preserve"> to support </w:t>
      </w:r>
      <w:r w:rsidR="00BE4B29">
        <w:t>improved</w:t>
      </w:r>
      <w:r w:rsidR="00866C9F">
        <w:t xml:space="preserve"> customer service and </w:t>
      </w:r>
      <w:r w:rsidR="003974E8">
        <w:t xml:space="preserve">the uptake of </w:t>
      </w:r>
      <w:r w:rsidR="00866C9F">
        <w:t>management qualifications in the industry</w:t>
      </w:r>
      <w:r w:rsidR="00AD6736">
        <w:t>. The local area</w:t>
      </w:r>
      <w:r w:rsidR="00866C9F">
        <w:t xml:space="preserve"> </w:t>
      </w:r>
      <w:r w:rsidR="00AD6736">
        <w:t xml:space="preserve">has </w:t>
      </w:r>
      <w:r w:rsidR="00866C9F">
        <w:t xml:space="preserve">scope for improvement </w:t>
      </w:r>
      <w:r w:rsidR="003974E8">
        <w:t xml:space="preserve">in order </w:t>
      </w:r>
      <w:r w:rsidR="00866C9F">
        <w:t xml:space="preserve">to </w:t>
      </w:r>
      <w:r w:rsidR="003974E8">
        <w:t xml:space="preserve">ensure </w:t>
      </w:r>
      <w:r w:rsidR="00866C9F">
        <w:t>competitive</w:t>
      </w:r>
      <w:r w:rsidR="003974E8">
        <w:t>ness</w:t>
      </w:r>
      <w:r w:rsidR="00866C9F">
        <w:t xml:space="preserve">. </w:t>
      </w:r>
    </w:p>
    <w:p w14:paraId="05EB4BE1" w14:textId="77777777" w:rsidR="00866C9F" w:rsidRDefault="00AD6736" w:rsidP="00C93734">
      <w:pPr>
        <w:pStyle w:val="ListParagraph"/>
        <w:numPr>
          <w:ilvl w:val="0"/>
          <w:numId w:val="70"/>
        </w:numPr>
        <w:jc w:val="both"/>
      </w:pPr>
      <w:r>
        <w:t>T</w:t>
      </w:r>
      <w:r w:rsidR="00866C9F">
        <w:t xml:space="preserve">ourism </w:t>
      </w:r>
      <w:r>
        <w:t xml:space="preserve">in the UK </w:t>
      </w:r>
      <w:r w:rsidR="00866C9F">
        <w:t xml:space="preserve">is dependent on public funds for much of its destination marketing activity. The </w:t>
      </w:r>
      <w:r w:rsidR="003974E8">
        <w:t>diverse nature of the industry</w:t>
      </w:r>
      <w:r w:rsidR="00866C9F">
        <w:t xml:space="preserve"> mea</w:t>
      </w:r>
      <w:r w:rsidR="003974E8">
        <w:t>ns</w:t>
      </w:r>
      <w:r w:rsidR="00866C9F">
        <w:t xml:space="preserve"> that </w:t>
      </w:r>
      <w:r w:rsidR="003974E8">
        <w:t>best-practise examples</w:t>
      </w:r>
      <w:r w:rsidR="00866C9F">
        <w:t xml:space="preserve"> of successful co-operation to improve</w:t>
      </w:r>
      <w:r w:rsidR="003974E8">
        <w:t xml:space="preserve"> the </w:t>
      </w:r>
      <w:r w:rsidR="00866C9F">
        <w:t xml:space="preserve">quality and </w:t>
      </w:r>
      <w:r w:rsidR="003974E8">
        <w:t>promotion of local tourism are</w:t>
      </w:r>
      <w:r w:rsidR="00866C9F">
        <w:t xml:space="preserve"> not </w:t>
      </w:r>
      <w:r w:rsidR="003974E8">
        <w:t>often applied elsewhere</w:t>
      </w:r>
      <w:r w:rsidR="00866C9F">
        <w:t xml:space="preserve">. </w:t>
      </w:r>
      <w:r w:rsidR="003974E8">
        <w:t>A</w:t>
      </w:r>
      <w:r>
        <w:t xml:space="preserve"> coordinated </w:t>
      </w:r>
      <w:r w:rsidR="003974E8">
        <w:t xml:space="preserve">effort is required </w:t>
      </w:r>
      <w:r>
        <w:t>to attract people to the area.</w:t>
      </w:r>
    </w:p>
    <w:p w14:paraId="2ECAB052" w14:textId="77777777" w:rsidR="00866C9F" w:rsidRDefault="0064539D" w:rsidP="00C93734">
      <w:pPr>
        <w:pStyle w:val="ListParagraph"/>
        <w:numPr>
          <w:ilvl w:val="0"/>
          <w:numId w:val="70"/>
        </w:numPr>
        <w:jc w:val="both"/>
        <w:rPr>
          <w:rFonts w:cs="Arial"/>
        </w:rPr>
      </w:pPr>
      <w:r w:rsidRPr="00282B77">
        <w:rPr>
          <w:rFonts w:cs="Arial"/>
        </w:rPr>
        <w:t xml:space="preserve">Despite </w:t>
      </w:r>
      <w:r w:rsidR="003974E8">
        <w:rPr>
          <w:rFonts w:cs="Arial"/>
        </w:rPr>
        <w:t>the discussed strengths of</w:t>
      </w:r>
      <w:r w:rsidR="003974E8" w:rsidRPr="00282B77">
        <w:rPr>
          <w:rFonts w:cs="Arial"/>
        </w:rPr>
        <w:t xml:space="preserve"> </w:t>
      </w:r>
      <w:r w:rsidRPr="00282B77">
        <w:rPr>
          <w:rFonts w:cs="Arial"/>
        </w:rPr>
        <w:t xml:space="preserve">Grimsby as a </w:t>
      </w:r>
      <w:r w:rsidR="003974E8">
        <w:rPr>
          <w:rFonts w:cs="Arial"/>
        </w:rPr>
        <w:t>retail</w:t>
      </w:r>
      <w:r w:rsidR="003974E8" w:rsidRPr="00282B77">
        <w:rPr>
          <w:rFonts w:cs="Arial"/>
        </w:rPr>
        <w:t xml:space="preserve"> </w:t>
      </w:r>
      <w:r w:rsidRPr="00282B77">
        <w:rPr>
          <w:rFonts w:cs="Arial"/>
        </w:rPr>
        <w:t>destination, s</w:t>
      </w:r>
      <w:r w:rsidR="00866C9F" w:rsidRPr="00282B77">
        <w:rPr>
          <w:rFonts w:cs="Arial"/>
        </w:rPr>
        <w:t xml:space="preserve">ome key retailers </w:t>
      </w:r>
      <w:r w:rsidRPr="00282B77">
        <w:rPr>
          <w:rFonts w:cs="Arial"/>
        </w:rPr>
        <w:t xml:space="preserve">(e.g. Starbucks) have decided to </w:t>
      </w:r>
      <w:r w:rsidR="00866C9F" w:rsidRPr="00282B77">
        <w:rPr>
          <w:rFonts w:cs="Arial"/>
        </w:rPr>
        <w:t>leave</w:t>
      </w:r>
      <w:r w:rsidRPr="00282B77">
        <w:rPr>
          <w:rFonts w:cs="Arial"/>
        </w:rPr>
        <w:t xml:space="preserve"> despite apparent demand.</w:t>
      </w:r>
    </w:p>
    <w:p w14:paraId="30DB171D" w14:textId="77777777" w:rsidR="004A2CC4" w:rsidRPr="00282B77" w:rsidRDefault="004A2CC4" w:rsidP="00C93734">
      <w:pPr>
        <w:pStyle w:val="ListParagraph"/>
        <w:numPr>
          <w:ilvl w:val="0"/>
          <w:numId w:val="70"/>
        </w:numPr>
        <w:jc w:val="both"/>
        <w:rPr>
          <w:rFonts w:cs="Arial"/>
        </w:rPr>
      </w:pPr>
      <w:r>
        <w:rPr>
          <w:rFonts w:cs="Arial"/>
        </w:rPr>
        <w:t xml:space="preserve">Whilst regeneration efforts are expected to improve the performance of the retail sector in the area’s town centres, provision of appropriate facilities and economic confidence are required to support further growth. </w:t>
      </w:r>
    </w:p>
    <w:p w14:paraId="60128325" w14:textId="77777777" w:rsidR="00866C9F" w:rsidRPr="00282B77" w:rsidRDefault="0064539D" w:rsidP="00C93734">
      <w:pPr>
        <w:pStyle w:val="ListParagraph"/>
        <w:numPr>
          <w:ilvl w:val="0"/>
          <w:numId w:val="70"/>
        </w:numPr>
        <w:jc w:val="both"/>
        <w:rPr>
          <w:rFonts w:cs="Arial"/>
        </w:rPr>
      </w:pPr>
      <w:r w:rsidRPr="00282B77">
        <w:rPr>
          <w:rFonts w:cs="Arial"/>
        </w:rPr>
        <w:t xml:space="preserve">The </w:t>
      </w:r>
      <w:r w:rsidR="003974E8">
        <w:rPr>
          <w:rFonts w:cs="Arial"/>
        </w:rPr>
        <w:t>portrayal of the</w:t>
      </w:r>
      <w:r w:rsidRPr="00282B77">
        <w:rPr>
          <w:rFonts w:cs="Arial"/>
        </w:rPr>
        <w:t xml:space="preserve"> area in f</w:t>
      </w:r>
      <w:r w:rsidR="00866C9F" w:rsidRPr="00282B77">
        <w:rPr>
          <w:rFonts w:cs="Arial"/>
        </w:rPr>
        <w:t xml:space="preserve">ilm </w:t>
      </w:r>
      <w:r w:rsidRPr="00282B77">
        <w:rPr>
          <w:rFonts w:cs="Arial"/>
        </w:rPr>
        <w:t xml:space="preserve">and </w:t>
      </w:r>
      <w:r w:rsidR="003974E8">
        <w:rPr>
          <w:rFonts w:cs="Arial"/>
        </w:rPr>
        <w:t>television</w:t>
      </w:r>
      <w:r w:rsidR="00866C9F" w:rsidRPr="00282B77">
        <w:rPr>
          <w:rFonts w:cs="Arial"/>
        </w:rPr>
        <w:t xml:space="preserve"> </w:t>
      </w:r>
      <w:r w:rsidRPr="00282B77">
        <w:rPr>
          <w:rFonts w:cs="Arial"/>
        </w:rPr>
        <w:t xml:space="preserve">needs to be considered. Positive adverts such as </w:t>
      </w:r>
      <w:hyperlink r:id="rId77" w:history="1">
        <w:r w:rsidRPr="00282B77">
          <w:rPr>
            <w:rStyle w:val="Hyperlink"/>
            <w:rFonts w:cs="Arial"/>
            <w:u w:val="none"/>
          </w:rPr>
          <w:t>Tesco</w:t>
        </w:r>
        <w:r w:rsidR="001367C7">
          <w:rPr>
            <w:rStyle w:val="Hyperlink"/>
            <w:rFonts w:cs="Arial"/>
            <w:u w:val="none"/>
          </w:rPr>
          <w:t>’</w:t>
        </w:r>
        <w:r w:rsidRPr="00282B77">
          <w:rPr>
            <w:rStyle w:val="Hyperlink"/>
            <w:rFonts w:cs="Arial"/>
            <w:u w:val="none"/>
          </w:rPr>
          <w:t>s Finest Fish</w:t>
        </w:r>
      </w:hyperlink>
      <w:r w:rsidRPr="00282B77">
        <w:rPr>
          <w:rFonts w:cs="Arial"/>
        </w:rPr>
        <w:t xml:space="preserve"> and </w:t>
      </w:r>
      <w:hyperlink r:id="rId78" w:history="1">
        <w:r w:rsidRPr="00282B77">
          <w:rPr>
            <w:rStyle w:val="Hyperlink"/>
            <w:rFonts w:cs="Arial"/>
            <w:u w:val="none"/>
          </w:rPr>
          <w:t>Young</w:t>
        </w:r>
        <w:r w:rsidR="001367C7">
          <w:rPr>
            <w:rStyle w:val="Hyperlink"/>
            <w:rFonts w:cs="Arial"/>
            <w:u w:val="none"/>
          </w:rPr>
          <w:t>’</w:t>
        </w:r>
        <w:r w:rsidRPr="00282B77">
          <w:rPr>
            <w:rStyle w:val="Hyperlink"/>
            <w:rFonts w:cs="Arial"/>
            <w:u w:val="none"/>
          </w:rPr>
          <w:t>s Great Grimsby Advert</w:t>
        </w:r>
      </w:hyperlink>
      <w:r w:rsidRPr="00282B77">
        <w:rPr>
          <w:rFonts w:cs="Arial"/>
        </w:rPr>
        <w:t xml:space="preserve"> are </w:t>
      </w:r>
      <w:r w:rsidR="003974E8">
        <w:rPr>
          <w:rFonts w:cs="Arial"/>
        </w:rPr>
        <w:t>possibly counteracted</w:t>
      </w:r>
      <w:r w:rsidRPr="00282B77">
        <w:rPr>
          <w:rFonts w:cs="Arial"/>
        </w:rPr>
        <w:t xml:space="preserve"> by other </w:t>
      </w:r>
      <w:r w:rsidR="003974E8">
        <w:rPr>
          <w:rFonts w:cs="Arial"/>
        </w:rPr>
        <w:t>television</w:t>
      </w:r>
      <w:r w:rsidR="003974E8" w:rsidRPr="00282B77">
        <w:rPr>
          <w:rFonts w:cs="Arial"/>
        </w:rPr>
        <w:t xml:space="preserve"> </w:t>
      </w:r>
      <w:r w:rsidRPr="00282B77">
        <w:rPr>
          <w:rFonts w:cs="Arial"/>
        </w:rPr>
        <w:t xml:space="preserve">shows such as SKINT and </w:t>
      </w:r>
      <w:r w:rsidR="001367C7">
        <w:rPr>
          <w:rFonts w:cs="Arial"/>
        </w:rPr>
        <w:t>an</w:t>
      </w:r>
      <w:r w:rsidR="001367C7" w:rsidRPr="00282B77">
        <w:rPr>
          <w:rFonts w:cs="Arial"/>
        </w:rPr>
        <w:t xml:space="preserve"> </w:t>
      </w:r>
      <w:r w:rsidR="003974E8">
        <w:rPr>
          <w:rFonts w:cs="Arial"/>
        </w:rPr>
        <w:t>upcoming</w:t>
      </w:r>
      <w:r w:rsidRPr="00282B77">
        <w:rPr>
          <w:rFonts w:cs="Arial"/>
        </w:rPr>
        <w:t xml:space="preserve"> </w:t>
      </w:r>
      <w:r w:rsidR="00866C9F" w:rsidRPr="00282B77">
        <w:rPr>
          <w:rFonts w:cs="Arial"/>
        </w:rPr>
        <w:t>Sasha Baron Cohen</w:t>
      </w:r>
      <w:r w:rsidRPr="00282B77">
        <w:rPr>
          <w:rFonts w:cs="Arial"/>
        </w:rPr>
        <w:t xml:space="preserve"> film </w:t>
      </w:r>
      <w:r w:rsidR="003974E8">
        <w:rPr>
          <w:rFonts w:cs="Arial"/>
        </w:rPr>
        <w:t xml:space="preserve">set </w:t>
      </w:r>
      <w:r w:rsidRPr="00282B77">
        <w:rPr>
          <w:rFonts w:cs="Arial"/>
        </w:rPr>
        <w:t>in the local area.</w:t>
      </w:r>
    </w:p>
    <w:p w14:paraId="413E0F33" w14:textId="77777777" w:rsidR="00DE3B2D" w:rsidRDefault="00DE3B2D" w:rsidP="00DE3B2D">
      <w:pPr>
        <w:pStyle w:val="IntroHeading"/>
      </w:pPr>
      <w:bookmarkStart w:id="608" w:name="_Toc395103931"/>
      <w:r>
        <w:t>Summary &amp; Conclusions</w:t>
      </w:r>
      <w:bookmarkEnd w:id="608"/>
    </w:p>
    <w:p w14:paraId="04D9F724" w14:textId="77777777" w:rsidR="008D7250" w:rsidRDefault="008D7250"/>
    <w:p w14:paraId="38EACADD" w14:textId="77777777" w:rsidR="00437ACB" w:rsidRDefault="00437ACB" w:rsidP="00C93734">
      <w:pPr>
        <w:jc w:val="both"/>
        <w:sectPr w:rsidR="00437ACB" w:rsidSect="00DE3B2D">
          <w:headerReference w:type="first" r:id="rId79"/>
          <w:pgSz w:w="11906" w:h="16838" w:code="9"/>
          <w:pgMar w:top="964" w:right="1134" w:bottom="964" w:left="1134" w:header="510" w:footer="340" w:gutter="0"/>
          <w:cols w:space="708"/>
          <w:titlePg/>
          <w:docGrid w:linePitch="360"/>
        </w:sectPr>
      </w:pPr>
    </w:p>
    <w:p w14:paraId="22754F43" w14:textId="77777777" w:rsidR="00437ACB" w:rsidRDefault="00437ACB" w:rsidP="00437ACB">
      <w:pPr>
        <w:pStyle w:val="IntroHeading"/>
      </w:pPr>
      <w:bookmarkStart w:id="609" w:name="_Toc395100590"/>
      <w:bookmarkStart w:id="610" w:name="_Toc395103932"/>
      <w:r>
        <w:t>Summary &amp; Conclusions</w:t>
      </w:r>
      <w:bookmarkEnd w:id="609"/>
      <w:bookmarkEnd w:id="610"/>
    </w:p>
    <w:p w14:paraId="096E820E" w14:textId="77777777" w:rsidR="008D7250" w:rsidRDefault="00B877A8">
      <w:pPr>
        <w:rPr>
          <w:rFonts w:eastAsia="Times New Roman" w:cs="Times New Roman"/>
          <w:color w:val="394A58" w:themeColor="accent2"/>
          <w:szCs w:val="28"/>
        </w:rPr>
      </w:pPr>
      <w:r>
        <w:br w:type="page"/>
      </w:r>
    </w:p>
    <w:p w14:paraId="6F7FF5DA" w14:textId="77777777" w:rsidR="009B4EEF" w:rsidRDefault="00F56FF3" w:rsidP="00C93734">
      <w:pPr>
        <w:pStyle w:val="Heading1"/>
        <w:jc w:val="both"/>
      </w:pPr>
      <w:bookmarkStart w:id="611" w:name="_Ref391911344"/>
      <w:bookmarkStart w:id="612" w:name="_Toc395103933"/>
      <w:r>
        <w:t>Summary</w:t>
      </w:r>
      <w:r w:rsidR="00761BDE">
        <w:t xml:space="preserve"> &amp; Conclusions</w:t>
      </w:r>
      <w:bookmarkEnd w:id="611"/>
      <w:bookmarkEnd w:id="612"/>
    </w:p>
    <w:p w14:paraId="1B0790D4" w14:textId="77777777" w:rsidR="00761BDE" w:rsidRDefault="00761BDE" w:rsidP="00C93734">
      <w:pPr>
        <w:spacing w:after="120"/>
        <w:jc w:val="both"/>
      </w:pPr>
      <w:r>
        <w:t xml:space="preserve">Atkins </w:t>
      </w:r>
      <w:r w:rsidR="00875937">
        <w:t xml:space="preserve">were </w:t>
      </w:r>
      <w:r>
        <w:t>commissioned by Cofely GDF-Suez (CGS) on behalf of North East Lincolnshire Council (NEL</w:t>
      </w:r>
      <w:r w:rsidR="00875937">
        <w:t>C</w:t>
      </w:r>
      <w:r>
        <w:t>) to undertake a targeted s</w:t>
      </w:r>
      <w:r w:rsidRPr="006F6939">
        <w:t xml:space="preserve">ector </w:t>
      </w:r>
      <w:r>
        <w:t>study.</w:t>
      </w:r>
    </w:p>
    <w:p w14:paraId="0C4BC666" w14:textId="77777777" w:rsidR="00761BDE" w:rsidRDefault="00875937" w:rsidP="00C93734">
      <w:pPr>
        <w:spacing w:after="120"/>
        <w:jc w:val="both"/>
      </w:pPr>
      <w:r>
        <w:t xml:space="preserve">This </w:t>
      </w:r>
      <w:r w:rsidR="00761BDE">
        <w:t>report focuses upon five key sectors</w:t>
      </w:r>
      <w:r>
        <w:t xml:space="preserve">, </w:t>
      </w:r>
      <w:r w:rsidR="00761BDE">
        <w:t xml:space="preserve">recognised in a variety of existing policy initiatives </w:t>
      </w:r>
      <w:r>
        <w:t xml:space="preserve">as </w:t>
      </w:r>
      <w:r w:rsidR="00761BDE">
        <w:t>being of strategic importance to the NEL economy:</w:t>
      </w:r>
    </w:p>
    <w:p w14:paraId="5206DF11" w14:textId="77777777" w:rsidR="00761BDE" w:rsidRDefault="00761BDE" w:rsidP="00C93734">
      <w:pPr>
        <w:pStyle w:val="ListParagraph"/>
        <w:numPr>
          <w:ilvl w:val="0"/>
          <w:numId w:val="43"/>
        </w:numPr>
        <w:jc w:val="both"/>
      </w:pPr>
      <w:r>
        <w:t xml:space="preserve">Port &amp; Logistics </w:t>
      </w:r>
    </w:p>
    <w:p w14:paraId="6CA868DD" w14:textId="77777777" w:rsidR="00761BDE" w:rsidRDefault="00761BDE" w:rsidP="00C93734">
      <w:pPr>
        <w:pStyle w:val="ListParagraph"/>
        <w:numPr>
          <w:ilvl w:val="0"/>
          <w:numId w:val="43"/>
        </w:numPr>
        <w:jc w:val="both"/>
      </w:pPr>
      <w:r>
        <w:t xml:space="preserve">Food and Fish Processing </w:t>
      </w:r>
    </w:p>
    <w:p w14:paraId="13CBD063" w14:textId="77777777" w:rsidR="00761BDE" w:rsidRDefault="00761BDE" w:rsidP="00C93734">
      <w:pPr>
        <w:pStyle w:val="ListParagraph"/>
        <w:numPr>
          <w:ilvl w:val="0"/>
          <w:numId w:val="43"/>
        </w:numPr>
        <w:jc w:val="both"/>
      </w:pPr>
      <w:r>
        <w:t xml:space="preserve">Chemicals and Process Industries </w:t>
      </w:r>
    </w:p>
    <w:p w14:paraId="0D06213D" w14:textId="77777777" w:rsidR="00761BDE" w:rsidRDefault="00761BDE" w:rsidP="00C93734">
      <w:pPr>
        <w:pStyle w:val="ListParagraph"/>
        <w:numPr>
          <w:ilvl w:val="0"/>
          <w:numId w:val="43"/>
        </w:numPr>
        <w:jc w:val="both"/>
      </w:pPr>
      <w:r>
        <w:t xml:space="preserve">Renewable Energy </w:t>
      </w:r>
    </w:p>
    <w:p w14:paraId="3F35C846" w14:textId="77777777" w:rsidR="00DE3B2D" w:rsidRDefault="00761BDE" w:rsidP="00DE3B2D">
      <w:pPr>
        <w:pStyle w:val="ListParagraph"/>
        <w:numPr>
          <w:ilvl w:val="0"/>
          <w:numId w:val="43"/>
        </w:numPr>
        <w:jc w:val="both"/>
      </w:pPr>
      <w:r>
        <w:t>Visitor</w:t>
      </w:r>
      <w:r w:rsidR="0098206F">
        <w:t xml:space="preserve"> Economy, Services</w:t>
      </w:r>
      <w:r>
        <w:t xml:space="preserve"> &amp; Retail </w:t>
      </w:r>
    </w:p>
    <w:p w14:paraId="0D50F83B" w14:textId="77777777" w:rsidR="008D7250" w:rsidRDefault="00DE3B2D">
      <w:pPr>
        <w:pStyle w:val="Heading2"/>
      </w:pPr>
      <w:bookmarkStart w:id="613" w:name="_Toc395103934"/>
      <w:r>
        <w:t>The Key Sectors</w:t>
      </w:r>
      <w:bookmarkEnd w:id="613"/>
    </w:p>
    <w:p w14:paraId="764F97E4" w14:textId="77777777" w:rsidR="00761BDE" w:rsidRDefault="00761BDE" w:rsidP="00C93734">
      <w:pPr>
        <w:jc w:val="both"/>
      </w:pPr>
      <w:r>
        <w:t xml:space="preserve">The key sectors in 2013 </w:t>
      </w:r>
      <w:r w:rsidR="00875937">
        <w:t xml:space="preserve">collectively </w:t>
      </w:r>
      <w:r>
        <w:t>employ approximately 19,230 people across 1,180 firms. This represents 27% of the total firm</w:t>
      </w:r>
      <w:r w:rsidR="00875937">
        <w:t xml:space="preserve">s </w:t>
      </w:r>
      <w:r>
        <w:t xml:space="preserve">in the local area and </w:t>
      </w:r>
      <w:r w:rsidR="00BF42BB">
        <w:t>at least 30</w:t>
      </w:r>
      <w:r>
        <w:t>% of total employment in the area.  The breakdown by sector is as follows:</w:t>
      </w:r>
    </w:p>
    <w:p w14:paraId="66830953" w14:textId="77777777" w:rsidR="00761BDE" w:rsidRDefault="00761BDE" w:rsidP="00C93734">
      <w:pPr>
        <w:pStyle w:val="ListParagraph"/>
        <w:numPr>
          <w:ilvl w:val="0"/>
          <w:numId w:val="66"/>
        </w:numPr>
        <w:jc w:val="both"/>
      </w:pPr>
      <w:r>
        <w:t>Ports &amp; Logistics – 220 firms employing 4,820 people</w:t>
      </w:r>
    </w:p>
    <w:p w14:paraId="4C09ACF6" w14:textId="77777777" w:rsidR="00761BDE" w:rsidRDefault="00761BDE" w:rsidP="00C93734">
      <w:pPr>
        <w:pStyle w:val="ListParagraph"/>
        <w:numPr>
          <w:ilvl w:val="0"/>
          <w:numId w:val="66"/>
        </w:numPr>
        <w:jc w:val="both"/>
      </w:pPr>
      <w:r>
        <w:t>Renewables (&amp; Energy) - 430 firms employing 3,250 people</w:t>
      </w:r>
    </w:p>
    <w:p w14:paraId="2A3D4437" w14:textId="77777777" w:rsidR="00761BDE" w:rsidRDefault="00761BDE" w:rsidP="00C93734">
      <w:pPr>
        <w:pStyle w:val="ListParagraph"/>
        <w:numPr>
          <w:ilvl w:val="0"/>
          <w:numId w:val="66"/>
        </w:numPr>
        <w:jc w:val="both"/>
      </w:pPr>
      <w:r>
        <w:t>Chemicals &amp; Process Industries - 40 firms employing 2,230 people</w:t>
      </w:r>
    </w:p>
    <w:p w14:paraId="0B6ECC93" w14:textId="77777777" w:rsidR="00761BDE" w:rsidRDefault="00761BDE" w:rsidP="00C93734">
      <w:pPr>
        <w:pStyle w:val="ListParagraph"/>
        <w:numPr>
          <w:ilvl w:val="0"/>
          <w:numId w:val="66"/>
        </w:numPr>
        <w:jc w:val="both"/>
      </w:pPr>
      <w:r>
        <w:t>Tourism &amp; Retail - 400 firms employing 4,830 people</w:t>
      </w:r>
    </w:p>
    <w:p w14:paraId="34AAC7AB" w14:textId="77777777" w:rsidR="00761BDE" w:rsidRDefault="00761BDE" w:rsidP="00C93734">
      <w:pPr>
        <w:pStyle w:val="ListParagraph"/>
        <w:numPr>
          <w:ilvl w:val="0"/>
          <w:numId w:val="66"/>
        </w:numPr>
        <w:jc w:val="both"/>
      </w:pPr>
      <w:r>
        <w:t>Food Processing - 90 firms employing 4,100 people.</w:t>
      </w:r>
    </w:p>
    <w:p w14:paraId="16BAC1AB" w14:textId="77777777" w:rsidR="00761BDE" w:rsidRDefault="00761BDE" w:rsidP="00C93734">
      <w:pPr>
        <w:jc w:val="both"/>
      </w:pPr>
      <w:r>
        <w:t>Based on an empirical</w:t>
      </w:r>
      <w:r w:rsidR="00875937">
        <w:t xml:space="preserve"> </w:t>
      </w:r>
      <w:r w:rsidR="00BF42BB">
        <w:t xml:space="preserve">and representative </w:t>
      </w:r>
      <w:r>
        <w:t xml:space="preserve">sample of existing businesses in </w:t>
      </w:r>
      <w:r w:rsidR="00875937">
        <w:t>NEL</w:t>
      </w:r>
      <w:r>
        <w:t>, we estimate that an additional 49,000 indirect jobs are supported through the operation of the five key sectors</w:t>
      </w:r>
      <w:r w:rsidRPr="00C944FA">
        <w:t>.</w:t>
      </w:r>
      <w:r>
        <w:t xml:space="preserve">  A significant proportion of these jobs are located beyond NEL’s boundaries.</w:t>
      </w:r>
    </w:p>
    <w:p w14:paraId="15A468BB" w14:textId="77777777" w:rsidR="00761BDE" w:rsidRDefault="00512E71" w:rsidP="00C93734">
      <w:pPr>
        <w:jc w:val="both"/>
      </w:pPr>
      <w:r>
        <w:t>Both total employment and the number of firms have</w:t>
      </w:r>
      <w:r w:rsidR="00761BDE">
        <w:t xml:space="preserve"> </w:t>
      </w:r>
      <w:r>
        <w:t>been fairly</w:t>
      </w:r>
      <w:r w:rsidR="00761BDE">
        <w:t xml:space="preserve"> stable in the key economic sectors since 2009, with growth </w:t>
      </w:r>
      <w:r w:rsidR="005359F3">
        <w:t xml:space="preserve">most notable in the </w:t>
      </w:r>
      <w:r>
        <w:t xml:space="preserve">renewable energy </w:t>
      </w:r>
      <w:r w:rsidR="005359F3">
        <w:t>sector.</w:t>
      </w:r>
    </w:p>
    <w:p w14:paraId="5F529CD5" w14:textId="77777777" w:rsidR="005359F3" w:rsidRPr="00350927" w:rsidRDefault="005359F3" w:rsidP="00C93734">
      <w:pPr>
        <w:pStyle w:val="BodyText"/>
        <w:jc w:val="both"/>
        <w:rPr>
          <w:rFonts w:eastAsiaTheme="minorHAnsi" w:cstheme="minorBidi"/>
          <w:color w:val="394A58" w:themeColor="text2"/>
          <w:szCs w:val="22"/>
          <w:lang w:eastAsia="en-US"/>
        </w:rPr>
      </w:pPr>
      <w:r w:rsidRPr="00350927">
        <w:rPr>
          <w:rFonts w:eastAsiaTheme="minorHAnsi" w:cstheme="minorBidi"/>
          <w:color w:val="394A58" w:themeColor="text2"/>
          <w:szCs w:val="22"/>
          <w:lang w:eastAsia="en-US"/>
        </w:rPr>
        <w:t>Our analysis indicates that</w:t>
      </w:r>
      <w:r w:rsidR="00512E71">
        <w:rPr>
          <w:rFonts w:eastAsiaTheme="minorHAnsi" w:cstheme="minorBidi"/>
          <w:color w:val="394A58" w:themeColor="text2"/>
          <w:szCs w:val="22"/>
          <w:lang w:eastAsia="en-US"/>
        </w:rPr>
        <w:t xml:space="preserve"> </w:t>
      </w:r>
      <w:r w:rsidRPr="00350927">
        <w:rPr>
          <w:rFonts w:eastAsiaTheme="minorHAnsi" w:cstheme="minorBidi"/>
          <w:color w:val="394A58" w:themeColor="text2"/>
          <w:szCs w:val="22"/>
          <w:lang w:eastAsia="en-US"/>
        </w:rPr>
        <w:t xml:space="preserve">the key sectors </w:t>
      </w:r>
      <w:r w:rsidR="00512E71">
        <w:rPr>
          <w:rFonts w:eastAsiaTheme="minorHAnsi" w:cstheme="minorBidi"/>
          <w:color w:val="394A58" w:themeColor="text2"/>
          <w:szCs w:val="22"/>
          <w:lang w:eastAsia="en-US"/>
        </w:rPr>
        <w:t>contribute</w:t>
      </w:r>
      <w:r w:rsidR="00512E71" w:rsidRPr="00350927">
        <w:rPr>
          <w:rFonts w:eastAsiaTheme="minorHAnsi" w:cstheme="minorBidi"/>
          <w:color w:val="394A58" w:themeColor="text2"/>
          <w:szCs w:val="22"/>
          <w:lang w:eastAsia="en-US"/>
        </w:rPr>
        <w:t xml:space="preserve"> </w:t>
      </w:r>
      <w:r w:rsidRPr="00350927">
        <w:rPr>
          <w:rFonts w:eastAsiaTheme="minorHAnsi" w:cstheme="minorBidi"/>
          <w:color w:val="394A58" w:themeColor="text2"/>
          <w:szCs w:val="22"/>
          <w:lang w:eastAsia="en-US"/>
        </w:rPr>
        <w:t>at least £1</w:t>
      </w:r>
      <w:r w:rsidR="00350927" w:rsidRPr="00350927">
        <w:rPr>
          <w:rFonts w:eastAsiaTheme="minorHAnsi" w:cstheme="minorBidi"/>
          <w:color w:val="394A58" w:themeColor="text2"/>
          <w:szCs w:val="22"/>
          <w:lang w:eastAsia="en-US"/>
        </w:rPr>
        <w:t>,740</w:t>
      </w:r>
      <w:r w:rsidRPr="00350927">
        <w:rPr>
          <w:rFonts w:eastAsiaTheme="minorHAnsi" w:cstheme="minorBidi"/>
          <w:color w:val="394A58" w:themeColor="text2"/>
          <w:szCs w:val="22"/>
          <w:lang w:eastAsia="en-US"/>
        </w:rPr>
        <w:t xml:space="preserve"> million</w:t>
      </w:r>
      <w:r w:rsidR="00512E71">
        <w:rPr>
          <w:rFonts w:eastAsiaTheme="minorHAnsi" w:cstheme="minorBidi"/>
          <w:color w:val="394A58" w:themeColor="text2"/>
          <w:szCs w:val="22"/>
          <w:lang w:eastAsia="en-US"/>
        </w:rPr>
        <w:t>, or 57%,</w:t>
      </w:r>
      <w:r w:rsidRPr="00350927">
        <w:rPr>
          <w:rFonts w:eastAsiaTheme="minorHAnsi" w:cstheme="minorBidi"/>
          <w:color w:val="394A58" w:themeColor="text2"/>
          <w:szCs w:val="22"/>
          <w:lang w:eastAsia="en-US"/>
        </w:rPr>
        <w:t xml:space="preserve"> </w:t>
      </w:r>
      <w:r w:rsidR="00512E71">
        <w:rPr>
          <w:rFonts w:eastAsiaTheme="minorHAnsi" w:cstheme="minorBidi"/>
          <w:color w:val="394A58" w:themeColor="text2"/>
          <w:szCs w:val="22"/>
          <w:lang w:eastAsia="en-US"/>
        </w:rPr>
        <w:t>of the area’s GDP</w:t>
      </w:r>
      <w:r w:rsidRPr="00350927">
        <w:rPr>
          <w:rFonts w:eastAsiaTheme="minorHAnsi" w:cstheme="minorBidi"/>
          <w:color w:val="394A58" w:themeColor="text2"/>
          <w:szCs w:val="22"/>
          <w:lang w:eastAsia="en-US"/>
        </w:rPr>
        <w:t>:</w:t>
      </w:r>
    </w:p>
    <w:p w14:paraId="7F577B7B" w14:textId="77777777" w:rsidR="005C065C" w:rsidRPr="00350927" w:rsidRDefault="005C065C" w:rsidP="00C93734">
      <w:pPr>
        <w:pStyle w:val="ListParagraph"/>
        <w:numPr>
          <w:ilvl w:val="0"/>
          <w:numId w:val="66"/>
        </w:numPr>
        <w:jc w:val="both"/>
      </w:pPr>
      <w:r w:rsidRPr="00350927">
        <w:t>Ports &amp; Logistics - £832 million</w:t>
      </w:r>
    </w:p>
    <w:p w14:paraId="5A29114C" w14:textId="77777777" w:rsidR="005359F3" w:rsidRDefault="005359F3" w:rsidP="00C93734">
      <w:pPr>
        <w:pStyle w:val="ListParagraph"/>
        <w:numPr>
          <w:ilvl w:val="0"/>
          <w:numId w:val="66"/>
        </w:numPr>
        <w:jc w:val="both"/>
      </w:pPr>
      <w:r>
        <w:t>Renewables - £376 million</w:t>
      </w:r>
    </w:p>
    <w:p w14:paraId="748974EF" w14:textId="77777777" w:rsidR="00350927" w:rsidRDefault="00350927" w:rsidP="00C93734">
      <w:pPr>
        <w:pStyle w:val="ListParagraph"/>
        <w:numPr>
          <w:ilvl w:val="0"/>
          <w:numId w:val="66"/>
        </w:numPr>
        <w:jc w:val="both"/>
      </w:pPr>
      <w:r>
        <w:t>Chemicals &amp; process industries - £311 million</w:t>
      </w:r>
    </w:p>
    <w:p w14:paraId="5857FD58" w14:textId="77777777" w:rsidR="005359F3" w:rsidRDefault="005359F3" w:rsidP="00C93734">
      <w:pPr>
        <w:pStyle w:val="ListParagraph"/>
        <w:numPr>
          <w:ilvl w:val="0"/>
          <w:numId w:val="66"/>
        </w:numPr>
        <w:jc w:val="both"/>
      </w:pPr>
      <w:r>
        <w:t>Food manufacturing - £240 million</w:t>
      </w:r>
    </w:p>
    <w:p w14:paraId="429EF102" w14:textId="77777777" w:rsidR="005359F3" w:rsidRDefault="005359F3" w:rsidP="00C93734">
      <w:pPr>
        <w:pStyle w:val="ListParagraph"/>
        <w:numPr>
          <w:ilvl w:val="0"/>
          <w:numId w:val="66"/>
        </w:numPr>
        <w:jc w:val="both"/>
      </w:pPr>
      <w:r>
        <w:t>Visitor Economy</w:t>
      </w:r>
      <w:r w:rsidR="0098206F">
        <w:t>, Services</w:t>
      </w:r>
      <w:r>
        <w:t xml:space="preserve"> &amp; Retail - £182 million.</w:t>
      </w:r>
    </w:p>
    <w:p w14:paraId="6690C3F9" w14:textId="77777777" w:rsidR="005359F3" w:rsidRDefault="005359F3" w:rsidP="00C93734">
      <w:pPr>
        <w:jc w:val="both"/>
      </w:pPr>
      <w:r>
        <w:t xml:space="preserve">In terms of Gross Value Added (GVA), the key sectors together contribute just over £1billion in value.  </w:t>
      </w:r>
    </w:p>
    <w:p w14:paraId="5ABB1706" w14:textId="77777777" w:rsidR="00DE3B2D" w:rsidRDefault="00E113F0" w:rsidP="00DE3B2D">
      <w:pPr>
        <w:pStyle w:val="Heading2"/>
        <w:numPr>
          <w:ilvl w:val="1"/>
          <w:numId w:val="5"/>
        </w:numPr>
      </w:pPr>
      <w:bookmarkStart w:id="614" w:name="_Toc395103935"/>
      <w:r>
        <w:t xml:space="preserve">Determining </w:t>
      </w:r>
      <w:r w:rsidR="00DE3B2D">
        <w:t xml:space="preserve">Factors </w:t>
      </w:r>
      <w:r>
        <w:t>of</w:t>
      </w:r>
      <w:r w:rsidR="00DE3B2D">
        <w:t xml:space="preserve"> Future Growth</w:t>
      </w:r>
      <w:bookmarkEnd w:id="614"/>
      <w:r w:rsidR="00DE3B2D">
        <w:t xml:space="preserve">  </w:t>
      </w:r>
    </w:p>
    <w:p w14:paraId="566F2CC7" w14:textId="77777777" w:rsidR="00DE3B2D" w:rsidRDefault="00DE3B2D" w:rsidP="00DE3B2D">
      <w:pPr>
        <w:jc w:val="both"/>
        <w:rPr>
          <w:rFonts w:cs="Arial"/>
        </w:rPr>
      </w:pPr>
      <w:r>
        <w:rPr>
          <w:rFonts w:cs="Arial"/>
        </w:rPr>
        <w:t xml:space="preserve">A range of factors </w:t>
      </w:r>
      <w:r w:rsidR="00BF42BB">
        <w:rPr>
          <w:rFonts w:cs="Arial"/>
        </w:rPr>
        <w:t>important to</w:t>
      </w:r>
      <w:r>
        <w:rPr>
          <w:rFonts w:cs="Arial"/>
        </w:rPr>
        <w:t xml:space="preserve"> the </w:t>
      </w:r>
      <w:r w:rsidR="00BF42BB">
        <w:rPr>
          <w:rFonts w:cs="Arial"/>
        </w:rPr>
        <w:t xml:space="preserve">future </w:t>
      </w:r>
      <w:r>
        <w:rPr>
          <w:rFonts w:cs="Arial"/>
        </w:rPr>
        <w:t>growth of the key sectors have emerged during the study. These concern skills and innovation, clustering and</w:t>
      </w:r>
      <w:r w:rsidR="00BF42BB">
        <w:rPr>
          <w:rFonts w:cs="Arial"/>
        </w:rPr>
        <w:t xml:space="preserve"> competition,</w:t>
      </w:r>
      <w:r>
        <w:rPr>
          <w:rFonts w:cs="Arial"/>
        </w:rPr>
        <w:t xml:space="preserve"> infrastructure and environment. These factors </w:t>
      </w:r>
      <w:r w:rsidR="00BF42BB">
        <w:rPr>
          <w:rFonts w:cs="Arial"/>
        </w:rPr>
        <w:t>will shape the scale and nature of</w:t>
      </w:r>
      <w:r>
        <w:rPr>
          <w:rFonts w:cs="Arial"/>
        </w:rPr>
        <w:t xml:space="preserve"> future growth and should be the focus of action</w:t>
      </w:r>
      <w:r w:rsidR="00BF42BB">
        <w:rPr>
          <w:rFonts w:cs="Arial"/>
        </w:rPr>
        <w:t xml:space="preserve"> to be</w:t>
      </w:r>
      <w:r>
        <w:rPr>
          <w:rFonts w:cs="Arial"/>
        </w:rPr>
        <w:t xml:space="preserve"> taken </w:t>
      </w:r>
      <w:r w:rsidR="00BF42BB">
        <w:rPr>
          <w:rFonts w:cs="Arial"/>
        </w:rPr>
        <w:t xml:space="preserve">in order </w:t>
      </w:r>
      <w:r>
        <w:rPr>
          <w:rFonts w:cs="Arial"/>
        </w:rPr>
        <w:t>to</w:t>
      </w:r>
      <w:r w:rsidR="00BF42BB">
        <w:rPr>
          <w:rFonts w:cs="Arial"/>
        </w:rPr>
        <w:t xml:space="preserve"> fully</w:t>
      </w:r>
      <w:r>
        <w:rPr>
          <w:rFonts w:cs="Arial"/>
        </w:rPr>
        <w:t xml:space="preserve"> realise the </w:t>
      </w:r>
      <w:r w:rsidR="00BF42BB">
        <w:rPr>
          <w:rFonts w:cs="Arial"/>
        </w:rPr>
        <w:t xml:space="preserve">economic </w:t>
      </w:r>
      <w:r>
        <w:rPr>
          <w:rFonts w:cs="Arial"/>
        </w:rPr>
        <w:t xml:space="preserve">potential of the key sectors. </w:t>
      </w:r>
    </w:p>
    <w:p w14:paraId="0215A1D8" w14:textId="77777777" w:rsidR="00DE3B2D" w:rsidRDefault="00DE3B2D" w:rsidP="00DE3B2D">
      <w:pPr>
        <w:pStyle w:val="Heading3"/>
        <w:numPr>
          <w:ilvl w:val="2"/>
          <w:numId w:val="5"/>
        </w:numPr>
      </w:pPr>
      <w:r w:rsidRPr="00B1428F">
        <w:t>Skills and innovation</w:t>
      </w:r>
    </w:p>
    <w:p w14:paraId="12EE7CE4" w14:textId="77777777" w:rsidR="00DE3B2D" w:rsidRDefault="00DE3B2D" w:rsidP="00DE3B2D">
      <w:pPr>
        <w:spacing w:after="0"/>
        <w:jc w:val="both"/>
        <w:rPr>
          <w:rFonts w:cs="Arial"/>
        </w:rPr>
      </w:pPr>
      <w:r>
        <w:rPr>
          <w:rFonts w:cs="Arial"/>
        </w:rPr>
        <w:t xml:space="preserve">Many </w:t>
      </w:r>
      <w:r w:rsidRPr="00B1428F">
        <w:rPr>
          <w:rFonts w:cs="Arial"/>
        </w:rPr>
        <w:t xml:space="preserve">industries are adopting high-value, </w:t>
      </w:r>
      <w:r w:rsidR="00BF42BB">
        <w:rPr>
          <w:rFonts w:cs="Arial"/>
        </w:rPr>
        <w:t>knowledge-intensive</w:t>
      </w:r>
      <w:r w:rsidRPr="00B1428F">
        <w:rPr>
          <w:rFonts w:cs="Arial"/>
        </w:rPr>
        <w:t xml:space="preserve"> activities</w:t>
      </w:r>
      <w:r>
        <w:rPr>
          <w:rFonts w:cs="Arial"/>
        </w:rPr>
        <w:t xml:space="preserve"> to ensure competitiveness,</w:t>
      </w:r>
      <w:r w:rsidRPr="00B1428F">
        <w:rPr>
          <w:rFonts w:cs="Arial"/>
        </w:rPr>
        <w:t xml:space="preserve"> and there is an increased requirement for highly skilled workers as a result. However, major sectors in the economy, particularly retail and the fish-processing industry could be described as low-skill equilibrium </w:t>
      </w:r>
      <w:r w:rsidR="00BF42BB">
        <w:rPr>
          <w:rFonts w:cs="Arial"/>
        </w:rPr>
        <w:t>activities</w:t>
      </w:r>
      <w:r w:rsidRPr="00B1428F">
        <w:rPr>
          <w:rFonts w:cs="Arial"/>
        </w:rPr>
        <w:t xml:space="preserve">, characterised by low value added activities, low skill requirements and </w:t>
      </w:r>
      <w:r w:rsidR="00BF42BB">
        <w:rPr>
          <w:rFonts w:cs="Arial"/>
        </w:rPr>
        <w:t xml:space="preserve">relatively </w:t>
      </w:r>
      <w:r w:rsidRPr="00B1428F">
        <w:rPr>
          <w:rFonts w:cs="Arial"/>
        </w:rPr>
        <w:t xml:space="preserve">low wages. </w:t>
      </w:r>
    </w:p>
    <w:p w14:paraId="6239EAC1" w14:textId="77777777" w:rsidR="00DE3B2D" w:rsidRDefault="00DE3B2D" w:rsidP="00DE3B2D">
      <w:pPr>
        <w:spacing w:after="0"/>
        <w:jc w:val="both"/>
        <w:rPr>
          <w:rFonts w:cs="Arial"/>
        </w:rPr>
      </w:pPr>
    </w:p>
    <w:p w14:paraId="62EFDA3C" w14:textId="77777777" w:rsidR="00DE3B2D" w:rsidRDefault="00DE3B2D" w:rsidP="00DE3B2D">
      <w:pPr>
        <w:jc w:val="both"/>
        <w:rPr>
          <w:rFonts w:cs="Arial"/>
        </w:rPr>
      </w:pPr>
      <w:r w:rsidRPr="00A95023">
        <w:rPr>
          <w:rFonts w:cs="Arial"/>
        </w:rPr>
        <w:t xml:space="preserve">As technological progress in several key sectors </w:t>
      </w:r>
      <w:r>
        <w:rPr>
          <w:rFonts w:cs="Arial"/>
        </w:rPr>
        <w:t>is</w:t>
      </w:r>
      <w:r w:rsidRPr="00A95023">
        <w:rPr>
          <w:rFonts w:cs="Arial"/>
        </w:rPr>
        <w:t xml:space="preserve"> changing the </w:t>
      </w:r>
      <w:r>
        <w:rPr>
          <w:rFonts w:cs="Arial"/>
        </w:rPr>
        <w:t>skills requirements of</w:t>
      </w:r>
      <w:r w:rsidRPr="00A95023">
        <w:rPr>
          <w:rFonts w:cs="Arial"/>
        </w:rPr>
        <w:t xml:space="preserve"> businesses, local skill shortages are evident, particularly in high-skilled roles. As such, many valuable skilled workers currently travel in from outside NEL. Encouraging the development of these skills locally and emphasising relevant transferable skills will ensure the full participation of local communities in skill-led economic growth.</w:t>
      </w:r>
    </w:p>
    <w:p w14:paraId="26940DC2" w14:textId="77777777" w:rsidR="00DE3B2D" w:rsidRPr="00B1428F" w:rsidRDefault="00DE3B2D" w:rsidP="00DE3B2D">
      <w:pPr>
        <w:spacing w:after="0"/>
        <w:jc w:val="both"/>
        <w:rPr>
          <w:rFonts w:cs="Arial"/>
        </w:rPr>
      </w:pPr>
      <w:r>
        <w:rPr>
          <w:rFonts w:cs="Arial"/>
        </w:rPr>
        <w:t>Furthermore, a</w:t>
      </w:r>
      <w:r w:rsidRPr="00B1428F">
        <w:rPr>
          <w:rFonts w:cs="Arial"/>
        </w:rPr>
        <w:t xml:space="preserve"> range of sector-specific legislation, standards and certification requirements exist across the priority sectors. Ensuring that the skills exist locally to fulfil these regulatory requirements can be influential in retaining or attract businesses. </w:t>
      </w:r>
    </w:p>
    <w:p w14:paraId="18E09CC7" w14:textId="77777777" w:rsidR="00DE3B2D" w:rsidRDefault="00DE3B2D" w:rsidP="00DE3B2D">
      <w:pPr>
        <w:spacing w:after="0"/>
        <w:jc w:val="both"/>
        <w:rPr>
          <w:rFonts w:cs="Arial"/>
        </w:rPr>
      </w:pPr>
    </w:p>
    <w:p w14:paraId="7BEB34D6" w14:textId="77777777" w:rsidR="00DE3B2D" w:rsidRDefault="00DE3B2D" w:rsidP="00DE3B2D">
      <w:pPr>
        <w:spacing w:after="0"/>
        <w:jc w:val="both"/>
        <w:rPr>
          <w:rFonts w:cs="Arial"/>
        </w:rPr>
      </w:pPr>
      <w:r w:rsidRPr="00B1428F">
        <w:rPr>
          <w:rFonts w:cs="Arial"/>
        </w:rPr>
        <w:t>The local economy would</w:t>
      </w:r>
      <w:r>
        <w:rPr>
          <w:rFonts w:cs="Arial"/>
        </w:rPr>
        <w:t xml:space="preserve"> therefore</w:t>
      </w:r>
      <w:r w:rsidRPr="00B1428F">
        <w:rPr>
          <w:rFonts w:cs="Arial"/>
        </w:rPr>
        <w:t xml:space="preserve"> benefit from</w:t>
      </w:r>
      <w:r>
        <w:rPr>
          <w:rFonts w:cs="Arial"/>
        </w:rPr>
        <w:t xml:space="preserve"> a strong local skills base, suitable for the requirements of businesses now and in the future. This can be developed through</w:t>
      </w:r>
      <w:r w:rsidRPr="00B1428F">
        <w:rPr>
          <w:rFonts w:cs="Arial"/>
        </w:rPr>
        <w:t xml:space="preserve"> strong relationships between </w:t>
      </w:r>
      <w:r>
        <w:rPr>
          <w:rFonts w:cs="Arial"/>
        </w:rPr>
        <w:t>local skills providers and education</w:t>
      </w:r>
      <w:r w:rsidRPr="00B1428F">
        <w:rPr>
          <w:rFonts w:cs="Arial"/>
        </w:rPr>
        <w:t xml:space="preserve"> institutions and local business. </w:t>
      </w:r>
      <w:r>
        <w:rPr>
          <w:rFonts w:cs="Arial"/>
        </w:rPr>
        <w:t>Consequently, there are significant roles for the L</w:t>
      </w:r>
      <w:r w:rsidR="00BF42BB">
        <w:rPr>
          <w:rFonts w:cs="Arial"/>
        </w:rPr>
        <w:t>EPs and local authorities</w:t>
      </w:r>
      <w:r>
        <w:rPr>
          <w:rFonts w:cs="Arial"/>
        </w:rPr>
        <w:t xml:space="preserve"> in taking l</w:t>
      </w:r>
      <w:r w:rsidRPr="002A3E9A">
        <w:rPr>
          <w:rFonts w:cs="Arial"/>
        </w:rPr>
        <w:t xml:space="preserve">eadership </w:t>
      </w:r>
      <w:r>
        <w:rPr>
          <w:rFonts w:cs="Arial"/>
        </w:rPr>
        <w:t>in improving the</w:t>
      </w:r>
      <w:r w:rsidRPr="002A3E9A">
        <w:rPr>
          <w:rFonts w:cs="Arial"/>
        </w:rPr>
        <w:t xml:space="preserve"> skill</w:t>
      </w:r>
      <w:r>
        <w:rPr>
          <w:rFonts w:cs="Arial"/>
        </w:rPr>
        <w:t xml:space="preserve"> profile</w:t>
      </w:r>
      <w:r w:rsidRPr="002A3E9A">
        <w:rPr>
          <w:rFonts w:cs="Arial"/>
        </w:rPr>
        <w:t xml:space="preserve"> </w:t>
      </w:r>
      <w:r>
        <w:rPr>
          <w:rFonts w:cs="Arial"/>
        </w:rPr>
        <w:t>of</w:t>
      </w:r>
      <w:r w:rsidRPr="002A3E9A">
        <w:rPr>
          <w:rFonts w:cs="Arial"/>
        </w:rPr>
        <w:t xml:space="preserve"> </w:t>
      </w:r>
      <w:r>
        <w:rPr>
          <w:rFonts w:cs="Arial"/>
        </w:rPr>
        <w:t xml:space="preserve">the area. </w:t>
      </w:r>
    </w:p>
    <w:p w14:paraId="0956FEF1" w14:textId="77777777" w:rsidR="00DE3B2D" w:rsidRPr="00E30C0D" w:rsidRDefault="00DE3B2D" w:rsidP="00DE3B2D">
      <w:pPr>
        <w:spacing w:after="0"/>
        <w:jc w:val="both"/>
        <w:rPr>
          <w:rFonts w:cs="Arial"/>
        </w:rPr>
      </w:pPr>
    </w:p>
    <w:p w14:paraId="697F0724" w14:textId="77777777" w:rsidR="00DE3B2D" w:rsidRDefault="00DE3B2D" w:rsidP="00DE3B2D">
      <w:pPr>
        <w:jc w:val="both"/>
        <w:rPr>
          <w:rFonts w:cs="Arial"/>
        </w:rPr>
      </w:pPr>
      <w:r>
        <w:rPr>
          <w:rFonts w:cs="Arial"/>
        </w:rPr>
        <w:t>Additionally, the</w:t>
      </w:r>
      <w:r w:rsidRPr="00A95023">
        <w:rPr>
          <w:rFonts w:cs="Arial"/>
        </w:rPr>
        <w:t xml:space="preserve"> strong</w:t>
      </w:r>
      <w:r>
        <w:rPr>
          <w:rFonts w:cs="Arial"/>
        </w:rPr>
        <w:t>, localised</w:t>
      </w:r>
      <w:r w:rsidRPr="00A95023">
        <w:rPr>
          <w:rFonts w:cs="Arial"/>
        </w:rPr>
        <w:t xml:space="preserve"> relationships between sectors suggest potential for improved knowledge transfer partnerships and collective support for research and development efforts, contributing to innovation across all sectors. </w:t>
      </w:r>
      <w:r>
        <w:rPr>
          <w:rFonts w:cs="Arial"/>
        </w:rPr>
        <w:t xml:space="preserve">This would raise the value added by local industry, providing for business growth and increased earnings. </w:t>
      </w:r>
    </w:p>
    <w:p w14:paraId="4941D4A2" w14:textId="77777777" w:rsidR="00DE3B2D" w:rsidRPr="00B1428F" w:rsidRDefault="00DE3B2D" w:rsidP="00DE3B2D">
      <w:pPr>
        <w:pStyle w:val="Heading3"/>
        <w:numPr>
          <w:ilvl w:val="2"/>
          <w:numId w:val="5"/>
        </w:numPr>
      </w:pPr>
      <w:r w:rsidRPr="00B1428F">
        <w:t>Clustering and competition</w:t>
      </w:r>
    </w:p>
    <w:p w14:paraId="7D871B8C" w14:textId="77777777" w:rsidR="00DE3B2D" w:rsidRDefault="00DE3B2D" w:rsidP="00DE3B2D">
      <w:pPr>
        <w:jc w:val="both"/>
        <w:rPr>
          <w:rFonts w:cs="Arial"/>
        </w:rPr>
      </w:pPr>
      <w:r>
        <w:rPr>
          <w:rFonts w:cs="Arial"/>
        </w:rPr>
        <w:t xml:space="preserve">The </w:t>
      </w:r>
      <w:r w:rsidRPr="00A95023">
        <w:rPr>
          <w:rFonts w:cs="Arial"/>
        </w:rPr>
        <w:t>area’s key sectors are mutually supportive. Significant and valuable linkages between the industries exist, often based on historical relationships and reinforced by spatial clustering effects. Local firms are well integrated into the supply chains of key sectors, including the area’s renewable energy industry.</w:t>
      </w:r>
      <w:r>
        <w:rPr>
          <w:rFonts w:cs="Arial"/>
        </w:rPr>
        <w:t xml:space="preserve"> These advantages should be further built on by future developments, particularly in the renewable energy sector. </w:t>
      </w:r>
    </w:p>
    <w:p w14:paraId="4338BBC0" w14:textId="77777777" w:rsidR="00DE3B2D" w:rsidRDefault="00DE3B2D" w:rsidP="00DE3B2D">
      <w:pPr>
        <w:jc w:val="both"/>
        <w:rPr>
          <w:rFonts w:cs="Arial"/>
        </w:rPr>
      </w:pPr>
      <w:r>
        <w:rPr>
          <w:rFonts w:cs="Arial"/>
        </w:rPr>
        <w:t>However, our</w:t>
      </w:r>
      <w:r w:rsidRPr="00A95023">
        <w:rPr>
          <w:rFonts w:cs="Arial"/>
        </w:rPr>
        <w:t xml:space="preserve"> research highlighted that large companies dominate several of the key sectors and there is potential for future SME growth in all sectors. The predominance of large companies is a significant issue for various reasons</w:t>
      </w:r>
      <w:r>
        <w:rPr>
          <w:rFonts w:cs="Arial"/>
        </w:rPr>
        <w:t>,</w:t>
      </w:r>
      <w:r w:rsidRPr="00A95023">
        <w:rPr>
          <w:rFonts w:cs="Arial"/>
        </w:rPr>
        <w:t xml:space="preserve"> including concerns regarding the resilience of the local economy were these firms to relocate. The ownership of the area’s ports and much of its private land by a few large firms may represent a barrier to growth of</w:t>
      </w:r>
      <w:r w:rsidR="003775FD">
        <w:rPr>
          <w:rFonts w:cs="Arial"/>
        </w:rPr>
        <w:t xml:space="preserve"> some</w:t>
      </w:r>
      <w:r w:rsidRPr="00A95023">
        <w:rPr>
          <w:rFonts w:cs="Arial"/>
        </w:rPr>
        <w:t xml:space="preserve"> smaller businesses. Additionally, barriers </w:t>
      </w:r>
      <w:r>
        <w:rPr>
          <w:rFonts w:cs="Arial"/>
        </w:rPr>
        <w:t>to</w:t>
      </w:r>
      <w:r w:rsidRPr="00A95023">
        <w:rPr>
          <w:rFonts w:cs="Arial"/>
        </w:rPr>
        <w:t xml:space="preserve"> accessing finance restrict many firms’ ability to grow.</w:t>
      </w:r>
      <w:r>
        <w:rPr>
          <w:rFonts w:cs="Arial"/>
        </w:rPr>
        <w:t xml:space="preserve"> These businesses may therefore require</w:t>
      </w:r>
      <w:r w:rsidR="003775FD">
        <w:rPr>
          <w:rFonts w:cs="Arial"/>
        </w:rPr>
        <w:t xml:space="preserve"> targeted support in order to mitigate these constraints</w:t>
      </w:r>
      <w:r>
        <w:rPr>
          <w:rFonts w:cs="Arial"/>
        </w:rPr>
        <w:t xml:space="preserve">. </w:t>
      </w:r>
    </w:p>
    <w:p w14:paraId="7287922F" w14:textId="77777777" w:rsidR="00DE3B2D" w:rsidRPr="00B1428F" w:rsidRDefault="00DE3B2D" w:rsidP="00DE3B2D">
      <w:pPr>
        <w:pStyle w:val="Heading3"/>
        <w:numPr>
          <w:ilvl w:val="2"/>
          <w:numId w:val="5"/>
        </w:numPr>
      </w:pPr>
      <w:r w:rsidRPr="00B1428F">
        <w:t xml:space="preserve">Policy Context </w:t>
      </w:r>
    </w:p>
    <w:p w14:paraId="56000252" w14:textId="77777777" w:rsidR="00DE3B2D" w:rsidRDefault="00DE3B2D" w:rsidP="00DE3B2D">
      <w:pPr>
        <w:jc w:val="both"/>
        <w:rPr>
          <w:rFonts w:cs="Arial"/>
        </w:rPr>
      </w:pPr>
      <w:r w:rsidRPr="00A95023">
        <w:rPr>
          <w:rFonts w:cs="Arial"/>
        </w:rPr>
        <w:t xml:space="preserve">National government support for several key sectors is perceived </w:t>
      </w:r>
      <w:r w:rsidR="003775FD">
        <w:rPr>
          <w:rFonts w:cs="Arial"/>
        </w:rPr>
        <w:t xml:space="preserve">by some businesses </w:t>
      </w:r>
      <w:r w:rsidRPr="00A95023">
        <w:rPr>
          <w:rFonts w:cs="Arial"/>
        </w:rPr>
        <w:t xml:space="preserve">as inadequate and strong institutional support is required for sector growth and diversification. </w:t>
      </w:r>
    </w:p>
    <w:p w14:paraId="5965D755" w14:textId="77777777" w:rsidR="00DE3B2D" w:rsidRDefault="00DE3B2D" w:rsidP="00DE3B2D">
      <w:pPr>
        <w:jc w:val="both"/>
        <w:rPr>
          <w:rFonts w:cs="Arial"/>
        </w:rPr>
      </w:pPr>
      <w:r w:rsidRPr="00A95023">
        <w:rPr>
          <w:rFonts w:cs="Arial"/>
        </w:rPr>
        <w:t xml:space="preserve">While the national government’s localism agenda could be used to support future growth, policymakers must be aware that the economic future of the NEL depends on its ability to compete across all key sectors with areas elsewhere in the UK and Europe, particularly regarding renewable energy. </w:t>
      </w:r>
    </w:p>
    <w:p w14:paraId="3302C606" w14:textId="77777777" w:rsidR="00DE3B2D" w:rsidRDefault="00DE3B2D" w:rsidP="00DE3B2D">
      <w:pPr>
        <w:jc w:val="both"/>
        <w:rPr>
          <w:rFonts w:cs="Arial"/>
        </w:rPr>
      </w:pPr>
      <w:r>
        <w:rPr>
          <w:rFonts w:cs="Arial"/>
        </w:rPr>
        <w:t xml:space="preserve">Local policymakers, in local authorities and in both LEPs, have a clear vision for the economic future of the </w:t>
      </w:r>
      <w:r w:rsidR="003775FD">
        <w:rPr>
          <w:rFonts w:cs="Arial"/>
        </w:rPr>
        <w:t>area</w:t>
      </w:r>
      <w:r>
        <w:rPr>
          <w:rFonts w:cs="Arial"/>
        </w:rPr>
        <w:t xml:space="preserve">. Coordinated efforts by these institutions have the potential to address many of the issues currently faced by the key sectors. </w:t>
      </w:r>
      <w:r w:rsidR="003775FD">
        <w:rPr>
          <w:rFonts w:cs="Arial"/>
        </w:rPr>
        <w:t>The future of the Borough’s economy will, in part, be determined by the willingness and commitment to implement current economic development policies designed by the LEPs and the local authority.</w:t>
      </w:r>
    </w:p>
    <w:p w14:paraId="0C73AE79" w14:textId="77777777" w:rsidR="00DE3B2D" w:rsidRPr="00B1428F" w:rsidRDefault="00DE3B2D" w:rsidP="00DE3B2D">
      <w:pPr>
        <w:pStyle w:val="Heading3"/>
        <w:numPr>
          <w:ilvl w:val="2"/>
          <w:numId w:val="5"/>
        </w:numPr>
      </w:pPr>
      <w:r w:rsidRPr="00B1428F">
        <w:t>Infrastructure and environment</w:t>
      </w:r>
    </w:p>
    <w:p w14:paraId="4CF906B6" w14:textId="77777777" w:rsidR="00DE3B2D" w:rsidRDefault="00DE3B2D" w:rsidP="00DE3B2D">
      <w:pPr>
        <w:jc w:val="both"/>
        <w:rPr>
          <w:rFonts w:cs="Arial"/>
        </w:rPr>
      </w:pPr>
      <w:r>
        <w:rPr>
          <w:rFonts w:cs="Arial"/>
        </w:rPr>
        <w:t>Natural assets and the associated infrastructure provide the basis for North East Lincolnshire’s economy. As such, transport</w:t>
      </w:r>
      <w:r w:rsidRPr="00A95023">
        <w:rPr>
          <w:rFonts w:cs="Arial"/>
        </w:rPr>
        <w:t xml:space="preserve"> connectivity was generally considered</w:t>
      </w:r>
      <w:r>
        <w:rPr>
          <w:rFonts w:cs="Arial"/>
        </w:rPr>
        <w:t xml:space="preserve"> a</w:t>
      </w:r>
      <w:r w:rsidRPr="00A95023">
        <w:rPr>
          <w:rFonts w:cs="Arial"/>
        </w:rPr>
        <w:t xml:space="preserve"> strength of the area, </w:t>
      </w:r>
      <w:r>
        <w:rPr>
          <w:rFonts w:cs="Arial"/>
        </w:rPr>
        <w:t>though could benefit from certain specific improvements.</w:t>
      </w:r>
      <w:r w:rsidRPr="00A95023">
        <w:rPr>
          <w:rFonts w:cs="Arial"/>
        </w:rPr>
        <w:t xml:space="preserve"> </w:t>
      </w:r>
      <w:r>
        <w:rPr>
          <w:rFonts w:cs="Arial"/>
        </w:rPr>
        <w:t>The</w:t>
      </w:r>
      <w:r w:rsidRPr="00A95023">
        <w:rPr>
          <w:rFonts w:cs="Arial"/>
        </w:rPr>
        <w:t xml:space="preserve"> airport in particular </w:t>
      </w:r>
      <w:r w:rsidR="00B23F10">
        <w:rPr>
          <w:rFonts w:cs="Arial"/>
        </w:rPr>
        <w:t>is perceived by businesses</w:t>
      </w:r>
      <w:r w:rsidRPr="00A95023">
        <w:rPr>
          <w:rFonts w:cs="Arial"/>
        </w:rPr>
        <w:t xml:space="preserve"> as a significant asset. </w:t>
      </w:r>
    </w:p>
    <w:p w14:paraId="08835B26" w14:textId="77777777" w:rsidR="00DE3B2D" w:rsidRDefault="00DE3B2D" w:rsidP="00DE3B2D">
      <w:pPr>
        <w:jc w:val="both"/>
        <w:rPr>
          <w:rFonts w:cs="Arial"/>
        </w:rPr>
      </w:pPr>
      <w:r w:rsidRPr="00A95023">
        <w:rPr>
          <w:rFonts w:cs="Arial"/>
        </w:rPr>
        <w:t xml:space="preserve">However, constraints on utilities and the availability and quality of land and premises represent a limitation for many businesses. The issue is particularly acute as many of the area’s key sectors require large premises and are characterised by low space to employment ratios. </w:t>
      </w:r>
    </w:p>
    <w:p w14:paraId="324C6AEA" w14:textId="77777777" w:rsidR="00DE3B2D" w:rsidRDefault="00DE3B2D" w:rsidP="00DE3B2D">
      <w:pPr>
        <w:jc w:val="both"/>
        <w:rPr>
          <w:rFonts w:cs="Arial"/>
        </w:rPr>
      </w:pPr>
      <w:r w:rsidRPr="00A95023">
        <w:rPr>
          <w:rFonts w:cs="Arial"/>
        </w:rPr>
        <w:t xml:space="preserve">Additionally, poor perceptions of the </w:t>
      </w:r>
      <w:r>
        <w:rPr>
          <w:rFonts w:cs="Arial"/>
        </w:rPr>
        <w:t>built environment</w:t>
      </w:r>
      <w:r w:rsidRPr="00A95023">
        <w:rPr>
          <w:rFonts w:cs="Arial"/>
        </w:rPr>
        <w:t xml:space="preserve"> of the area have negative c</w:t>
      </w:r>
      <w:r>
        <w:rPr>
          <w:rFonts w:cs="Arial"/>
        </w:rPr>
        <w:t xml:space="preserve">onsequences for local business. Regenerating urban areas and protecting local heritage will be important in ensuring the area is an attractive place to live and visit. </w:t>
      </w:r>
    </w:p>
    <w:p w14:paraId="38AE6FFF" w14:textId="77777777" w:rsidR="00DE3B2D" w:rsidRDefault="00DE3B2D" w:rsidP="00DE3B2D">
      <w:pPr>
        <w:pStyle w:val="Heading2"/>
        <w:numPr>
          <w:ilvl w:val="1"/>
          <w:numId w:val="5"/>
        </w:numPr>
      </w:pPr>
      <w:bookmarkStart w:id="615" w:name="_Toc395103936"/>
      <w:r>
        <w:t>Recommendations for Action</w:t>
      </w:r>
      <w:bookmarkEnd w:id="615"/>
    </w:p>
    <w:p w14:paraId="170B4D13" w14:textId="77777777" w:rsidR="00DE3B2D" w:rsidRDefault="00DE3B2D" w:rsidP="00DE3B2D">
      <w:pPr>
        <w:spacing w:after="0"/>
        <w:jc w:val="both"/>
        <w:rPr>
          <w:rFonts w:cs="Arial"/>
        </w:rPr>
      </w:pPr>
    </w:p>
    <w:p w14:paraId="279897AA" w14:textId="77777777" w:rsidR="00DE3B2D" w:rsidRDefault="00DE3B2D" w:rsidP="00DE3B2D">
      <w:pPr>
        <w:jc w:val="both"/>
        <w:rPr>
          <w:rFonts w:cs="Arial"/>
        </w:rPr>
      </w:pPr>
      <w:r>
        <w:t xml:space="preserve">Building on the factors for future growth, recommendations for action are identified below. These are based on the analysis of current areas for improvement and opportunities for growth </w:t>
      </w:r>
      <w:r w:rsidR="003775FD">
        <w:t>identified in the research</w:t>
      </w:r>
      <w:r>
        <w:t>.</w:t>
      </w:r>
    </w:p>
    <w:p w14:paraId="23FF0C5B" w14:textId="77777777" w:rsidR="00DE3B2D" w:rsidRDefault="00DE3B2D" w:rsidP="00DE3B2D">
      <w:pPr>
        <w:pStyle w:val="Heading3"/>
        <w:numPr>
          <w:ilvl w:val="2"/>
          <w:numId w:val="5"/>
        </w:numPr>
      </w:pPr>
      <w:r>
        <w:t xml:space="preserve">Skills and innovation </w:t>
      </w:r>
    </w:p>
    <w:p w14:paraId="0A89D05C" w14:textId="77777777" w:rsidR="00DE3B2D" w:rsidRDefault="00DE3B2D" w:rsidP="00DE3B2D">
      <w:pPr>
        <w:pStyle w:val="ListParagraph"/>
        <w:numPr>
          <w:ilvl w:val="0"/>
          <w:numId w:val="67"/>
        </w:numPr>
        <w:jc w:val="both"/>
        <w:rPr>
          <w:rFonts w:cs="Arial"/>
        </w:rPr>
      </w:pPr>
      <w:r>
        <w:rPr>
          <w:rFonts w:cs="Arial"/>
        </w:rPr>
        <w:t xml:space="preserve">Engage with employers and training providers and conduct further research in order to identify critical areas for skill development, now and in the future.  </w:t>
      </w:r>
    </w:p>
    <w:p w14:paraId="640B0FF8" w14:textId="77777777" w:rsidR="00DE3B2D" w:rsidRPr="00560F27" w:rsidRDefault="00DE3B2D" w:rsidP="00DE3B2D">
      <w:pPr>
        <w:pStyle w:val="ListParagraph"/>
        <w:numPr>
          <w:ilvl w:val="0"/>
          <w:numId w:val="67"/>
        </w:numPr>
        <w:jc w:val="both"/>
        <w:rPr>
          <w:rFonts w:cs="Arial"/>
        </w:rPr>
      </w:pPr>
      <w:r>
        <w:rPr>
          <w:rFonts w:cs="Arial"/>
        </w:rPr>
        <w:t>Take action to implement skill development in critical areas across the labour market, including supporting</w:t>
      </w:r>
      <w:r w:rsidRPr="005B304A">
        <w:rPr>
          <w:rFonts w:cs="Arial"/>
        </w:rPr>
        <w:t xml:space="preserve"> young people </w:t>
      </w:r>
      <w:r>
        <w:rPr>
          <w:rFonts w:cs="Arial"/>
        </w:rPr>
        <w:t>in undertaking</w:t>
      </w:r>
      <w:r w:rsidRPr="005B304A">
        <w:rPr>
          <w:rFonts w:cs="Arial"/>
        </w:rPr>
        <w:t xml:space="preserve"> apprenticeships and older </w:t>
      </w:r>
      <w:r>
        <w:rPr>
          <w:rFonts w:cs="Arial"/>
        </w:rPr>
        <w:t xml:space="preserve">age groups in retraining. Providing support to the </w:t>
      </w:r>
      <w:r w:rsidRPr="0049569A">
        <w:rPr>
          <w:rFonts w:cs="Arial"/>
        </w:rPr>
        <w:t>Grimsby Institute</w:t>
      </w:r>
      <w:r>
        <w:rPr>
          <w:rFonts w:cs="Arial"/>
        </w:rPr>
        <w:t xml:space="preserve"> in particular will</w:t>
      </w:r>
      <w:r w:rsidRPr="0049569A">
        <w:rPr>
          <w:rFonts w:cs="Arial"/>
        </w:rPr>
        <w:t xml:space="preserve"> allow </w:t>
      </w:r>
      <w:r>
        <w:rPr>
          <w:rFonts w:cs="Arial"/>
        </w:rPr>
        <w:t xml:space="preserve">it’s highly important role in the local economy to be maintained. </w:t>
      </w:r>
      <w:r w:rsidRPr="00560F27">
        <w:rPr>
          <w:rFonts w:cs="Arial"/>
        </w:rPr>
        <w:t xml:space="preserve"> </w:t>
      </w:r>
    </w:p>
    <w:p w14:paraId="17707FED" w14:textId="77777777" w:rsidR="00DE3B2D" w:rsidRPr="005B304A" w:rsidRDefault="00DE3B2D" w:rsidP="00DE3B2D">
      <w:pPr>
        <w:pStyle w:val="ListParagraph"/>
        <w:numPr>
          <w:ilvl w:val="0"/>
          <w:numId w:val="67"/>
        </w:numPr>
        <w:jc w:val="both"/>
        <w:rPr>
          <w:rFonts w:cs="Arial"/>
        </w:rPr>
      </w:pPr>
      <w:r w:rsidRPr="005B304A">
        <w:rPr>
          <w:rFonts w:cs="Arial"/>
        </w:rPr>
        <w:t>Address</w:t>
      </w:r>
      <w:r>
        <w:rPr>
          <w:rFonts w:cs="Arial"/>
        </w:rPr>
        <w:t xml:space="preserve"> the</w:t>
      </w:r>
      <w:r w:rsidRPr="005B304A">
        <w:rPr>
          <w:rFonts w:cs="Arial"/>
        </w:rPr>
        <w:t xml:space="preserve"> </w:t>
      </w:r>
      <w:r>
        <w:rPr>
          <w:rFonts w:cs="Arial"/>
        </w:rPr>
        <w:t xml:space="preserve">‘brain drain’, or out-migration of skilled younger people, by ensuring effective links between local education and training providers and employers. Achieving this will not only ensure a greater supply of skills locally, but also address demographic challenges related to an aging population. This is therefore a crucial long-term step in future proofing the workforce and ensuring sustainable development. </w:t>
      </w:r>
    </w:p>
    <w:p w14:paraId="51E870FA" w14:textId="77777777" w:rsidR="00DE3B2D" w:rsidRDefault="00DE3B2D" w:rsidP="00DE3B2D">
      <w:pPr>
        <w:pStyle w:val="Heading3"/>
        <w:numPr>
          <w:ilvl w:val="2"/>
          <w:numId w:val="5"/>
        </w:numPr>
      </w:pPr>
      <w:r>
        <w:t xml:space="preserve">Clustering and competition </w:t>
      </w:r>
    </w:p>
    <w:p w14:paraId="5D430467" w14:textId="77777777" w:rsidR="00DE3B2D" w:rsidRDefault="00DE3B2D" w:rsidP="00DE3B2D">
      <w:pPr>
        <w:pStyle w:val="ListParagraph"/>
        <w:numPr>
          <w:ilvl w:val="0"/>
          <w:numId w:val="67"/>
        </w:numPr>
        <w:jc w:val="both"/>
        <w:rPr>
          <w:rFonts w:cs="Arial"/>
        </w:rPr>
      </w:pPr>
      <w:r w:rsidRPr="0049569A">
        <w:rPr>
          <w:rFonts w:cs="Arial"/>
        </w:rPr>
        <w:t>Clearer communication with local communities and businesses regarding the benefits of the ABLE Marine and Logistics Pa</w:t>
      </w:r>
      <w:r>
        <w:rPr>
          <w:rFonts w:cs="Arial"/>
        </w:rPr>
        <w:t xml:space="preserve">rks and Hull Green Port will encourage participation in the renewable energy sector and encourage businesses to take advantage of the benefits available from clustering. </w:t>
      </w:r>
    </w:p>
    <w:p w14:paraId="6F0CDE99" w14:textId="77777777" w:rsidR="00DE3B2D" w:rsidRPr="005B304A" w:rsidRDefault="00DE3B2D" w:rsidP="00DE3B2D">
      <w:pPr>
        <w:pStyle w:val="ListParagraph"/>
        <w:numPr>
          <w:ilvl w:val="0"/>
          <w:numId w:val="67"/>
        </w:numPr>
        <w:jc w:val="both"/>
        <w:rPr>
          <w:rFonts w:cs="Arial"/>
        </w:rPr>
      </w:pPr>
      <w:r w:rsidRPr="005B304A">
        <w:rPr>
          <w:rFonts w:cs="Arial"/>
        </w:rPr>
        <w:t>Develop stronger linkages</w:t>
      </w:r>
      <w:r>
        <w:rPr>
          <w:rFonts w:cs="Arial"/>
        </w:rPr>
        <w:t xml:space="preserve"> and relationships</w:t>
      </w:r>
      <w:r w:rsidRPr="005B304A">
        <w:rPr>
          <w:rFonts w:cs="Arial"/>
        </w:rPr>
        <w:t xml:space="preserve"> with </w:t>
      </w:r>
      <w:r>
        <w:rPr>
          <w:rFonts w:cs="Arial"/>
        </w:rPr>
        <w:t>key sectors and supply chain industries</w:t>
      </w:r>
      <w:r w:rsidRPr="005B304A">
        <w:rPr>
          <w:rFonts w:cs="Arial"/>
        </w:rPr>
        <w:t xml:space="preserve"> in Nordic countries</w:t>
      </w:r>
      <w:r>
        <w:rPr>
          <w:rFonts w:cs="Arial"/>
        </w:rPr>
        <w:t xml:space="preserve">, Germany and the Low Countries to ensure international competitiveness and reputation. </w:t>
      </w:r>
    </w:p>
    <w:p w14:paraId="5BC48519" w14:textId="77777777" w:rsidR="00DE3B2D" w:rsidRDefault="00DE3B2D" w:rsidP="00DE3B2D">
      <w:pPr>
        <w:pStyle w:val="ListParagraph"/>
        <w:numPr>
          <w:ilvl w:val="0"/>
          <w:numId w:val="67"/>
        </w:numPr>
        <w:jc w:val="both"/>
        <w:rPr>
          <w:rFonts w:cs="Arial"/>
        </w:rPr>
      </w:pPr>
      <w:r>
        <w:rPr>
          <w:rFonts w:cs="Arial"/>
        </w:rPr>
        <w:t xml:space="preserve">Improve </w:t>
      </w:r>
      <w:r w:rsidRPr="005B304A">
        <w:rPr>
          <w:rFonts w:cs="Arial"/>
        </w:rPr>
        <w:t xml:space="preserve">access to finance </w:t>
      </w:r>
      <w:r>
        <w:rPr>
          <w:rFonts w:cs="Arial"/>
        </w:rPr>
        <w:t>for local business. This may include consideration of</w:t>
      </w:r>
      <w:r w:rsidRPr="005B304A">
        <w:rPr>
          <w:rFonts w:cs="Arial"/>
        </w:rPr>
        <w:t xml:space="preserve"> support measures for businesses</w:t>
      </w:r>
      <w:r>
        <w:rPr>
          <w:rFonts w:cs="Arial"/>
        </w:rPr>
        <w:t xml:space="preserve"> in order to promote inward investment,</w:t>
      </w:r>
      <w:r w:rsidRPr="005B304A">
        <w:rPr>
          <w:rFonts w:cs="Arial"/>
        </w:rPr>
        <w:t xml:space="preserve"> </w:t>
      </w:r>
      <w:r>
        <w:rPr>
          <w:rFonts w:cs="Arial"/>
        </w:rPr>
        <w:t>as well as contributing to</w:t>
      </w:r>
      <w:r w:rsidRPr="005B304A">
        <w:rPr>
          <w:rFonts w:cs="Arial"/>
        </w:rPr>
        <w:t xml:space="preserve"> dialogue with banking groups.</w:t>
      </w:r>
      <w:r>
        <w:rPr>
          <w:rFonts w:cs="Arial"/>
        </w:rPr>
        <w:t xml:space="preserve"> </w:t>
      </w:r>
    </w:p>
    <w:p w14:paraId="1D32F11E" w14:textId="77777777" w:rsidR="00DE3B2D" w:rsidRDefault="00DE3B2D" w:rsidP="00DE3B2D">
      <w:pPr>
        <w:pStyle w:val="Heading3"/>
        <w:numPr>
          <w:ilvl w:val="2"/>
          <w:numId w:val="5"/>
        </w:numPr>
      </w:pPr>
      <w:r>
        <w:t>Policy Context</w:t>
      </w:r>
    </w:p>
    <w:p w14:paraId="4658C7FE" w14:textId="77777777" w:rsidR="00DE3B2D" w:rsidRDefault="00DE3B2D" w:rsidP="00DE3B2D">
      <w:pPr>
        <w:pStyle w:val="ListParagraph"/>
        <w:numPr>
          <w:ilvl w:val="0"/>
          <w:numId w:val="67"/>
        </w:numPr>
        <w:jc w:val="both"/>
        <w:rPr>
          <w:rFonts w:cs="Arial"/>
        </w:rPr>
      </w:pPr>
      <w:r>
        <w:rPr>
          <w:rFonts w:cs="Arial"/>
        </w:rPr>
        <w:t>Develop</w:t>
      </w:r>
      <w:r w:rsidRPr="009C0CED">
        <w:rPr>
          <w:rFonts w:cs="Arial"/>
        </w:rPr>
        <w:t xml:space="preserve"> innovative solutions </w:t>
      </w:r>
      <w:r>
        <w:rPr>
          <w:rFonts w:cs="Arial"/>
        </w:rPr>
        <w:t>in marketing the</w:t>
      </w:r>
      <w:r w:rsidRPr="009C0CED">
        <w:rPr>
          <w:rFonts w:cs="Arial"/>
        </w:rPr>
        <w:t xml:space="preserve"> area</w:t>
      </w:r>
      <w:r>
        <w:rPr>
          <w:rFonts w:cs="Arial"/>
        </w:rPr>
        <w:t xml:space="preserve">. For example, </w:t>
      </w:r>
      <w:r w:rsidRPr="009C0CED">
        <w:rPr>
          <w:rFonts w:cs="Arial"/>
        </w:rPr>
        <w:t>pooling private sector funding from industr</w:t>
      </w:r>
      <w:r>
        <w:rPr>
          <w:rFonts w:cs="Arial"/>
        </w:rPr>
        <w:t>y</w:t>
      </w:r>
      <w:r w:rsidRPr="009C0CED">
        <w:rPr>
          <w:rFonts w:cs="Arial"/>
        </w:rPr>
        <w:t xml:space="preserve"> bodies and other sources to promote the area and attract visitors</w:t>
      </w:r>
      <w:r>
        <w:rPr>
          <w:rFonts w:cs="Arial"/>
        </w:rPr>
        <w:t xml:space="preserve"> may allow campaigns to be more efficient and effective in presenting a coherent vision to a wider audience</w:t>
      </w:r>
      <w:r w:rsidRPr="009C0CED">
        <w:rPr>
          <w:rFonts w:cs="Arial"/>
        </w:rPr>
        <w:t>.</w:t>
      </w:r>
      <w:r>
        <w:rPr>
          <w:rFonts w:cs="Arial"/>
        </w:rPr>
        <w:t xml:space="preserve"> Use of</w:t>
      </w:r>
      <w:r w:rsidRPr="009C0CED">
        <w:rPr>
          <w:rFonts w:cs="Arial"/>
        </w:rPr>
        <w:t xml:space="preserve"> social media </w:t>
      </w:r>
      <w:r>
        <w:rPr>
          <w:rFonts w:cs="Arial"/>
        </w:rPr>
        <w:t xml:space="preserve">and </w:t>
      </w:r>
      <w:r w:rsidRPr="009C0CED">
        <w:rPr>
          <w:rFonts w:cs="Arial"/>
        </w:rPr>
        <w:t>identify</w:t>
      </w:r>
      <w:r>
        <w:rPr>
          <w:rFonts w:cs="Arial"/>
        </w:rPr>
        <w:t>ing</w:t>
      </w:r>
      <w:r w:rsidRPr="009C0CED">
        <w:rPr>
          <w:rFonts w:cs="Arial"/>
        </w:rPr>
        <w:t xml:space="preserve"> opportunities </w:t>
      </w:r>
      <w:r>
        <w:rPr>
          <w:rFonts w:cs="Arial"/>
        </w:rPr>
        <w:t>to</w:t>
      </w:r>
      <w:r w:rsidRPr="009C0CED">
        <w:rPr>
          <w:rFonts w:cs="Arial"/>
        </w:rPr>
        <w:t xml:space="preserve"> </w:t>
      </w:r>
      <w:r>
        <w:rPr>
          <w:rFonts w:cs="Arial"/>
        </w:rPr>
        <w:t>encourage</w:t>
      </w:r>
      <w:r w:rsidRPr="009C0CED">
        <w:rPr>
          <w:rFonts w:cs="Arial"/>
        </w:rPr>
        <w:t xml:space="preserve"> </w:t>
      </w:r>
      <w:r>
        <w:rPr>
          <w:rFonts w:cs="Arial"/>
        </w:rPr>
        <w:t>political support may also be effective.</w:t>
      </w:r>
    </w:p>
    <w:p w14:paraId="56FD28AC" w14:textId="77777777" w:rsidR="00DE3B2D" w:rsidRDefault="00DE3B2D" w:rsidP="00DE3B2D">
      <w:pPr>
        <w:pStyle w:val="ListParagraph"/>
        <w:numPr>
          <w:ilvl w:val="0"/>
          <w:numId w:val="67"/>
        </w:numPr>
        <w:jc w:val="both"/>
        <w:rPr>
          <w:rFonts w:cs="Arial"/>
        </w:rPr>
      </w:pPr>
      <w:r>
        <w:rPr>
          <w:rFonts w:cs="Arial"/>
        </w:rPr>
        <w:t>Similarly, i</w:t>
      </w:r>
      <w:r w:rsidRPr="005B304A">
        <w:rPr>
          <w:rFonts w:cs="Arial"/>
        </w:rPr>
        <w:t>dentify</w:t>
      </w:r>
      <w:r>
        <w:rPr>
          <w:rFonts w:cs="Arial"/>
        </w:rPr>
        <w:t xml:space="preserve"> areas for cooperation within the wider sub-region in supporting and promoting the tourism industry. </w:t>
      </w:r>
    </w:p>
    <w:p w14:paraId="490E40AD" w14:textId="77777777" w:rsidR="00DE3B2D" w:rsidRDefault="00DE3B2D" w:rsidP="00DE3B2D">
      <w:pPr>
        <w:pStyle w:val="ListParagraph"/>
        <w:numPr>
          <w:ilvl w:val="0"/>
          <w:numId w:val="67"/>
        </w:numPr>
        <w:rPr>
          <w:rFonts w:cs="Arial"/>
        </w:rPr>
      </w:pPr>
      <w:r w:rsidRPr="000B1020">
        <w:rPr>
          <w:rFonts w:cs="Arial"/>
        </w:rPr>
        <w:t>Monitor industry developments and national government support for biofuel. Further research may be valuable in understanding the scope and timeframe of potential local activity in the sector</w:t>
      </w:r>
      <w:r>
        <w:rPr>
          <w:rFonts w:cs="Arial"/>
        </w:rPr>
        <w:t xml:space="preserve">. </w:t>
      </w:r>
    </w:p>
    <w:p w14:paraId="42D3FFCB" w14:textId="77777777" w:rsidR="00DE3B2D" w:rsidRDefault="00DE3B2D" w:rsidP="00DE3B2D">
      <w:pPr>
        <w:pStyle w:val="Heading3"/>
        <w:numPr>
          <w:ilvl w:val="2"/>
          <w:numId w:val="5"/>
        </w:numPr>
      </w:pPr>
      <w:r>
        <w:t xml:space="preserve">Infrastructure &amp; Environment </w:t>
      </w:r>
    </w:p>
    <w:p w14:paraId="5A08EB82" w14:textId="77777777" w:rsidR="00DE3B2D" w:rsidRDefault="00DE3B2D" w:rsidP="00DE3B2D">
      <w:pPr>
        <w:pStyle w:val="ListParagraph"/>
        <w:numPr>
          <w:ilvl w:val="0"/>
          <w:numId w:val="67"/>
        </w:numPr>
        <w:jc w:val="both"/>
        <w:rPr>
          <w:rFonts w:cs="Arial"/>
        </w:rPr>
      </w:pPr>
      <w:r w:rsidRPr="005B304A">
        <w:rPr>
          <w:rFonts w:cs="Arial"/>
        </w:rPr>
        <w:t>Improv</w:t>
      </w:r>
      <w:r>
        <w:rPr>
          <w:rFonts w:cs="Arial"/>
        </w:rPr>
        <w:t>e</w:t>
      </w:r>
      <w:r w:rsidRPr="005B304A">
        <w:rPr>
          <w:rFonts w:cs="Arial"/>
        </w:rPr>
        <w:t xml:space="preserve"> the Grimsby</w:t>
      </w:r>
      <w:r>
        <w:rPr>
          <w:rFonts w:cs="Arial"/>
        </w:rPr>
        <w:t xml:space="preserve"> Dock area through</w:t>
      </w:r>
      <w:r w:rsidR="003775FD">
        <w:rPr>
          <w:rFonts w:cs="Arial"/>
        </w:rPr>
        <w:t xml:space="preserve"> ongoing</w:t>
      </w:r>
      <w:r>
        <w:rPr>
          <w:rFonts w:cs="Arial"/>
        </w:rPr>
        <w:t xml:space="preserve"> regeneration,</w:t>
      </w:r>
      <w:r w:rsidRPr="005B304A">
        <w:rPr>
          <w:rFonts w:cs="Arial"/>
        </w:rPr>
        <w:t xml:space="preserve"> restoration and </w:t>
      </w:r>
      <w:r>
        <w:rPr>
          <w:rFonts w:cs="Arial"/>
        </w:rPr>
        <w:t>investment</w:t>
      </w:r>
      <w:r w:rsidRPr="005B304A">
        <w:rPr>
          <w:rFonts w:cs="Arial"/>
        </w:rPr>
        <w:t xml:space="preserve"> by working </w:t>
      </w:r>
      <w:r>
        <w:rPr>
          <w:rFonts w:cs="Arial"/>
        </w:rPr>
        <w:t>closely</w:t>
      </w:r>
      <w:r w:rsidRPr="005B304A">
        <w:rPr>
          <w:rFonts w:cs="Arial"/>
        </w:rPr>
        <w:t xml:space="preserve"> with land owners, employers a</w:t>
      </w:r>
      <w:r>
        <w:rPr>
          <w:rFonts w:cs="Arial"/>
        </w:rPr>
        <w:t xml:space="preserve">nd waste disposal companies to create an attractive environment for businesses. </w:t>
      </w:r>
    </w:p>
    <w:p w14:paraId="233FAF1F" w14:textId="77777777" w:rsidR="00DE3B2D" w:rsidRPr="005B304A" w:rsidRDefault="00DE3B2D" w:rsidP="00DE3B2D">
      <w:pPr>
        <w:pStyle w:val="ListParagraph"/>
        <w:numPr>
          <w:ilvl w:val="0"/>
          <w:numId w:val="67"/>
        </w:numPr>
        <w:jc w:val="both"/>
        <w:rPr>
          <w:rFonts w:cs="Arial"/>
        </w:rPr>
      </w:pPr>
      <w:r>
        <w:rPr>
          <w:rFonts w:cs="Arial"/>
        </w:rPr>
        <w:t>Further research and consideration of</w:t>
      </w:r>
      <w:r w:rsidRPr="005B304A">
        <w:rPr>
          <w:rFonts w:cs="Arial"/>
        </w:rPr>
        <w:t xml:space="preserve"> the ecological and environmental challenges that the area faces</w:t>
      </w:r>
      <w:r>
        <w:rPr>
          <w:rFonts w:cs="Arial"/>
        </w:rPr>
        <w:t xml:space="preserve"> will be important for ensuring sustainable development. </w:t>
      </w:r>
    </w:p>
    <w:p w14:paraId="5D2E0A62" w14:textId="77777777" w:rsidR="00DE3B2D" w:rsidRPr="005B304A" w:rsidRDefault="00DE3B2D" w:rsidP="00DE3B2D">
      <w:pPr>
        <w:pStyle w:val="ListParagraph"/>
        <w:numPr>
          <w:ilvl w:val="0"/>
          <w:numId w:val="67"/>
        </w:numPr>
        <w:jc w:val="both"/>
        <w:rPr>
          <w:rFonts w:cs="Arial"/>
        </w:rPr>
      </w:pPr>
      <w:r>
        <w:rPr>
          <w:rFonts w:cs="Arial"/>
        </w:rPr>
        <w:t>Support Humberside A</w:t>
      </w:r>
      <w:r w:rsidRPr="005B304A">
        <w:rPr>
          <w:rFonts w:cs="Arial"/>
        </w:rPr>
        <w:t xml:space="preserve">irport </w:t>
      </w:r>
      <w:r>
        <w:rPr>
          <w:rFonts w:cs="Arial"/>
        </w:rPr>
        <w:t>in</w:t>
      </w:r>
      <w:r w:rsidRPr="005B304A">
        <w:rPr>
          <w:rFonts w:cs="Arial"/>
        </w:rPr>
        <w:t xml:space="preserve"> </w:t>
      </w:r>
      <w:r>
        <w:rPr>
          <w:rFonts w:cs="Arial"/>
        </w:rPr>
        <w:t>expanding</w:t>
      </w:r>
      <w:r w:rsidRPr="005B304A">
        <w:rPr>
          <w:rFonts w:cs="Arial"/>
        </w:rPr>
        <w:t xml:space="preserve"> capacity, services and facilities</w:t>
      </w:r>
      <w:r>
        <w:rPr>
          <w:rFonts w:cs="Arial"/>
        </w:rPr>
        <w:t xml:space="preserve">, in collaboration with LEPs to develop the area’s international connectivity. </w:t>
      </w:r>
    </w:p>
    <w:p w14:paraId="4A512E70" w14:textId="77777777" w:rsidR="00DE3B2D" w:rsidRPr="005B304A" w:rsidRDefault="00DE3B2D" w:rsidP="00DE3B2D">
      <w:pPr>
        <w:pStyle w:val="ListParagraph"/>
        <w:numPr>
          <w:ilvl w:val="0"/>
          <w:numId w:val="67"/>
        </w:numPr>
        <w:jc w:val="both"/>
        <w:rPr>
          <w:rFonts w:cs="Arial"/>
        </w:rPr>
      </w:pPr>
      <w:r>
        <w:rPr>
          <w:rFonts w:cs="Arial"/>
        </w:rPr>
        <w:t>Coordinate with and support LEPs in seeking</w:t>
      </w:r>
      <w:r w:rsidRPr="005B304A">
        <w:rPr>
          <w:rFonts w:cs="Arial"/>
        </w:rPr>
        <w:t xml:space="preserve"> better rail connections with London</w:t>
      </w:r>
      <w:r>
        <w:rPr>
          <w:rFonts w:cs="Arial"/>
        </w:rPr>
        <w:t xml:space="preserve"> and other urban centres to facilitate rail haulage, therefore maximising the area’s potential for the logistics sector.  </w:t>
      </w:r>
    </w:p>
    <w:p w14:paraId="276F5A8D" w14:textId="77777777" w:rsidR="00DE3B2D" w:rsidRPr="00DF4EC2" w:rsidRDefault="00DE3B2D" w:rsidP="00DE3B2D">
      <w:pPr>
        <w:pStyle w:val="ListParagraph"/>
        <w:numPr>
          <w:ilvl w:val="0"/>
          <w:numId w:val="67"/>
        </w:numPr>
        <w:jc w:val="both"/>
        <w:rPr>
          <w:rFonts w:cs="Arial"/>
        </w:rPr>
      </w:pPr>
      <w:r>
        <w:rPr>
          <w:rFonts w:cs="Arial"/>
        </w:rPr>
        <w:t>Support the improvement of local amenities, heritage and the night-time economy</w:t>
      </w:r>
      <w:r w:rsidRPr="00783EA2">
        <w:rPr>
          <w:rFonts w:cs="Arial"/>
        </w:rPr>
        <w:t xml:space="preserve"> to </w:t>
      </w:r>
      <w:r>
        <w:rPr>
          <w:rFonts w:cs="Arial"/>
        </w:rPr>
        <w:t xml:space="preserve">in order to improve quality of life for residents and attract visitors. </w:t>
      </w:r>
      <w:r w:rsidRPr="00783EA2">
        <w:rPr>
          <w:rFonts w:cs="Arial"/>
        </w:rPr>
        <w:t xml:space="preserve"> </w:t>
      </w:r>
      <w:r>
        <w:rPr>
          <w:rFonts w:cs="Arial"/>
        </w:rPr>
        <w:t>This should include supporting</w:t>
      </w:r>
      <w:r w:rsidRPr="00DF4EC2">
        <w:rPr>
          <w:rFonts w:cs="Arial"/>
        </w:rPr>
        <w:t xml:space="preserve"> </w:t>
      </w:r>
      <w:r>
        <w:rPr>
          <w:rFonts w:cs="Arial"/>
        </w:rPr>
        <w:t>efforts</w:t>
      </w:r>
      <w:r w:rsidRPr="00DF4EC2">
        <w:rPr>
          <w:rFonts w:cs="Arial"/>
        </w:rPr>
        <w:t xml:space="preserve"> for securing finance to redevelop the Ice Factory and other historic buildings. </w:t>
      </w:r>
    </w:p>
    <w:p w14:paraId="75F1A138" w14:textId="77777777" w:rsidR="008D7250" w:rsidRDefault="008D7250">
      <w:pPr>
        <w:ind w:left="360"/>
        <w:rPr>
          <w:rFonts w:cs="Arial"/>
        </w:rPr>
      </w:pPr>
      <w:bookmarkStart w:id="616" w:name="_Toc393887540"/>
      <w:bookmarkStart w:id="617" w:name="_Toc393887542"/>
      <w:bookmarkEnd w:id="616"/>
      <w:bookmarkEnd w:id="617"/>
    </w:p>
    <w:p w14:paraId="51C2E4EB" w14:textId="77777777" w:rsidR="00F56FF3" w:rsidRPr="00F56FF3" w:rsidRDefault="00F56FF3" w:rsidP="00C93734">
      <w:pPr>
        <w:pStyle w:val="Heading1"/>
        <w:numPr>
          <w:ilvl w:val="0"/>
          <w:numId w:val="0"/>
        </w:numPr>
        <w:jc w:val="both"/>
      </w:pPr>
    </w:p>
    <w:p w14:paraId="3CD4E3B6" w14:textId="77777777" w:rsidR="008D7250" w:rsidRDefault="00373517" w:rsidP="00E113F0">
      <w:pPr>
        <w:pStyle w:val="Heading6"/>
        <w:ind w:hanging="2014"/>
      </w:pPr>
      <w:bookmarkStart w:id="618" w:name="_Toc395103937"/>
      <w:bookmarkStart w:id="619" w:name="_Toc274652664"/>
      <w:r>
        <w:t>L</w:t>
      </w:r>
      <w:r w:rsidR="000B1020">
        <w:t xml:space="preserve">ocation </w:t>
      </w:r>
      <w:r>
        <w:t>Q</w:t>
      </w:r>
      <w:r w:rsidR="000B1020">
        <w:t>uotient</w:t>
      </w:r>
      <w:r>
        <w:t xml:space="preserve"> Analysis</w:t>
      </w:r>
      <w:bookmarkEnd w:id="618"/>
    </w:p>
    <w:p w14:paraId="4E309CE0" w14:textId="77777777" w:rsidR="00373517" w:rsidRDefault="00373517" w:rsidP="00C93734">
      <w:pPr>
        <w:jc w:val="both"/>
      </w:pPr>
      <w:r>
        <w:t xml:space="preserve">Location quotients can be interpreted as a measure of industrial specialisation </w:t>
      </w:r>
      <w:r w:rsidR="000B1020">
        <w:t xml:space="preserve">in </w:t>
      </w:r>
      <w:r>
        <w:t>local areas. A LQ analysis compares</w:t>
      </w:r>
      <w:r w:rsidR="000B1020">
        <w:t>,</w:t>
      </w:r>
      <w:r>
        <w:t xml:space="preserve"> for each industry, the industry's share of local </w:t>
      </w:r>
      <w:r w:rsidR="000B1020">
        <w:t>employment</w:t>
      </w:r>
      <w:r>
        <w:t xml:space="preserve"> with its share of total </w:t>
      </w:r>
      <w:r w:rsidR="000B1020">
        <w:t>employment</w:t>
      </w:r>
      <w:r>
        <w:t xml:space="preserve">, </w:t>
      </w:r>
      <w:r w:rsidR="000B1020">
        <w:t xml:space="preserve">using </w:t>
      </w:r>
      <w:r>
        <w:t>the following formula.</w:t>
      </w:r>
    </w:p>
    <w:p w14:paraId="39FF1C76" w14:textId="77777777" w:rsidR="00373517" w:rsidRDefault="00373517" w:rsidP="00C93734">
      <w:pPr>
        <w:jc w:val="both"/>
      </w:pPr>
      <w:r>
        <w:t>LQ = (Ei,r / Er ) / (Ei / E)</w:t>
      </w:r>
    </w:p>
    <w:p w14:paraId="0AF3A19A" w14:textId="77777777" w:rsidR="00373517" w:rsidRDefault="00373517" w:rsidP="00C93734">
      <w:pPr>
        <w:pStyle w:val="ListBullet2"/>
        <w:jc w:val="both"/>
      </w:pPr>
      <w:r>
        <w:t xml:space="preserve">Ei,r is the number of employee jobs in industry i region r, Er is the number of employee jobs in region r </w:t>
      </w:r>
    </w:p>
    <w:p w14:paraId="3F8B5667" w14:textId="77777777" w:rsidR="00373517" w:rsidRDefault="00373517" w:rsidP="00C93734">
      <w:pPr>
        <w:pStyle w:val="ListBullet2"/>
        <w:jc w:val="both"/>
      </w:pPr>
      <w:r>
        <w:t>Ei is the number of employee jobs in industry i, and E is the number of employee jobs in Great Britain.</w:t>
      </w:r>
    </w:p>
    <w:p w14:paraId="5F7E95DE" w14:textId="77777777" w:rsidR="00373517" w:rsidRDefault="00373517" w:rsidP="00C93734">
      <w:pPr>
        <w:jc w:val="both"/>
      </w:pPr>
    </w:p>
    <w:p w14:paraId="1648476F" w14:textId="77777777" w:rsidR="00373517" w:rsidRDefault="00373517" w:rsidP="00C93734">
      <w:pPr>
        <w:jc w:val="both"/>
      </w:pPr>
      <w:r>
        <w:t>A value of 1 means that an industry's share of employee jobs in region r is the same as its share of national employee jobs in Great Britain. A value greater than 1 means that industry i makes up a larger share of employee jobs in the local area than at the national level. This is also built upon by using employment which is above 0.2% of the local labour market.</w:t>
      </w:r>
    </w:p>
    <w:p w14:paraId="6DE9225F" w14:textId="77777777" w:rsidR="00373517" w:rsidRDefault="00373517" w:rsidP="00C93734">
      <w:pPr>
        <w:pStyle w:val="Caption"/>
        <w:jc w:val="both"/>
      </w:pPr>
      <w:bookmarkStart w:id="620" w:name="_Toc383159701"/>
      <w:r>
        <w:t xml:space="preserve">Table </w:t>
      </w:r>
      <w:fldSimple w:instr=" STYLEREF 6 \s  \* MERGEFORMAT ">
        <w:r w:rsidR="00E95E1A">
          <w:rPr>
            <w:noProof/>
          </w:rPr>
          <w:t>A</w:t>
        </w:r>
      </w:fldSimple>
      <w:r>
        <w:t>-</w:t>
      </w:r>
      <w:fldSimple w:instr=" SEQ Table \* ARABIC \s 6  \* MERGEFORMAT ">
        <w:r w:rsidR="00E95E1A">
          <w:rPr>
            <w:noProof/>
          </w:rPr>
          <w:t>1</w:t>
        </w:r>
      </w:fldSimple>
      <w:r>
        <w:tab/>
        <w:t>Top 25 Employment LQs in North East Lincolnshire</w:t>
      </w:r>
      <w:bookmarkEnd w:id="620"/>
    </w:p>
    <w:tbl>
      <w:tblPr>
        <w:tblStyle w:val="Atkins14pt"/>
        <w:tblW w:w="8669" w:type="dxa"/>
        <w:tblLook w:val="04A0" w:firstRow="1" w:lastRow="0" w:firstColumn="1" w:lastColumn="0" w:noHBand="0" w:noVBand="1"/>
      </w:tblPr>
      <w:tblGrid>
        <w:gridCol w:w="7618"/>
        <w:gridCol w:w="1051"/>
      </w:tblGrid>
      <w:tr w:rsidR="00373517" w:rsidRPr="00373517" w14:paraId="07977BBD" w14:textId="77777777" w:rsidTr="003243EA">
        <w:trPr>
          <w:cnfStyle w:val="100000000000" w:firstRow="1" w:lastRow="0" w:firstColumn="0" w:lastColumn="0" w:oddVBand="0" w:evenVBand="0" w:oddHBand="0" w:evenHBand="0" w:firstRowFirstColumn="0" w:firstRowLastColumn="0" w:lastRowFirstColumn="0" w:lastRowLastColumn="0"/>
          <w:trHeight w:val="445"/>
        </w:trPr>
        <w:tc>
          <w:tcPr>
            <w:cnfStyle w:val="001000000100" w:firstRow="0" w:lastRow="0" w:firstColumn="1" w:lastColumn="0" w:oddVBand="0" w:evenVBand="0" w:oddHBand="0" w:evenHBand="0" w:firstRowFirstColumn="1" w:firstRowLastColumn="0" w:lastRowFirstColumn="0" w:lastRowLastColumn="0"/>
            <w:tcW w:w="7618" w:type="dxa"/>
            <w:noWrap/>
            <w:hideMark/>
          </w:tcPr>
          <w:p w14:paraId="23D8876E" w14:textId="77777777" w:rsidR="00373517" w:rsidRPr="003243EA" w:rsidRDefault="00373517" w:rsidP="00C93734">
            <w:pPr>
              <w:spacing w:after="0"/>
              <w:jc w:val="both"/>
              <w:rPr>
                <w:rFonts w:eastAsia="Times New Roman"/>
                <w:bCs/>
                <w:color w:val="auto"/>
              </w:rPr>
            </w:pPr>
            <w:r w:rsidRPr="003243EA">
              <w:rPr>
                <w:rFonts w:eastAsia="Times New Roman"/>
                <w:bCs/>
                <w:color w:val="auto"/>
              </w:rPr>
              <w:t>Industry</w:t>
            </w:r>
          </w:p>
        </w:tc>
        <w:tc>
          <w:tcPr>
            <w:tcW w:w="1051" w:type="dxa"/>
            <w:noWrap/>
            <w:hideMark/>
          </w:tcPr>
          <w:p w14:paraId="44D0569C" w14:textId="77777777" w:rsidR="00373517" w:rsidRPr="003243EA" w:rsidRDefault="00373517" w:rsidP="00C93734">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3243EA">
              <w:rPr>
                <w:rFonts w:eastAsia="Times New Roman"/>
                <w:bCs/>
                <w:color w:val="auto"/>
              </w:rPr>
              <w:t>Emp LQ</w:t>
            </w:r>
          </w:p>
        </w:tc>
      </w:tr>
      <w:tr w:rsidR="00373517" w:rsidRPr="00373517" w14:paraId="581366E0"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5972A5B3" w14:textId="77777777" w:rsidR="00373517" w:rsidRPr="00373517" w:rsidRDefault="00373517" w:rsidP="00C93734">
            <w:pPr>
              <w:spacing w:after="0"/>
              <w:jc w:val="both"/>
              <w:rPr>
                <w:rFonts w:eastAsia="Times New Roman"/>
                <w:color w:val="auto"/>
              </w:rPr>
            </w:pPr>
            <w:r w:rsidRPr="00373517">
              <w:rPr>
                <w:rFonts w:eastAsia="Times New Roman"/>
                <w:color w:val="auto"/>
              </w:rPr>
              <w:t>10200 : Processing and preserving of fish, crustaceans and molluscs</w:t>
            </w:r>
          </w:p>
        </w:tc>
        <w:tc>
          <w:tcPr>
            <w:tcW w:w="1051" w:type="dxa"/>
            <w:noWrap/>
            <w:hideMark/>
          </w:tcPr>
          <w:p w14:paraId="1E4BAC08"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174.46</w:t>
            </w:r>
          </w:p>
        </w:tc>
      </w:tr>
      <w:tr w:rsidR="00373517" w:rsidRPr="00373517" w14:paraId="281383C2"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7B5E9383" w14:textId="77777777" w:rsidR="00373517" w:rsidRPr="00373517" w:rsidRDefault="00373517" w:rsidP="00C93734">
            <w:pPr>
              <w:spacing w:after="0"/>
              <w:jc w:val="both"/>
              <w:rPr>
                <w:rFonts w:eastAsia="Times New Roman"/>
                <w:color w:val="auto"/>
              </w:rPr>
            </w:pPr>
            <w:r w:rsidRPr="00373517">
              <w:rPr>
                <w:rFonts w:eastAsia="Times New Roman"/>
                <w:color w:val="auto"/>
              </w:rPr>
              <w:t>20600 : Manufacture of man-made fibres</w:t>
            </w:r>
          </w:p>
        </w:tc>
        <w:tc>
          <w:tcPr>
            <w:tcW w:w="1051" w:type="dxa"/>
            <w:noWrap/>
            <w:hideMark/>
          </w:tcPr>
          <w:p w14:paraId="764DF742"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90.91</w:t>
            </w:r>
          </w:p>
        </w:tc>
      </w:tr>
      <w:tr w:rsidR="00373517" w:rsidRPr="00373517" w14:paraId="0501072E"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0FB268CB" w14:textId="77777777" w:rsidR="00373517" w:rsidRPr="00373517" w:rsidRDefault="00373517" w:rsidP="00C93734">
            <w:pPr>
              <w:spacing w:after="0"/>
              <w:jc w:val="both"/>
              <w:rPr>
                <w:rFonts w:eastAsia="Times New Roman"/>
                <w:color w:val="auto"/>
              </w:rPr>
            </w:pPr>
            <w:r w:rsidRPr="00373517">
              <w:rPr>
                <w:rFonts w:eastAsia="Times New Roman"/>
                <w:color w:val="auto"/>
              </w:rPr>
              <w:t>20120 : Manufacture of dyes and pigments</w:t>
            </w:r>
          </w:p>
        </w:tc>
        <w:tc>
          <w:tcPr>
            <w:tcW w:w="1051" w:type="dxa"/>
            <w:noWrap/>
            <w:hideMark/>
          </w:tcPr>
          <w:p w14:paraId="4A6AF9E1"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74.70</w:t>
            </w:r>
          </w:p>
        </w:tc>
      </w:tr>
      <w:tr w:rsidR="00373517" w:rsidRPr="00373517" w14:paraId="32B47E1D"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137D2C68" w14:textId="77777777" w:rsidR="00373517" w:rsidRPr="00373517" w:rsidRDefault="00373517" w:rsidP="00C93734">
            <w:pPr>
              <w:spacing w:after="0"/>
              <w:jc w:val="both"/>
              <w:rPr>
                <w:rFonts w:eastAsia="Times New Roman"/>
                <w:color w:val="auto"/>
              </w:rPr>
            </w:pPr>
            <w:r w:rsidRPr="00373517">
              <w:rPr>
                <w:rFonts w:eastAsia="Times New Roman"/>
                <w:color w:val="auto"/>
              </w:rPr>
              <w:t>20150 : Manufacture of fertilisers and nitrogen compounds</w:t>
            </w:r>
          </w:p>
        </w:tc>
        <w:tc>
          <w:tcPr>
            <w:tcW w:w="1051" w:type="dxa"/>
            <w:noWrap/>
            <w:hideMark/>
          </w:tcPr>
          <w:p w14:paraId="441D4A34"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32.2</w:t>
            </w:r>
          </w:p>
        </w:tc>
      </w:tr>
      <w:tr w:rsidR="00373517" w:rsidRPr="00373517" w14:paraId="31CEEDEF"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5156F47A" w14:textId="77777777" w:rsidR="00373517" w:rsidRPr="00373517" w:rsidRDefault="00373517" w:rsidP="00C93734">
            <w:pPr>
              <w:spacing w:after="0"/>
              <w:jc w:val="both"/>
              <w:rPr>
                <w:rFonts w:eastAsia="Times New Roman"/>
                <w:color w:val="auto"/>
              </w:rPr>
            </w:pPr>
            <w:r w:rsidRPr="00373517">
              <w:rPr>
                <w:rFonts w:eastAsia="Times New Roman"/>
                <w:color w:val="auto"/>
              </w:rPr>
              <w:t>52241 : Cargo handling for water transport activities of division 50</w:t>
            </w:r>
          </w:p>
        </w:tc>
        <w:tc>
          <w:tcPr>
            <w:tcW w:w="1051" w:type="dxa"/>
            <w:noWrap/>
            <w:hideMark/>
          </w:tcPr>
          <w:p w14:paraId="0FEDD346"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31.83</w:t>
            </w:r>
          </w:p>
        </w:tc>
      </w:tr>
      <w:tr w:rsidR="00373517" w:rsidRPr="00373517" w14:paraId="05C0CEC0"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6A8ACAEE" w14:textId="77777777" w:rsidR="00373517" w:rsidRPr="00373517" w:rsidRDefault="00373517" w:rsidP="00C93734">
            <w:pPr>
              <w:spacing w:after="0"/>
              <w:jc w:val="both"/>
              <w:rPr>
                <w:rFonts w:eastAsia="Times New Roman"/>
                <w:color w:val="auto"/>
              </w:rPr>
            </w:pPr>
            <w:r w:rsidRPr="00373517">
              <w:rPr>
                <w:rFonts w:eastAsia="Times New Roman"/>
                <w:color w:val="auto"/>
              </w:rPr>
              <w:t>52220 : Service activities incidental to water transportation</w:t>
            </w:r>
          </w:p>
        </w:tc>
        <w:tc>
          <w:tcPr>
            <w:tcW w:w="1051" w:type="dxa"/>
            <w:noWrap/>
            <w:hideMark/>
          </w:tcPr>
          <w:p w14:paraId="6997F5E2"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22.04</w:t>
            </w:r>
          </w:p>
        </w:tc>
      </w:tr>
      <w:tr w:rsidR="00373517" w:rsidRPr="00373517" w14:paraId="7DCF4B4F"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50C84197" w14:textId="77777777" w:rsidR="00373517" w:rsidRPr="00373517" w:rsidRDefault="00373517" w:rsidP="00C93734">
            <w:pPr>
              <w:spacing w:after="0"/>
              <w:jc w:val="both"/>
              <w:rPr>
                <w:rFonts w:eastAsia="Times New Roman"/>
                <w:color w:val="auto"/>
              </w:rPr>
            </w:pPr>
            <w:r w:rsidRPr="00373517">
              <w:rPr>
                <w:rFonts w:eastAsia="Times New Roman"/>
                <w:color w:val="auto"/>
              </w:rPr>
              <w:t>20140 : Manufacture of other organic basic chemicals</w:t>
            </w:r>
          </w:p>
        </w:tc>
        <w:tc>
          <w:tcPr>
            <w:tcW w:w="1051" w:type="dxa"/>
            <w:noWrap/>
            <w:hideMark/>
          </w:tcPr>
          <w:p w14:paraId="2D890D48"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21.94</w:t>
            </w:r>
          </w:p>
        </w:tc>
      </w:tr>
      <w:tr w:rsidR="00373517" w:rsidRPr="00373517" w14:paraId="5BBA1478"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148912D5" w14:textId="77777777" w:rsidR="00373517" w:rsidRPr="00373517" w:rsidRDefault="00373517" w:rsidP="00C93734">
            <w:pPr>
              <w:spacing w:after="0"/>
              <w:jc w:val="both"/>
              <w:rPr>
                <w:rFonts w:eastAsia="Times New Roman"/>
                <w:color w:val="auto"/>
              </w:rPr>
            </w:pPr>
            <w:r w:rsidRPr="00373517">
              <w:rPr>
                <w:rFonts w:eastAsia="Times New Roman"/>
                <w:color w:val="auto"/>
              </w:rPr>
              <w:t>46380 : Wholesale of other food, including fish, crustaceans and molluscs</w:t>
            </w:r>
          </w:p>
        </w:tc>
        <w:tc>
          <w:tcPr>
            <w:tcW w:w="1051" w:type="dxa"/>
            <w:noWrap/>
            <w:hideMark/>
          </w:tcPr>
          <w:p w14:paraId="69A4360A"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17.73</w:t>
            </w:r>
          </w:p>
        </w:tc>
      </w:tr>
      <w:tr w:rsidR="00373517" w:rsidRPr="00373517" w14:paraId="0B3DD770"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0CB01C95" w14:textId="77777777" w:rsidR="00373517" w:rsidRPr="00373517" w:rsidRDefault="00373517" w:rsidP="00C93734">
            <w:pPr>
              <w:spacing w:after="0"/>
              <w:jc w:val="both"/>
              <w:rPr>
                <w:rFonts w:eastAsia="Times New Roman"/>
                <w:color w:val="auto"/>
              </w:rPr>
            </w:pPr>
            <w:r w:rsidRPr="00373517">
              <w:rPr>
                <w:rFonts w:eastAsia="Times New Roman"/>
                <w:color w:val="auto"/>
              </w:rPr>
              <w:t>33120 : Repair of machinery</w:t>
            </w:r>
          </w:p>
        </w:tc>
        <w:tc>
          <w:tcPr>
            <w:tcW w:w="1051" w:type="dxa"/>
            <w:noWrap/>
            <w:hideMark/>
          </w:tcPr>
          <w:p w14:paraId="5B454390"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13.11</w:t>
            </w:r>
          </w:p>
        </w:tc>
      </w:tr>
      <w:tr w:rsidR="00373517" w:rsidRPr="00373517" w14:paraId="4849FED6"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5E7E9B48" w14:textId="77777777" w:rsidR="00373517" w:rsidRPr="00373517" w:rsidRDefault="00373517" w:rsidP="00C93734">
            <w:pPr>
              <w:spacing w:after="0"/>
              <w:jc w:val="both"/>
              <w:rPr>
                <w:rFonts w:eastAsia="Times New Roman"/>
                <w:color w:val="auto"/>
              </w:rPr>
            </w:pPr>
            <w:r w:rsidRPr="00373517">
              <w:rPr>
                <w:rFonts w:eastAsia="Times New Roman"/>
                <w:color w:val="auto"/>
              </w:rPr>
              <w:t>20160 : Manufacture of plastics in primary forms</w:t>
            </w:r>
          </w:p>
        </w:tc>
        <w:tc>
          <w:tcPr>
            <w:tcW w:w="1051" w:type="dxa"/>
            <w:noWrap/>
            <w:hideMark/>
          </w:tcPr>
          <w:p w14:paraId="3A1810D1"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10.30</w:t>
            </w:r>
          </w:p>
        </w:tc>
      </w:tr>
      <w:tr w:rsidR="00373517" w:rsidRPr="00373517" w14:paraId="46151EBE"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59C23A92" w14:textId="77777777" w:rsidR="00373517" w:rsidRPr="00373517" w:rsidRDefault="00373517" w:rsidP="00C93734">
            <w:pPr>
              <w:spacing w:after="0"/>
              <w:jc w:val="both"/>
              <w:rPr>
                <w:rFonts w:eastAsia="Times New Roman"/>
                <w:color w:val="auto"/>
              </w:rPr>
            </w:pPr>
            <w:r w:rsidRPr="00373517">
              <w:rPr>
                <w:rFonts w:eastAsia="Times New Roman"/>
                <w:color w:val="auto"/>
              </w:rPr>
              <w:t>19201 : Mineral oil refining</w:t>
            </w:r>
          </w:p>
        </w:tc>
        <w:tc>
          <w:tcPr>
            <w:tcW w:w="1051" w:type="dxa"/>
            <w:noWrap/>
            <w:hideMark/>
          </w:tcPr>
          <w:p w14:paraId="0B4DE349"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9.31</w:t>
            </w:r>
          </w:p>
        </w:tc>
      </w:tr>
      <w:tr w:rsidR="00373517" w:rsidRPr="00373517" w14:paraId="0AC2A4B9"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334933D8" w14:textId="77777777" w:rsidR="00373517" w:rsidRPr="00373517" w:rsidRDefault="00373517" w:rsidP="00C93734">
            <w:pPr>
              <w:spacing w:after="0"/>
              <w:jc w:val="both"/>
              <w:rPr>
                <w:rFonts w:eastAsia="Times New Roman"/>
                <w:color w:val="auto"/>
              </w:rPr>
            </w:pPr>
            <w:r w:rsidRPr="00373517">
              <w:rPr>
                <w:rFonts w:eastAsia="Times New Roman"/>
                <w:color w:val="auto"/>
              </w:rPr>
              <w:t>10720 : Manufacture of rusks and biscuits; manufacture of preserved pastry goods and cakes</w:t>
            </w:r>
          </w:p>
        </w:tc>
        <w:tc>
          <w:tcPr>
            <w:tcW w:w="1051" w:type="dxa"/>
            <w:noWrap/>
            <w:hideMark/>
          </w:tcPr>
          <w:p w14:paraId="1A56B0A0"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8.56</w:t>
            </w:r>
          </w:p>
        </w:tc>
      </w:tr>
      <w:tr w:rsidR="00373517" w:rsidRPr="00373517" w14:paraId="6E5A62DE"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68360254" w14:textId="77777777" w:rsidR="00373517" w:rsidRPr="00373517" w:rsidRDefault="00373517" w:rsidP="00C93734">
            <w:pPr>
              <w:spacing w:after="0"/>
              <w:jc w:val="both"/>
              <w:rPr>
                <w:rFonts w:eastAsia="Times New Roman"/>
                <w:color w:val="auto"/>
              </w:rPr>
            </w:pPr>
            <w:r w:rsidRPr="00373517">
              <w:rPr>
                <w:rFonts w:eastAsia="Times New Roman"/>
                <w:color w:val="auto"/>
              </w:rPr>
              <w:t>28930 : Manufacture of machinery for food, beverage and tobacco processing</w:t>
            </w:r>
          </w:p>
        </w:tc>
        <w:tc>
          <w:tcPr>
            <w:tcW w:w="1051" w:type="dxa"/>
            <w:noWrap/>
            <w:hideMark/>
          </w:tcPr>
          <w:p w14:paraId="7B044866"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8.28</w:t>
            </w:r>
          </w:p>
        </w:tc>
      </w:tr>
      <w:tr w:rsidR="00373517" w:rsidRPr="00373517" w14:paraId="0CE024B9"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1C8FDB8E" w14:textId="77777777" w:rsidR="00373517" w:rsidRPr="00373517" w:rsidRDefault="00373517" w:rsidP="00C93734">
            <w:pPr>
              <w:spacing w:after="0"/>
              <w:jc w:val="both"/>
              <w:rPr>
                <w:rFonts w:eastAsia="Times New Roman"/>
                <w:color w:val="auto"/>
              </w:rPr>
            </w:pPr>
            <w:r w:rsidRPr="00373517">
              <w:rPr>
                <w:rFonts w:eastAsia="Times New Roman"/>
                <w:color w:val="auto"/>
              </w:rPr>
              <w:t>52290 : Other transportation support activities</w:t>
            </w:r>
          </w:p>
        </w:tc>
        <w:tc>
          <w:tcPr>
            <w:tcW w:w="1051" w:type="dxa"/>
            <w:noWrap/>
            <w:hideMark/>
          </w:tcPr>
          <w:p w14:paraId="55E6A8A2"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6.83</w:t>
            </w:r>
          </w:p>
        </w:tc>
      </w:tr>
      <w:tr w:rsidR="00373517" w:rsidRPr="00373517" w14:paraId="5D6EB44F"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0DED86D5" w14:textId="77777777" w:rsidR="00373517" w:rsidRPr="00373517" w:rsidRDefault="00373517" w:rsidP="00C93734">
            <w:pPr>
              <w:spacing w:after="0"/>
              <w:jc w:val="both"/>
              <w:rPr>
                <w:rFonts w:eastAsia="Times New Roman"/>
                <w:color w:val="auto"/>
              </w:rPr>
            </w:pPr>
            <w:r w:rsidRPr="00373517">
              <w:rPr>
                <w:rFonts w:eastAsia="Times New Roman"/>
                <w:color w:val="auto"/>
              </w:rPr>
              <w:t>81222 : Specialised cleaning services</w:t>
            </w:r>
          </w:p>
        </w:tc>
        <w:tc>
          <w:tcPr>
            <w:tcW w:w="1051" w:type="dxa"/>
            <w:noWrap/>
            <w:hideMark/>
          </w:tcPr>
          <w:p w14:paraId="6C5A40A4"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6.75</w:t>
            </w:r>
          </w:p>
        </w:tc>
      </w:tr>
      <w:tr w:rsidR="00373517" w:rsidRPr="00373517" w14:paraId="31B67363"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7B0827B7" w14:textId="77777777" w:rsidR="00373517" w:rsidRPr="00373517" w:rsidRDefault="00373517" w:rsidP="00C93734">
            <w:pPr>
              <w:spacing w:after="0"/>
              <w:jc w:val="both"/>
              <w:rPr>
                <w:rFonts w:eastAsia="Times New Roman"/>
                <w:color w:val="auto"/>
              </w:rPr>
            </w:pPr>
            <w:r w:rsidRPr="00373517">
              <w:rPr>
                <w:rFonts w:eastAsia="Times New Roman"/>
                <w:color w:val="auto"/>
              </w:rPr>
              <w:t>22190 : Manufacture of other rubber products</w:t>
            </w:r>
          </w:p>
        </w:tc>
        <w:tc>
          <w:tcPr>
            <w:tcW w:w="1051" w:type="dxa"/>
            <w:noWrap/>
            <w:hideMark/>
          </w:tcPr>
          <w:p w14:paraId="02E8A2B4"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6.25</w:t>
            </w:r>
          </w:p>
        </w:tc>
      </w:tr>
      <w:tr w:rsidR="00373517" w:rsidRPr="00373517" w14:paraId="23065184"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3F7565F3" w14:textId="77777777" w:rsidR="00373517" w:rsidRPr="00373517" w:rsidRDefault="00373517" w:rsidP="00C93734">
            <w:pPr>
              <w:spacing w:after="0"/>
              <w:jc w:val="both"/>
              <w:rPr>
                <w:rFonts w:eastAsia="Times New Roman"/>
                <w:color w:val="auto"/>
              </w:rPr>
            </w:pPr>
            <w:r w:rsidRPr="00373517">
              <w:rPr>
                <w:rFonts w:eastAsia="Times New Roman"/>
                <w:color w:val="auto"/>
              </w:rPr>
              <w:t>22220 : Manufacture of plastic packing goods</w:t>
            </w:r>
          </w:p>
        </w:tc>
        <w:tc>
          <w:tcPr>
            <w:tcW w:w="1051" w:type="dxa"/>
            <w:noWrap/>
            <w:hideMark/>
          </w:tcPr>
          <w:p w14:paraId="15D4E29D"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5.50</w:t>
            </w:r>
          </w:p>
        </w:tc>
      </w:tr>
      <w:tr w:rsidR="00373517" w:rsidRPr="00373517" w14:paraId="3F5FB20C"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4471FC6F" w14:textId="77777777" w:rsidR="00373517" w:rsidRPr="00373517" w:rsidRDefault="00373517" w:rsidP="00C93734">
            <w:pPr>
              <w:spacing w:after="0"/>
              <w:jc w:val="both"/>
              <w:rPr>
                <w:rFonts w:eastAsia="Times New Roman"/>
                <w:color w:val="auto"/>
              </w:rPr>
            </w:pPr>
            <w:r w:rsidRPr="00373517">
              <w:rPr>
                <w:rFonts w:eastAsia="Times New Roman"/>
                <w:color w:val="auto"/>
              </w:rPr>
              <w:t>55300 : Camping grounds, recreational vehicle parks and trailer parks</w:t>
            </w:r>
          </w:p>
        </w:tc>
        <w:tc>
          <w:tcPr>
            <w:tcW w:w="1051" w:type="dxa"/>
            <w:noWrap/>
            <w:hideMark/>
          </w:tcPr>
          <w:p w14:paraId="63EE131A"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5.35</w:t>
            </w:r>
          </w:p>
        </w:tc>
      </w:tr>
      <w:tr w:rsidR="00373517" w:rsidRPr="00373517" w14:paraId="4CECB2DC"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553E5BE3" w14:textId="77777777" w:rsidR="00373517" w:rsidRPr="00373517" w:rsidRDefault="00373517" w:rsidP="00C93734">
            <w:pPr>
              <w:spacing w:after="0"/>
              <w:jc w:val="both"/>
              <w:rPr>
                <w:rFonts w:eastAsia="Times New Roman"/>
                <w:color w:val="auto"/>
              </w:rPr>
            </w:pPr>
            <w:r w:rsidRPr="00373517">
              <w:rPr>
                <w:rFonts w:eastAsia="Times New Roman"/>
                <w:color w:val="auto"/>
              </w:rPr>
              <w:t>38210 : Treatment and disposal of non-hazardous waste</w:t>
            </w:r>
          </w:p>
        </w:tc>
        <w:tc>
          <w:tcPr>
            <w:tcW w:w="1051" w:type="dxa"/>
            <w:noWrap/>
            <w:hideMark/>
          </w:tcPr>
          <w:p w14:paraId="5457F206"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4.80</w:t>
            </w:r>
          </w:p>
        </w:tc>
      </w:tr>
      <w:tr w:rsidR="00373517" w:rsidRPr="00373517" w14:paraId="1EEC6DA0"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2F96843B" w14:textId="77777777" w:rsidR="00373517" w:rsidRPr="00373517" w:rsidRDefault="00373517" w:rsidP="00C93734">
            <w:pPr>
              <w:spacing w:after="0"/>
              <w:jc w:val="both"/>
              <w:rPr>
                <w:rFonts w:eastAsia="Times New Roman"/>
                <w:color w:val="auto"/>
              </w:rPr>
            </w:pPr>
            <w:r w:rsidRPr="00373517">
              <w:rPr>
                <w:rFonts w:eastAsia="Times New Roman"/>
                <w:color w:val="auto"/>
              </w:rPr>
              <w:t>93210 : Activities of amusement parks and theme parks</w:t>
            </w:r>
          </w:p>
        </w:tc>
        <w:tc>
          <w:tcPr>
            <w:tcW w:w="1051" w:type="dxa"/>
            <w:noWrap/>
            <w:hideMark/>
          </w:tcPr>
          <w:p w14:paraId="3C5B8AE6"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4.32</w:t>
            </w:r>
          </w:p>
        </w:tc>
      </w:tr>
      <w:tr w:rsidR="00373517" w:rsidRPr="00373517" w14:paraId="053D44F7"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6F366552" w14:textId="77777777" w:rsidR="00373517" w:rsidRPr="00373517" w:rsidRDefault="00373517" w:rsidP="00C93734">
            <w:pPr>
              <w:spacing w:after="0"/>
              <w:jc w:val="both"/>
              <w:rPr>
                <w:rFonts w:eastAsia="Times New Roman"/>
                <w:color w:val="auto"/>
              </w:rPr>
            </w:pPr>
            <w:r w:rsidRPr="00373517">
              <w:rPr>
                <w:rFonts w:eastAsia="Times New Roman"/>
                <w:color w:val="auto"/>
              </w:rPr>
              <w:t>84130 : Regulation of and contribution to more efficient operation of businesses</w:t>
            </w:r>
          </w:p>
        </w:tc>
        <w:tc>
          <w:tcPr>
            <w:tcW w:w="1051" w:type="dxa"/>
            <w:noWrap/>
            <w:hideMark/>
          </w:tcPr>
          <w:p w14:paraId="14D9DE99"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3.02</w:t>
            </w:r>
          </w:p>
        </w:tc>
      </w:tr>
      <w:tr w:rsidR="00373517" w:rsidRPr="00373517" w14:paraId="38E79137"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1A8B5FBF" w14:textId="77777777" w:rsidR="00373517" w:rsidRPr="00373517" w:rsidRDefault="00373517" w:rsidP="00C93734">
            <w:pPr>
              <w:spacing w:after="0"/>
              <w:jc w:val="both"/>
              <w:rPr>
                <w:rFonts w:eastAsia="Times New Roman"/>
                <w:color w:val="auto"/>
              </w:rPr>
            </w:pPr>
            <w:r w:rsidRPr="00373517">
              <w:rPr>
                <w:rFonts w:eastAsia="Times New Roman"/>
                <w:color w:val="auto"/>
              </w:rPr>
              <w:t>71200 : Technical testing and analysis</w:t>
            </w:r>
          </w:p>
        </w:tc>
        <w:tc>
          <w:tcPr>
            <w:tcW w:w="1051" w:type="dxa"/>
            <w:noWrap/>
            <w:hideMark/>
          </w:tcPr>
          <w:p w14:paraId="6FE4D5B6"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2.93</w:t>
            </w:r>
          </w:p>
        </w:tc>
      </w:tr>
      <w:tr w:rsidR="00373517" w:rsidRPr="00373517" w14:paraId="61112462"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26BACC9D" w14:textId="77777777" w:rsidR="00373517" w:rsidRPr="00373517" w:rsidRDefault="00373517" w:rsidP="00C93734">
            <w:pPr>
              <w:spacing w:after="0"/>
              <w:jc w:val="both"/>
              <w:rPr>
                <w:rFonts w:eastAsia="Times New Roman"/>
                <w:color w:val="auto"/>
              </w:rPr>
            </w:pPr>
            <w:r w:rsidRPr="00373517">
              <w:rPr>
                <w:rFonts w:eastAsia="Times New Roman"/>
                <w:color w:val="auto"/>
              </w:rPr>
              <w:t>10850 : Manufacture of prepared meals and dishes</w:t>
            </w:r>
          </w:p>
        </w:tc>
        <w:tc>
          <w:tcPr>
            <w:tcW w:w="1051" w:type="dxa"/>
            <w:noWrap/>
            <w:hideMark/>
          </w:tcPr>
          <w:p w14:paraId="67487082"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2.91</w:t>
            </w:r>
          </w:p>
        </w:tc>
      </w:tr>
      <w:tr w:rsidR="00373517" w:rsidRPr="00373517" w14:paraId="631591B0"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69ADB8CA" w14:textId="77777777" w:rsidR="00373517" w:rsidRPr="00373517" w:rsidRDefault="00373517" w:rsidP="00C93734">
            <w:pPr>
              <w:spacing w:after="0"/>
              <w:jc w:val="both"/>
              <w:rPr>
                <w:rFonts w:eastAsia="Times New Roman"/>
                <w:color w:val="auto"/>
              </w:rPr>
            </w:pPr>
            <w:r w:rsidRPr="00373517">
              <w:rPr>
                <w:rFonts w:eastAsia="Times New Roman"/>
                <w:color w:val="auto"/>
              </w:rPr>
              <w:t>25110 : Manufacture of metal structures and parts of structures</w:t>
            </w:r>
          </w:p>
        </w:tc>
        <w:tc>
          <w:tcPr>
            <w:tcW w:w="1051" w:type="dxa"/>
            <w:noWrap/>
            <w:hideMark/>
          </w:tcPr>
          <w:p w14:paraId="4896FA85"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2.61</w:t>
            </w:r>
          </w:p>
        </w:tc>
      </w:tr>
      <w:tr w:rsidR="00373517" w:rsidRPr="00373517" w14:paraId="20511779" w14:textId="77777777" w:rsidTr="003243EA">
        <w:trPr>
          <w:trHeight w:val="255"/>
        </w:trPr>
        <w:tc>
          <w:tcPr>
            <w:cnfStyle w:val="001000000000" w:firstRow="0" w:lastRow="0" w:firstColumn="1" w:lastColumn="0" w:oddVBand="0" w:evenVBand="0" w:oddHBand="0" w:evenHBand="0" w:firstRowFirstColumn="0" w:firstRowLastColumn="0" w:lastRowFirstColumn="0" w:lastRowLastColumn="0"/>
            <w:tcW w:w="7618" w:type="dxa"/>
            <w:noWrap/>
            <w:hideMark/>
          </w:tcPr>
          <w:p w14:paraId="4D82F0D1" w14:textId="77777777" w:rsidR="00373517" w:rsidRPr="00373517" w:rsidRDefault="00373517" w:rsidP="00C93734">
            <w:pPr>
              <w:spacing w:after="0"/>
              <w:jc w:val="both"/>
              <w:rPr>
                <w:rFonts w:eastAsia="Times New Roman"/>
                <w:color w:val="auto"/>
              </w:rPr>
            </w:pPr>
            <w:r w:rsidRPr="00373517">
              <w:rPr>
                <w:rFonts w:eastAsia="Times New Roman"/>
                <w:color w:val="auto"/>
              </w:rPr>
              <w:t>85320 : Technical and vocational secondary education</w:t>
            </w:r>
          </w:p>
        </w:tc>
        <w:tc>
          <w:tcPr>
            <w:tcW w:w="1051" w:type="dxa"/>
            <w:noWrap/>
            <w:hideMark/>
          </w:tcPr>
          <w:p w14:paraId="335D60A3" w14:textId="77777777" w:rsidR="00373517" w:rsidRPr="00282B77" w:rsidRDefault="00373517" w:rsidP="00C93734">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b/>
                <w:color w:val="auto"/>
              </w:rPr>
            </w:pPr>
            <w:r w:rsidRPr="00282B77">
              <w:rPr>
                <w:rFonts w:eastAsia="Times New Roman"/>
                <w:b/>
                <w:color w:val="auto"/>
              </w:rPr>
              <w:t>2.61</w:t>
            </w:r>
          </w:p>
        </w:tc>
      </w:tr>
    </w:tbl>
    <w:p w14:paraId="61FE30A8" w14:textId="77777777" w:rsidR="00373517" w:rsidRDefault="00894CD3" w:rsidP="00C93734">
      <w:pPr>
        <w:jc w:val="both"/>
      </w:pPr>
      <w:r w:rsidRPr="004B1BF4">
        <w:br w:type="page"/>
      </w:r>
      <w:bookmarkEnd w:id="619"/>
    </w:p>
    <w:p w14:paraId="6F9D839B" w14:textId="77777777" w:rsidR="00553FD5" w:rsidRPr="002805F3" w:rsidRDefault="00553FD5" w:rsidP="00E113F0">
      <w:pPr>
        <w:pStyle w:val="Heading6"/>
        <w:ind w:left="0" w:firstLine="0"/>
      </w:pPr>
      <w:bookmarkStart w:id="621" w:name="_Toc395103938"/>
      <w:bookmarkStart w:id="622" w:name="_Toc280083008"/>
      <w:r w:rsidRPr="002805F3">
        <w:t>Economic &amp; Business Survey Analysis</w:t>
      </w:r>
      <w:bookmarkEnd w:id="621"/>
    </w:p>
    <w:p w14:paraId="08CEC4B4" w14:textId="77777777" w:rsidR="00553FD5" w:rsidRPr="002805F3" w:rsidRDefault="00553FD5" w:rsidP="00C93734">
      <w:pPr>
        <w:jc w:val="both"/>
        <w:rPr>
          <w:b/>
        </w:rPr>
      </w:pPr>
      <w:r w:rsidRPr="002805F3">
        <w:t xml:space="preserve">As part of the study on </w:t>
      </w:r>
      <w:r>
        <w:t xml:space="preserve">the </w:t>
      </w:r>
      <w:r w:rsidRPr="002805F3">
        <w:t xml:space="preserve">key sectors in the </w:t>
      </w:r>
      <w:r w:rsidR="00400697">
        <w:t>North East Lincolnshire</w:t>
      </w:r>
      <w:r w:rsidRPr="002805F3">
        <w:t xml:space="preserve"> economy, Hill Taylor undertook a business survey on behalf of Atkins in order for business information to be captured within the economic study area. </w:t>
      </w:r>
    </w:p>
    <w:p w14:paraId="7F5CD65F" w14:textId="77777777" w:rsidR="00553FD5" w:rsidRPr="002805F3" w:rsidRDefault="00553FD5" w:rsidP="00C93734">
      <w:pPr>
        <w:jc w:val="both"/>
        <w:rPr>
          <w:b/>
        </w:rPr>
      </w:pPr>
      <w:r w:rsidRPr="002805F3">
        <w:t>The main objective of the survey was to gather key data including</w:t>
      </w:r>
      <w:r w:rsidR="00827846">
        <w:t xml:space="preserve"> company</w:t>
      </w:r>
      <w:r w:rsidRPr="002805F3">
        <w:t xml:space="preserve"> turnover, employment, expenditure and operational requirements. This information was used to formulate the development of an economic impact model for key sector activities in the economic study area. It also provides critical information which can be us</w:t>
      </w:r>
      <w:r w:rsidR="007A1492">
        <w:t>e</w:t>
      </w:r>
      <w:r w:rsidRPr="002805F3">
        <w:t>d to inform the development of planning and economic development strategies in the sub-region.</w:t>
      </w:r>
    </w:p>
    <w:p w14:paraId="2799086D" w14:textId="77777777" w:rsidR="00553FD5" w:rsidRPr="002805F3" w:rsidRDefault="00553FD5" w:rsidP="00C93734">
      <w:pPr>
        <w:jc w:val="both"/>
        <w:rPr>
          <w:b/>
        </w:rPr>
      </w:pPr>
      <w:r w:rsidRPr="002805F3">
        <w:t>This Appendix sets out the key findings of the business survey and describes the economic characteristics of the key sectors. It is structured as follows:</w:t>
      </w:r>
    </w:p>
    <w:p w14:paraId="34E518A3" w14:textId="77777777" w:rsidR="00553FD5" w:rsidRPr="007A1492" w:rsidRDefault="00553FD5" w:rsidP="00C93734">
      <w:pPr>
        <w:pStyle w:val="ListParagraph"/>
        <w:numPr>
          <w:ilvl w:val="0"/>
          <w:numId w:val="56"/>
        </w:numPr>
        <w:jc w:val="both"/>
        <w:rPr>
          <w:b/>
        </w:rPr>
      </w:pPr>
      <w:r w:rsidRPr="002805F3">
        <w:t>Methodology</w:t>
      </w:r>
    </w:p>
    <w:p w14:paraId="53EEF34A" w14:textId="77777777" w:rsidR="00553FD5" w:rsidRPr="007A1492" w:rsidRDefault="00553FD5" w:rsidP="00C93734">
      <w:pPr>
        <w:pStyle w:val="ListParagraph"/>
        <w:numPr>
          <w:ilvl w:val="0"/>
          <w:numId w:val="56"/>
        </w:numPr>
        <w:jc w:val="both"/>
        <w:rPr>
          <w:b/>
        </w:rPr>
      </w:pPr>
      <w:r w:rsidRPr="002805F3">
        <w:t>Survey sample details (Size of Sectors, contribution to GDP and Gross Value Added (GVA))</w:t>
      </w:r>
    </w:p>
    <w:p w14:paraId="10F84211" w14:textId="77777777" w:rsidR="00553FD5" w:rsidRPr="007A1492" w:rsidRDefault="00553FD5" w:rsidP="00C93734">
      <w:pPr>
        <w:pStyle w:val="ListParagraph"/>
        <w:numPr>
          <w:ilvl w:val="0"/>
          <w:numId w:val="56"/>
        </w:numPr>
        <w:jc w:val="both"/>
        <w:rPr>
          <w:b/>
        </w:rPr>
      </w:pPr>
      <w:r w:rsidRPr="002805F3">
        <w:t>Employment Impact</w:t>
      </w:r>
    </w:p>
    <w:p w14:paraId="1F0B3409" w14:textId="77777777" w:rsidR="00553FD5" w:rsidRPr="007A1492" w:rsidRDefault="00553FD5" w:rsidP="00C93734">
      <w:pPr>
        <w:pStyle w:val="ListParagraph"/>
        <w:numPr>
          <w:ilvl w:val="0"/>
          <w:numId w:val="56"/>
        </w:numPr>
        <w:jc w:val="both"/>
        <w:rPr>
          <w:b/>
        </w:rPr>
      </w:pPr>
      <w:r w:rsidRPr="002805F3">
        <w:t>Contribution to National Exchequer</w:t>
      </w:r>
    </w:p>
    <w:p w14:paraId="0BD7F70B" w14:textId="77777777" w:rsidR="00553FD5" w:rsidRPr="007A1492" w:rsidRDefault="00553FD5" w:rsidP="00C93734">
      <w:pPr>
        <w:pStyle w:val="ListParagraph"/>
        <w:numPr>
          <w:ilvl w:val="0"/>
          <w:numId w:val="56"/>
        </w:numPr>
        <w:jc w:val="both"/>
        <w:rPr>
          <w:b/>
        </w:rPr>
      </w:pPr>
      <w:r w:rsidRPr="002805F3">
        <w:t>Summary of other business survey results</w:t>
      </w:r>
    </w:p>
    <w:p w14:paraId="772D1631" w14:textId="77777777" w:rsidR="00553FD5" w:rsidRPr="002805F3" w:rsidRDefault="007A1492" w:rsidP="00C93734">
      <w:pPr>
        <w:pStyle w:val="Heading8"/>
        <w:jc w:val="both"/>
      </w:pPr>
      <w:r w:rsidRPr="002805F3">
        <w:t>Methodology and sample</w:t>
      </w:r>
    </w:p>
    <w:p w14:paraId="17B954A8" w14:textId="77777777" w:rsidR="00553FD5" w:rsidRPr="002805F3" w:rsidRDefault="00553FD5" w:rsidP="00C93734">
      <w:pPr>
        <w:jc w:val="both"/>
        <w:rPr>
          <w:b/>
        </w:rPr>
      </w:pPr>
      <w:r w:rsidRPr="002805F3">
        <w:t>A survey of indigenous firms within the economic study area was conducted in order to provide a statistically significant assessment of the key sector related business community. The difficulties of defining certain sectors are highlighted in the main report, but our final 18 activities have been used consistently throughout the following analysis as the definitive description of key sectors.</w:t>
      </w:r>
    </w:p>
    <w:p w14:paraId="3BF17870" w14:textId="77777777" w:rsidR="00553FD5" w:rsidRPr="002805F3" w:rsidRDefault="00553FD5" w:rsidP="00C93734">
      <w:pPr>
        <w:jc w:val="both"/>
        <w:rPr>
          <w:b/>
        </w:rPr>
      </w:pPr>
      <w:r w:rsidRPr="002805F3">
        <w:t>This survey provides an empirical source of data which can be used along with supplementary analysis provided by the manipulation of secondary data sources.</w:t>
      </w:r>
    </w:p>
    <w:p w14:paraId="39A63E80" w14:textId="77777777" w:rsidR="008D7250" w:rsidRDefault="00553FD5">
      <w:pPr>
        <w:jc w:val="both"/>
        <w:rPr>
          <w:b/>
        </w:rPr>
      </w:pPr>
      <w:r w:rsidRPr="002805F3">
        <w:t>The key topics researched included:</w:t>
      </w:r>
    </w:p>
    <w:p w14:paraId="39B877DC" w14:textId="77777777" w:rsidR="00553FD5" w:rsidRPr="007A1492" w:rsidRDefault="00553FD5" w:rsidP="00C93734">
      <w:pPr>
        <w:pStyle w:val="ListParagraph"/>
        <w:numPr>
          <w:ilvl w:val="0"/>
          <w:numId w:val="57"/>
        </w:numPr>
        <w:jc w:val="both"/>
        <w:rPr>
          <w:b/>
        </w:rPr>
      </w:pPr>
      <w:r w:rsidRPr="002805F3">
        <w:t>General company information;</w:t>
      </w:r>
    </w:p>
    <w:p w14:paraId="74DB1812" w14:textId="77777777" w:rsidR="00553FD5" w:rsidRPr="007A1492" w:rsidRDefault="00553FD5" w:rsidP="00C93734">
      <w:pPr>
        <w:pStyle w:val="ListParagraph"/>
        <w:numPr>
          <w:ilvl w:val="0"/>
          <w:numId w:val="57"/>
        </w:numPr>
        <w:jc w:val="both"/>
        <w:rPr>
          <w:b/>
        </w:rPr>
      </w:pPr>
      <w:r w:rsidRPr="002805F3">
        <w:t>Turnover &amp; profit information;</w:t>
      </w:r>
    </w:p>
    <w:p w14:paraId="143772FD" w14:textId="77777777" w:rsidR="00553FD5" w:rsidRPr="007A1492" w:rsidRDefault="00553FD5" w:rsidP="00C93734">
      <w:pPr>
        <w:pStyle w:val="ListParagraph"/>
        <w:numPr>
          <w:ilvl w:val="0"/>
          <w:numId w:val="57"/>
        </w:numPr>
        <w:jc w:val="both"/>
        <w:rPr>
          <w:b/>
        </w:rPr>
      </w:pPr>
      <w:r w:rsidRPr="002805F3">
        <w:t>Employment information;</w:t>
      </w:r>
    </w:p>
    <w:p w14:paraId="2E42FE8C" w14:textId="77777777" w:rsidR="00553FD5" w:rsidRPr="007A1492" w:rsidRDefault="00553FD5" w:rsidP="00C93734">
      <w:pPr>
        <w:pStyle w:val="ListParagraph"/>
        <w:numPr>
          <w:ilvl w:val="0"/>
          <w:numId w:val="57"/>
        </w:numPr>
        <w:jc w:val="both"/>
        <w:rPr>
          <w:b/>
        </w:rPr>
      </w:pPr>
      <w:r w:rsidRPr="002805F3">
        <w:t>Supply chain demand and connectivity;</w:t>
      </w:r>
    </w:p>
    <w:p w14:paraId="5B2C01E5" w14:textId="77777777" w:rsidR="00553FD5" w:rsidRPr="007A1492" w:rsidRDefault="00553FD5" w:rsidP="00C93734">
      <w:pPr>
        <w:pStyle w:val="ListParagraph"/>
        <w:numPr>
          <w:ilvl w:val="0"/>
          <w:numId w:val="57"/>
        </w:numPr>
        <w:jc w:val="both"/>
        <w:rPr>
          <w:b/>
        </w:rPr>
      </w:pPr>
      <w:r w:rsidRPr="002805F3">
        <w:t>Current &amp; future skill requirements;</w:t>
      </w:r>
    </w:p>
    <w:p w14:paraId="4251A182" w14:textId="77777777" w:rsidR="00553FD5" w:rsidRPr="007A1492" w:rsidRDefault="00553FD5" w:rsidP="00C93734">
      <w:pPr>
        <w:pStyle w:val="ListParagraph"/>
        <w:numPr>
          <w:ilvl w:val="0"/>
          <w:numId w:val="57"/>
        </w:numPr>
        <w:jc w:val="both"/>
        <w:rPr>
          <w:b/>
        </w:rPr>
      </w:pPr>
      <w:r w:rsidRPr="002805F3">
        <w:t>Future growth plans &amp; requirements;</w:t>
      </w:r>
    </w:p>
    <w:p w14:paraId="50ADC09B" w14:textId="77777777" w:rsidR="00553FD5" w:rsidRPr="007A1492" w:rsidRDefault="00553FD5" w:rsidP="00C93734">
      <w:pPr>
        <w:pStyle w:val="ListParagraph"/>
        <w:numPr>
          <w:ilvl w:val="0"/>
          <w:numId w:val="57"/>
        </w:numPr>
        <w:jc w:val="both"/>
        <w:rPr>
          <w:b/>
        </w:rPr>
      </w:pPr>
      <w:r w:rsidRPr="002805F3">
        <w:t>Issues concerning the physical location of their operation.</w:t>
      </w:r>
    </w:p>
    <w:p w14:paraId="34C2E5FB" w14:textId="77777777" w:rsidR="00553FD5" w:rsidRPr="002805F3" w:rsidRDefault="00553FD5" w:rsidP="00C93734">
      <w:pPr>
        <w:pStyle w:val="Heading8"/>
        <w:jc w:val="both"/>
        <w:rPr>
          <w:rFonts w:eastAsia="Calibri"/>
        </w:rPr>
      </w:pPr>
      <w:r w:rsidRPr="002805F3">
        <w:rPr>
          <w:rFonts w:eastAsia="Calibri"/>
        </w:rPr>
        <w:t>Survey Process</w:t>
      </w:r>
    </w:p>
    <w:p w14:paraId="33FDA8B3" w14:textId="77777777" w:rsidR="00553FD5" w:rsidRDefault="00553FD5" w:rsidP="00C93734">
      <w:pPr>
        <w:jc w:val="both"/>
      </w:pPr>
      <w:r w:rsidRPr="002805F3">
        <w:t xml:space="preserve">The information was collected through a series of 15 minute interviews with firms located within </w:t>
      </w:r>
      <w:r w:rsidR="00FA421D">
        <w:t>NEL</w:t>
      </w:r>
      <w:r w:rsidRPr="002805F3">
        <w:t xml:space="preserve">. Interviews were conducted with owners, managers and directors or other senior employees of the individual firms. </w:t>
      </w:r>
    </w:p>
    <w:p w14:paraId="253D9EB1" w14:textId="77777777" w:rsidR="00553FD5" w:rsidRDefault="00553FD5" w:rsidP="00C93734">
      <w:pPr>
        <w:jc w:val="both"/>
      </w:pPr>
      <w:r w:rsidRPr="002805F3">
        <w:t xml:space="preserve">All 294 responses from the survey relate to firms which operate directly or indirectly as one of the core sectors activities defined in main report (over 50% of turnover being sourced from the key sectors). The 294 firms operate in the key sectors of the economy: </w:t>
      </w:r>
    </w:p>
    <w:p w14:paraId="47FDA09A" w14:textId="77777777" w:rsidR="00553FD5" w:rsidRPr="007A1492" w:rsidRDefault="00553FD5" w:rsidP="00C93734">
      <w:pPr>
        <w:pStyle w:val="ListParagraph"/>
        <w:numPr>
          <w:ilvl w:val="0"/>
          <w:numId w:val="58"/>
        </w:numPr>
        <w:jc w:val="both"/>
        <w:rPr>
          <w:rFonts w:eastAsia="Calibri" w:cs="Arial"/>
          <w:b/>
          <w:color w:val="394A58"/>
        </w:rPr>
      </w:pPr>
      <w:r w:rsidRPr="007A1492">
        <w:rPr>
          <w:rFonts w:eastAsia="Calibri" w:cs="Arial"/>
          <w:color w:val="394A58"/>
        </w:rPr>
        <w:t>Renewables (&amp; energy);</w:t>
      </w:r>
    </w:p>
    <w:p w14:paraId="6807058A" w14:textId="77777777" w:rsidR="00553FD5" w:rsidRPr="007A1492" w:rsidRDefault="00553FD5" w:rsidP="00C93734">
      <w:pPr>
        <w:pStyle w:val="ListParagraph"/>
        <w:numPr>
          <w:ilvl w:val="0"/>
          <w:numId w:val="58"/>
        </w:numPr>
        <w:jc w:val="both"/>
        <w:rPr>
          <w:rFonts w:eastAsia="Calibri" w:cs="Arial"/>
          <w:b/>
          <w:color w:val="394A58"/>
        </w:rPr>
      </w:pPr>
      <w:r w:rsidRPr="007A1492">
        <w:rPr>
          <w:rFonts w:eastAsia="Calibri" w:cs="Arial"/>
          <w:color w:val="394A58"/>
        </w:rPr>
        <w:t>Ports &amp; Logistics;</w:t>
      </w:r>
    </w:p>
    <w:p w14:paraId="706C77EA" w14:textId="77777777" w:rsidR="00553FD5" w:rsidRPr="007A1492" w:rsidRDefault="00553FD5" w:rsidP="00C93734">
      <w:pPr>
        <w:pStyle w:val="ListParagraph"/>
        <w:numPr>
          <w:ilvl w:val="0"/>
          <w:numId w:val="58"/>
        </w:numPr>
        <w:jc w:val="both"/>
        <w:rPr>
          <w:rFonts w:eastAsia="Calibri" w:cs="Arial"/>
          <w:b/>
          <w:color w:val="394A58"/>
        </w:rPr>
      </w:pPr>
      <w:r w:rsidRPr="007A1492">
        <w:rPr>
          <w:rFonts w:eastAsia="Calibri" w:cs="Arial"/>
          <w:color w:val="394A58"/>
        </w:rPr>
        <w:t xml:space="preserve">Food manufacturing; </w:t>
      </w:r>
    </w:p>
    <w:p w14:paraId="0C4144B9" w14:textId="77777777" w:rsidR="00553FD5" w:rsidRPr="007A1492" w:rsidRDefault="00553FD5" w:rsidP="00C93734">
      <w:pPr>
        <w:pStyle w:val="ListParagraph"/>
        <w:numPr>
          <w:ilvl w:val="0"/>
          <w:numId w:val="58"/>
        </w:numPr>
        <w:jc w:val="both"/>
        <w:rPr>
          <w:rFonts w:eastAsia="Calibri" w:cs="Arial"/>
          <w:b/>
          <w:color w:val="394A58"/>
        </w:rPr>
      </w:pPr>
      <w:r w:rsidRPr="007A1492">
        <w:rPr>
          <w:rFonts w:eastAsia="Calibri" w:cs="Arial"/>
          <w:color w:val="394A58"/>
        </w:rPr>
        <w:t>Chemicals &amp; process industries;</w:t>
      </w:r>
    </w:p>
    <w:p w14:paraId="3EF6124C" w14:textId="77777777" w:rsidR="00553FD5" w:rsidRPr="007A1492" w:rsidRDefault="00553FD5" w:rsidP="00C93734">
      <w:pPr>
        <w:pStyle w:val="ListParagraph"/>
        <w:numPr>
          <w:ilvl w:val="0"/>
          <w:numId w:val="58"/>
        </w:numPr>
        <w:jc w:val="both"/>
        <w:rPr>
          <w:rFonts w:eastAsia="Calibri" w:cs="Arial"/>
          <w:b/>
          <w:color w:val="394A58"/>
        </w:rPr>
      </w:pPr>
      <w:r w:rsidRPr="007A1492">
        <w:rPr>
          <w:rFonts w:eastAsia="Calibri" w:cs="Arial"/>
          <w:color w:val="394A58"/>
        </w:rPr>
        <w:t xml:space="preserve">Visitor Economy &amp; Retail. </w:t>
      </w:r>
    </w:p>
    <w:p w14:paraId="0128C415" w14:textId="77777777" w:rsidR="00553FD5" w:rsidRPr="002805F3" w:rsidRDefault="00553FD5" w:rsidP="00C93734">
      <w:pPr>
        <w:pStyle w:val="Heading2"/>
        <w:keepNext w:val="0"/>
        <w:keepLines w:val="0"/>
        <w:numPr>
          <w:ilvl w:val="0"/>
          <w:numId w:val="0"/>
        </w:numPr>
        <w:spacing w:before="0" w:after="0"/>
        <w:ind w:left="1080"/>
        <w:jc w:val="both"/>
        <w:rPr>
          <w:rFonts w:eastAsia="Calibri" w:cs="Arial"/>
          <w:b w:val="0"/>
          <w:color w:val="394A58"/>
          <w:sz w:val="20"/>
          <w:szCs w:val="22"/>
        </w:rPr>
      </w:pPr>
    </w:p>
    <w:p w14:paraId="13F6FE46" w14:textId="77777777" w:rsidR="00553FD5" w:rsidRPr="002805F3" w:rsidRDefault="00553FD5" w:rsidP="00C93734">
      <w:pPr>
        <w:pStyle w:val="BodyText"/>
        <w:jc w:val="both"/>
      </w:pPr>
      <w:r w:rsidRPr="002805F3">
        <w:t>A certain number of results were filtered out from the survey because of their activities not aligning with</w:t>
      </w:r>
      <w:r>
        <w:t xml:space="preserve"> </w:t>
      </w:r>
      <w:r w:rsidRPr="002805F3">
        <w:t>core sector activities (e.g. manufacturing or services not related to the key sectors).</w:t>
      </w:r>
    </w:p>
    <w:p w14:paraId="05857018" w14:textId="77777777" w:rsidR="00553FD5" w:rsidRPr="002805F3" w:rsidRDefault="00553FD5" w:rsidP="00C93734">
      <w:pPr>
        <w:pStyle w:val="Heading9"/>
        <w:jc w:val="both"/>
        <w:rPr>
          <w:rFonts w:eastAsia="Calibri"/>
        </w:rPr>
      </w:pPr>
      <w:r w:rsidRPr="002805F3">
        <w:rPr>
          <w:rFonts w:eastAsia="Calibri"/>
        </w:rPr>
        <w:t>Survey Sample</w:t>
      </w:r>
    </w:p>
    <w:p w14:paraId="6B29EB39" w14:textId="77777777" w:rsidR="00553FD5" w:rsidRPr="002805F3" w:rsidRDefault="00553FD5" w:rsidP="00C93734">
      <w:pPr>
        <w:pStyle w:val="Level5"/>
        <w:numPr>
          <w:ilvl w:val="0"/>
          <w:numId w:val="0"/>
        </w:numPr>
        <w:tabs>
          <w:tab w:val="clear" w:pos="1440"/>
        </w:tabs>
        <w:spacing w:before="0" w:after="0" w:line="240" w:lineRule="auto"/>
        <w:rPr>
          <w:rFonts w:eastAsia="Calibri" w:cs="Arial"/>
          <w:color w:val="394A58"/>
          <w:sz w:val="20"/>
          <w:szCs w:val="22"/>
          <w:lang w:eastAsia="en-US"/>
        </w:rPr>
      </w:pPr>
    </w:p>
    <w:p w14:paraId="4231C921" w14:textId="77777777" w:rsidR="008D7250" w:rsidRDefault="00553FD5">
      <w:pPr>
        <w:pStyle w:val="Level5"/>
        <w:numPr>
          <w:ilvl w:val="0"/>
          <w:numId w:val="0"/>
        </w:numPr>
        <w:tabs>
          <w:tab w:val="clear" w:pos="1440"/>
        </w:tabs>
        <w:spacing w:before="0" w:after="0" w:line="240" w:lineRule="auto"/>
      </w:pPr>
      <w:r w:rsidRPr="002805F3">
        <w:rPr>
          <w:rFonts w:eastAsia="Calibri" w:cs="Arial"/>
          <w:color w:val="394A58"/>
          <w:sz w:val="20"/>
          <w:szCs w:val="22"/>
          <w:lang w:eastAsia="en-US"/>
        </w:rPr>
        <w:t xml:space="preserve">The sample frame was taken from the IDBR database. Actual business contact details were provided by the Experian database </w:t>
      </w:r>
      <w:r>
        <w:rPr>
          <w:rFonts w:eastAsia="Calibri" w:cs="Arial"/>
          <w:color w:val="394A58"/>
          <w:sz w:val="20"/>
          <w:szCs w:val="22"/>
          <w:lang w:eastAsia="en-US"/>
        </w:rPr>
        <w:t>and k</w:t>
      </w:r>
      <w:r w:rsidRPr="002805F3">
        <w:rPr>
          <w:rFonts w:eastAsia="Calibri" w:cs="Arial"/>
          <w:color w:val="394A58"/>
          <w:sz w:val="20"/>
          <w:szCs w:val="22"/>
          <w:lang w:eastAsia="en-US"/>
        </w:rPr>
        <w:t xml:space="preserve">ey sector firms were identified using SIC codes and </w:t>
      </w:r>
      <w:r>
        <w:rPr>
          <w:rFonts w:eastAsia="Calibri" w:cs="Arial"/>
          <w:color w:val="394A58"/>
          <w:sz w:val="20"/>
          <w:szCs w:val="22"/>
          <w:lang w:eastAsia="en-US"/>
        </w:rPr>
        <w:t xml:space="preserve">detailed activity definitions. </w:t>
      </w:r>
    </w:p>
    <w:p w14:paraId="0AFDC9F0" w14:textId="77777777" w:rsidR="00553FD5" w:rsidRPr="002805F3" w:rsidRDefault="00553FD5" w:rsidP="00C93734">
      <w:pPr>
        <w:pStyle w:val="Heading9"/>
        <w:jc w:val="both"/>
      </w:pPr>
      <w:r w:rsidRPr="002805F3">
        <w:t>Exclusions</w:t>
      </w:r>
    </w:p>
    <w:p w14:paraId="4538B296" w14:textId="77777777" w:rsidR="00553FD5" w:rsidRDefault="00553FD5" w:rsidP="00C93734">
      <w:pPr>
        <w:pStyle w:val="BodyText"/>
        <w:jc w:val="both"/>
      </w:pPr>
      <w:r w:rsidRPr="002805F3">
        <w:t xml:space="preserve">It is important to highlight that the sample for this quantitative assessment included private sector business types only. The analysis also excludes the impact of public sector organisations such as colleges and universities. </w:t>
      </w:r>
      <w:r>
        <w:t>T</w:t>
      </w:r>
      <w:r w:rsidRPr="002805F3">
        <w:t xml:space="preserve">he survey was unable to contact some of the larger firms and therefore </w:t>
      </w:r>
      <w:r w:rsidR="00400697">
        <w:t xml:space="preserve">omits </w:t>
      </w:r>
      <w:r w:rsidRPr="002805F3">
        <w:t xml:space="preserve">their contribution to the local economy. As a consequence we have factored in </w:t>
      </w:r>
      <w:r w:rsidR="00400697">
        <w:t>these firms’</w:t>
      </w:r>
      <w:r w:rsidR="00400697" w:rsidRPr="002805F3">
        <w:t xml:space="preserve"> </w:t>
      </w:r>
      <w:r w:rsidRPr="002805F3">
        <w:t xml:space="preserve">financial results </w:t>
      </w:r>
      <w:r>
        <w:t>d</w:t>
      </w:r>
      <w:r w:rsidRPr="002805F3">
        <w:t>uring research</w:t>
      </w:r>
      <w:r w:rsidR="00400697">
        <w:t>, obtained</w:t>
      </w:r>
      <w:r w:rsidRPr="002805F3">
        <w:t xml:space="preserve"> from privately held and council owned data.</w:t>
      </w:r>
    </w:p>
    <w:p w14:paraId="2B27F963" w14:textId="77777777" w:rsidR="00553FD5" w:rsidRPr="002805F3" w:rsidRDefault="00553FD5" w:rsidP="00C93734">
      <w:pPr>
        <w:pStyle w:val="Heading9"/>
        <w:jc w:val="both"/>
      </w:pPr>
      <w:r w:rsidRPr="002805F3">
        <w:t>Sample Frame</w:t>
      </w:r>
    </w:p>
    <w:p w14:paraId="37971D16" w14:textId="77777777" w:rsidR="00553FD5" w:rsidRPr="002805F3" w:rsidRDefault="00553FD5" w:rsidP="00C93734">
      <w:pPr>
        <w:pStyle w:val="BodyText"/>
        <w:jc w:val="both"/>
        <w:rPr>
          <w:b/>
        </w:rPr>
      </w:pPr>
      <w:r w:rsidRPr="002805F3">
        <w:t xml:space="preserve">Providing a statistical definition of each sector is not a straight-forward task. Many of the sectors and their activities cannot be easily defined through national statistics, the activities of firms can overlap sectors and some firms are hidden in national data because of their head office location, Despite these challenges, it remains necessary to provide an estimate of the total ‘population’ of firms in each sector within </w:t>
      </w:r>
      <w:r w:rsidR="00FA421D">
        <w:t>NEL</w:t>
      </w:r>
      <w:r w:rsidRPr="002805F3">
        <w:t>. This is required in order to provide a basis by which the results from the sample survey can be extrapolated to provide a reasonable representation of the key sectors in the economic study area.</w:t>
      </w:r>
    </w:p>
    <w:p w14:paraId="3B43B1D4" w14:textId="77777777" w:rsidR="00553FD5" w:rsidRPr="002805F3" w:rsidRDefault="00553FD5" w:rsidP="00C93734">
      <w:pPr>
        <w:pStyle w:val="BodyText"/>
        <w:jc w:val="both"/>
      </w:pPr>
      <w:r w:rsidRPr="002805F3">
        <w:t xml:space="preserve">As discussed elsewhere in the report, the </w:t>
      </w:r>
      <w:r w:rsidR="00400697">
        <w:t>r</w:t>
      </w:r>
      <w:r w:rsidR="00400697" w:rsidRPr="002805F3">
        <w:t xml:space="preserve">enewables </w:t>
      </w:r>
      <w:r w:rsidRPr="002805F3">
        <w:t>sector is difficult to define and capture in assessments. We have attempted to refine our assessment of this sector through modifications to factoring and analysis outputs. Having spoken to firms and assessed some key firm data, we feel that this assessment is robust.</w:t>
      </w:r>
    </w:p>
    <w:p w14:paraId="2F09EDE1" w14:textId="77777777" w:rsidR="00553FD5" w:rsidRPr="002805F3" w:rsidRDefault="00553FD5" w:rsidP="00C93734">
      <w:pPr>
        <w:pStyle w:val="BodyText"/>
        <w:jc w:val="both"/>
      </w:pPr>
      <w:r w:rsidRPr="002805F3">
        <w:t xml:space="preserve">Using the </w:t>
      </w:r>
      <w:r w:rsidR="00DF4291">
        <w:t xml:space="preserve">best available information, Table </w:t>
      </w:r>
      <w:r w:rsidR="00DF4291">
        <w:rPr>
          <w:noProof/>
        </w:rPr>
        <w:t>0</w:t>
      </w:r>
      <w:r w:rsidR="00DF4291">
        <w:t>-</w:t>
      </w:r>
      <w:r w:rsidR="00DF4291">
        <w:rPr>
          <w:noProof/>
        </w:rPr>
        <w:t>2</w:t>
      </w:r>
      <w:r w:rsidR="00DF4291">
        <w:t xml:space="preserve"> </w:t>
      </w:r>
      <w:r w:rsidRPr="002805F3">
        <w:t xml:space="preserve">sets out indicative estimates of the total sector business populations in the economic study area.  </w:t>
      </w:r>
    </w:p>
    <w:p w14:paraId="2AF79EBE" w14:textId="77777777" w:rsidR="00553FD5" w:rsidRPr="002805F3" w:rsidRDefault="00553FD5" w:rsidP="00C93734">
      <w:pPr>
        <w:pStyle w:val="BodyText"/>
        <w:jc w:val="both"/>
      </w:pPr>
      <w:r w:rsidRPr="002805F3">
        <w:t xml:space="preserve">Having closely analysed the secondary information, it is estimated that there are approximately 4,390 firms in </w:t>
      </w:r>
      <w:r w:rsidR="00FA421D">
        <w:t>NEL</w:t>
      </w:r>
      <w:r w:rsidRPr="002805F3">
        <w:t xml:space="preserve"> which can be classified as operating directly in the key sectors or being significantly reliant on the</w:t>
      </w:r>
      <w:r>
        <w:t>se</w:t>
      </w:r>
      <w:r w:rsidRPr="002805F3">
        <w:t xml:space="preserve"> sector</w:t>
      </w:r>
      <w:r>
        <w:t>s</w:t>
      </w:r>
      <w:r w:rsidRPr="002805F3">
        <w:t>. On this basis, our survey sample represents approximately 8% of all key sector firms within the study area. This represents a</w:t>
      </w:r>
      <w:r>
        <w:t xml:space="preserve"> good</w:t>
      </w:r>
      <w:r w:rsidRPr="002805F3">
        <w:t xml:space="preserve"> foundation on which to extrapolate the business survey findings to resemble the </w:t>
      </w:r>
      <w:r w:rsidR="00FA421D">
        <w:t>NEL</w:t>
      </w:r>
      <w:r w:rsidRPr="002805F3">
        <w:t xml:space="preserve"> economy. </w:t>
      </w:r>
    </w:p>
    <w:p w14:paraId="789195DE" w14:textId="77777777" w:rsidR="00553FD5" w:rsidRDefault="00553FD5" w:rsidP="00C93734">
      <w:pPr>
        <w:pStyle w:val="Caption"/>
        <w:jc w:val="both"/>
      </w:pPr>
      <w:bookmarkStart w:id="623" w:name="_Ref391920833"/>
      <w:bookmarkStart w:id="624" w:name="_Toc383159702"/>
      <w:r>
        <w:t xml:space="preserve">Table </w:t>
      </w:r>
      <w:fldSimple w:instr=" STYLEREF 1 \s  \* MERGEFORMAT ">
        <w:r w:rsidR="00E95E1A">
          <w:rPr>
            <w:noProof/>
          </w:rPr>
          <w:t>0</w:t>
        </w:r>
      </w:fldSimple>
      <w:r>
        <w:t>-</w:t>
      </w:r>
      <w:fldSimple w:instr=" SEQ Table \* ARABIC \s 1  \* MERGEFORMAT ">
        <w:r w:rsidR="00E95E1A">
          <w:rPr>
            <w:noProof/>
          </w:rPr>
          <w:t>2</w:t>
        </w:r>
      </w:fldSimple>
      <w:bookmarkEnd w:id="623"/>
      <w:r>
        <w:tab/>
        <w:t>IDBR Firm Numbers and Employees</w:t>
      </w:r>
      <w:bookmarkEnd w:id="624"/>
    </w:p>
    <w:tbl>
      <w:tblPr>
        <w:tblStyle w:val="Atkins14pt"/>
        <w:tblpPr w:leftFromText="180" w:rightFromText="180" w:vertAnchor="text" w:tblpX="114" w:tblpY="1"/>
        <w:tblW w:w="9838" w:type="dxa"/>
        <w:tblInd w:w="0" w:type="dxa"/>
        <w:tblLayout w:type="fixed"/>
        <w:tblCellMar>
          <w:right w:w="57" w:type="dxa"/>
        </w:tblCellMar>
        <w:tblLook w:val="04A0" w:firstRow="1" w:lastRow="0" w:firstColumn="1" w:lastColumn="0" w:noHBand="0" w:noVBand="1"/>
      </w:tblPr>
      <w:tblGrid>
        <w:gridCol w:w="3318"/>
        <w:gridCol w:w="1630"/>
        <w:gridCol w:w="1630"/>
        <w:gridCol w:w="1630"/>
        <w:gridCol w:w="1630"/>
      </w:tblGrid>
      <w:tr w:rsidR="00553FD5" w:rsidRPr="00C249C9" w14:paraId="7ED8F510" w14:textId="77777777" w:rsidTr="007A1492">
        <w:trPr>
          <w:cnfStyle w:val="100000000000" w:firstRow="1" w:lastRow="0" w:firstColumn="0" w:lastColumn="0" w:oddVBand="0" w:evenVBand="0" w:oddHBand="0" w:evenHBand="0" w:firstRowFirstColumn="0" w:firstRowLastColumn="0" w:lastRowFirstColumn="0" w:lastRowLastColumn="0"/>
          <w:trHeight w:val="1020"/>
        </w:trPr>
        <w:tc>
          <w:tcPr>
            <w:cnfStyle w:val="001000000100" w:firstRow="0" w:lastRow="0" w:firstColumn="1" w:lastColumn="0" w:oddVBand="0" w:evenVBand="0" w:oddHBand="0" w:evenHBand="0" w:firstRowFirstColumn="1" w:firstRowLastColumn="0" w:lastRowFirstColumn="0" w:lastRowLastColumn="0"/>
            <w:tcW w:w="3318" w:type="dxa"/>
            <w:noWrap/>
            <w:hideMark/>
          </w:tcPr>
          <w:p w14:paraId="042F645B" w14:textId="77777777" w:rsidR="00553FD5" w:rsidRPr="00C249C9" w:rsidRDefault="00553FD5" w:rsidP="00C93734">
            <w:pPr>
              <w:spacing w:after="120"/>
              <w:contextualSpacing/>
              <w:jc w:val="both"/>
              <w:rPr>
                <w:color w:val="000000"/>
              </w:rPr>
            </w:pPr>
            <w:r w:rsidRPr="00C249C9">
              <w:rPr>
                <w:color w:val="000000"/>
              </w:rPr>
              <w:t>Sector</w:t>
            </w:r>
          </w:p>
        </w:tc>
        <w:tc>
          <w:tcPr>
            <w:tcW w:w="1630" w:type="dxa"/>
            <w:noWrap/>
            <w:hideMark/>
          </w:tcPr>
          <w:p w14:paraId="2929B088" w14:textId="77777777" w:rsidR="00553FD5" w:rsidRPr="00C249C9" w:rsidRDefault="00553FD5" w:rsidP="00C93734">
            <w:pPr>
              <w:spacing w:after="120"/>
              <w:contextualSpacing/>
              <w:jc w:val="both"/>
              <w:cnfStyle w:val="100000000000" w:firstRow="1" w:lastRow="0" w:firstColumn="0" w:lastColumn="0" w:oddVBand="0" w:evenVBand="0" w:oddHBand="0" w:evenHBand="0" w:firstRowFirstColumn="0" w:firstRowLastColumn="0" w:lastRowFirstColumn="0" w:lastRowLastColumn="0"/>
              <w:rPr>
                <w:color w:val="000000"/>
              </w:rPr>
            </w:pPr>
            <w:r w:rsidRPr="00C249C9">
              <w:rPr>
                <w:color w:val="000000"/>
              </w:rPr>
              <w:t>Count of Firms</w:t>
            </w:r>
          </w:p>
        </w:tc>
        <w:tc>
          <w:tcPr>
            <w:tcW w:w="1630" w:type="dxa"/>
            <w:hideMark/>
          </w:tcPr>
          <w:p w14:paraId="3F661118" w14:textId="77777777" w:rsidR="00553FD5" w:rsidRPr="00C249C9" w:rsidRDefault="00553FD5" w:rsidP="00C93734">
            <w:pPr>
              <w:spacing w:after="120"/>
              <w:contextualSpacing/>
              <w:jc w:val="both"/>
              <w:cnfStyle w:val="100000000000" w:firstRow="1" w:lastRow="0" w:firstColumn="0" w:lastColumn="0" w:oddVBand="0" w:evenVBand="0" w:oddHBand="0" w:evenHBand="0" w:firstRowFirstColumn="0" w:firstRowLastColumn="0" w:lastRowFirstColumn="0" w:lastRowLastColumn="0"/>
              <w:rPr>
                <w:color w:val="000000"/>
              </w:rPr>
            </w:pPr>
            <w:r w:rsidRPr="00C249C9">
              <w:rPr>
                <w:color w:val="000000"/>
              </w:rPr>
              <w:t>% of key sector</w:t>
            </w:r>
          </w:p>
        </w:tc>
        <w:tc>
          <w:tcPr>
            <w:tcW w:w="1630" w:type="dxa"/>
            <w:hideMark/>
          </w:tcPr>
          <w:p w14:paraId="49AAAEB1" w14:textId="77777777" w:rsidR="00553FD5" w:rsidRPr="00C249C9" w:rsidRDefault="00553FD5" w:rsidP="00C93734">
            <w:pPr>
              <w:spacing w:after="120"/>
              <w:contextualSpacing/>
              <w:jc w:val="both"/>
              <w:cnfStyle w:val="100000000000" w:firstRow="1" w:lastRow="0" w:firstColumn="0" w:lastColumn="0" w:oddVBand="0" w:evenVBand="0" w:oddHBand="0" w:evenHBand="0" w:firstRowFirstColumn="0" w:firstRowLastColumn="0" w:lastRowFirstColumn="0" w:lastRowLastColumn="0"/>
              <w:rPr>
                <w:color w:val="000000"/>
              </w:rPr>
            </w:pPr>
            <w:r w:rsidRPr="00C249C9">
              <w:rPr>
                <w:color w:val="000000"/>
              </w:rPr>
              <w:t>Number of Employees</w:t>
            </w:r>
          </w:p>
        </w:tc>
        <w:tc>
          <w:tcPr>
            <w:tcW w:w="1630" w:type="dxa"/>
            <w:hideMark/>
          </w:tcPr>
          <w:p w14:paraId="33FCA880" w14:textId="77777777" w:rsidR="00553FD5" w:rsidRPr="00C249C9" w:rsidRDefault="00553FD5" w:rsidP="00C93734">
            <w:pPr>
              <w:spacing w:after="120"/>
              <w:contextualSpacing/>
              <w:jc w:val="both"/>
              <w:cnfStyle w:val="100000000000" w:firstRow="1" w:lastRow="0" w:firstColumn="0" w:lastColumn="0" w:oddVBand="0" w:evenVBand="0" w:oddHBand="0" w:evenHBand="0" w:firstRowFirstColumn="0" w:firstRowLastColumn="0" w:lastRowFirstColumn="0" w:lastRowLastColumn="0"/>
              <w:rPr>
                <w:color w:val="000000"/>
              </w:rPr>
            </w:pPr>
            <w:r w:rsidRPr="00C249C9">
              <w:rPr>
                <w:color w:val="000000"/>
              </w:rPr>
              <w:t>% of key sector employment</w:t>
            </w:r>
          </w:p>
        </w:tc>
      </w:tr>
      <w:tr w:rsidR="00553FD5" w:rsidRPr="00C249C9" w14:paraId="493FC742"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3318" w:type="dxa"/>
            <w:noWrap/>
            <w:hideMark/>
          </w:tcPr>
          <w:p w14:paraId="643E5A5A" w14:textId="77777777" w:rsidR="00553FD5" w:rsidRPr="00C249C9" w:rsidRDefault="00553FD5" w:rsidP="00C93734">
            <w:pPr>
              <w:spacing w:after="120"/>
              <w:contextualSpacing/>
              <w:jc w:val="both"/>
              <w:rPr>
                <w:color w:val="000000"/>
              </w:rPr>
            </w:pPr>
            <w:r w:rsidRPr="00C249C9">
              <w:rPr>
                <w:color w:val="000000"/>
              </w:rPr>
              <w:t>Renewables (&amp; Energy)</w:t>
            </w:r>
          </w:p>
        </w:tc>
        <w:tc>
          <w:tcPr>
            <w:tcW w:w="1630" w:type="dxa"/>
            <w:hideMark/>
          </w:tcPr>
          <w:p w14:paraId="471D0C21"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 xml:space="preserve">        430 </w:t>
            </w:r>
          </w:p>
        </w:tc>
        <w:tc>
          <w:tcPr>
            <w:tcW w:w="1630" w:type="dxa"/>
            <w:hideMark/>
          </w:tcPr>
          <w:p w14:paraId="40673B3C"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36.7%</w:t>
            </w:r>
          </w:p>
        </w:tc>
        <w:tc>
          <w:tcPr>
            <w:tcW w:w="1630" w:type="dxa"/>
            <w:hideMark/>
          </w:tcPr>
          <w:p w14:paraId="53584031"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 xml:space="preserve">     3,250 </w:t>
            </w:r>
          </w:p>
        </w:tc>
        <w:tc>
          <w:tcPr>
            <w:tcW w:w="1630" w:type="dxa"/>
            <w:noWrap/>
            <w:hideMark/>
          </w:tcPr>
          <w:p w14:paraId="7BA37801"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16.9%</w:t>
            </w:r>
          </w:p>
        </w:tc>
      </w:tr>
      <w:tr w:rsidR="00553FD5" w:rsidRPr="00C249C9" w14:paraId="3904C93B"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3318" w:type="dxa"/>
            <w:noWrap/>
            <w:hideMark/>
          </w:tcPr>
          <w:p w14:paraId="2ECC036C" w14:textId="77777777" w:rsidR="00553FD5" w:rsidRPr="00C249C9" w:rsidRDefault="00553FD5" w:rsidP="00C93734">
            <w:pPr>
              <w:spacing w:after="120"/>
              <w:contextualSpacing/>
              <w:jc w:val="both"/>
              <w:rPr>
                <w:color w:val="000000"/>
              </w:rPr>
            </w:pPr>
            <w:r w:rsidRPr="00C249C9">
              <w:rPr>
                <w:color w:val="000000"/>
              </w:rPr>
              <w:t>Port &amp; Logistics</w:t>
            </w:r>
          </w:p>
        </w:tc>
        <w:tc>
          <w:tcPr>
            <w:tcW w:w="1630" w:type="dxa"/>
            <w:hideMark/>
          </w:tcPr>
          <w:p w14:paraId="63AC14E8"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 xml:space="preserve">        220 </w:t>
            </w:r>
          </w:p>
        </w:tc>
        <w:tc>
          <w:tcPr>
            <w:tcW w:w="1630" w:type="dxa"/>
            <w:hideMark/>
          </w:tcPr>
          <w:p w14:paraId="5BAAFDD8"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18.9%</w:t>
            </w:r>
          </w:p>
        </w:tc>
        <w:tc>
          <w:tcPr>
            <w:tcW w:w="1630" w:type="dxa"/>
            <w:hideMark/>
          </w:tcPr>
          <w:p w14:paraId="49D92115"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 xml:space="preserve">     4,820 </w:t>
            </w:r>
          </w:p>
        </w:tc>
        <w:tc>
          <w:tcPr>
            <w:tcW w:w="1630" w:type="dxa"/>
            <w:noWrap/>
            <w:hideMark/>
          </w:tcPr>
          <w:p w14:paraId="29D705C3"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25.1%</w:t>
            </w:r>
          </w:p>
        </w:tc>
      </w:tr>
      <w:tr w:rsidR="00553FD5" w:rsidRPr="00C249C9" w14:paraId="5E5A179B"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3318" w:type="dxa"/>
            <w:noWrap/>
            <w:hideMark/>
          </w:tcPr>
          <w:p w14:paraId="07A8A98A" w14:textId="77777777" w:rsidR="00553FD5" w:rsidRPr="00C249C9" w:rsidRDefault="00553FD5" w:rsidP="00C93734">
            <w:pPr>
              <w:spacing w:after="120"/>
              <w:contextualSpacing/>
              <w:jc w:val="both"/>
              <w:rPr>
                <w:color w:val="000000"/>
              </w:rPr>
            </w:pPr>
            <w:r w:rsidRPr="00C249C9">
              <w:rPr>
                <w:color w:val="000000"/>
              </w:rPr>
              <w:t>Food Processing</w:t>
            </w:r>
          </w:p>
        </w:tc>
        <w:tc>
          <w:tcPr>
            <w:tcW w:w="1630" w:type="dxa"/>
            <w:hideMark/>
          </w:tcPr>
          <w:p w14:paraId="6C7CC316"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 xml:space="preserve">          90 </w:t>
            </w:r>
          </w:p>
        </w:tc>
        <w:tc>
          <w:tcPr>
            <w:tcW w:w="1630" w:type="dxa"/>
            <w:hideMark/>
          </w:tcPr>
          <w:p w14:paraId="0955066D"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7.5%</w:t>
            </w:r>
          </w:p>
        </w:tc>
        <w:tc>
          <w:tcPr>
            <w:tcW w:w="1630" w:type="dxa"/>
            <w:hideMark/>
          </w:tcPr>
          <w:p w14:paraId="1DE43893"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 xml:space="preserve">     4,100 </w:t>
            </w:r>
          </w:p>
        </w:tc>
        <w:tc>
          <w:tcPr>
            <w:tcW w:w="1630" w:type="dxa"/>
            <w:noWrap/>
            <w:hideMark/>
          </w:tcPr>
          <w:p w14:paraId="575B22FD"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21.3%</w:t>
            </w:r>
          </w:p>
        </w:tc>
      </w:tr>
      <w:tr w:rsidR="00553FD5" w:rsidRPr="00C249C9" w14:paraId="22E66355"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3318" w:type="dxa"/>
            <w:noWrap/>
            <w:hideMark/>
          </w:tcPr>
          <w:p w14:paraId="41486B07" w14:textId="77777777" w:rsidR="00553FD5" w:rsidRPr="00C249C9" w:rsidRDefault="00553FD5" w:rsidP="00C93734">
            <w:pPr>
              <w:spacing w:after="120"/>
              <w:contextualSpacing/>
              <w:jc w:val="both"/>
              <w:rPr>
                <w:color w:val="000000"/>
              </w:rPr>
            </w:pPr>
            <w:r w:rsidRPr="00C249C9">
              <w:rPr>
                <w:color w:val="000000"/>
              </w:rPr>
              <w:t>Chemicals &amp; Process Industries</w:t>
            </w:r>
          </w:p>
        </w:tc>
        <w:tc>
          <w:tcPr>
            <w:tcW w:w="1630" w:type="dxa"/>
            <w:hideMark/>
          </w:tcPr>
          <w:p w14:paraId="123EBD98"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 xml:space="preserve">          40 </w:t>
            </w:r>
          </w:p>
        </w:tc>
        <w:tc>
          <w:tcPr>
            <w:tcW w:w="1630" w:type="dxa"/>
            <w:hideMark/>
          </w:tcPr>
          <w:p w14:paraId="0BFC1FBA"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3.1%</w:t>
            </w:r>
          </w:p>
        </w:tc>
        <w:tc>
          <w:tcPr>
            <w:tcW w:w="1630" w:type="dxa"/>
            <w:hideMark/>
          </w:tcPr>
          <w:p w14:paraId="6259DC30"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 xml:space="preserve">     2,230 </w:t>
            </w:r>
          </w:p>
        </w:tc>
        <w:tc>
          <w:tcPr>
            <w:tcW w:w="1630" w:type="dxa"/>
            <w:noWrap/>
            <w:hideMark/>
          </w:tcPr>
          <w:p w14:paraId="2C61116E"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11.6%</w:t>
            </w:r>
          </w:p>
        </w:tc>
      </w:tr>
      <w:tr w:rsidR="00553FD5" w:rsidRPr="00C249C9" w14:paraId="445E6DAC"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3318" w:type="dxa"/>
            <w:noWrap/>
            <w:hideMark/>
          </w:tcPr>
          <w:p w14:paraId="7B7D7A75" w14:textId="77777777" w:rsidR="00553FD5" w:rsidRPr="00C249C9" w:rsidRDefault="00553FD5" w:rsidP="00C93734">
            <w:pPr>
              <w:spacing w:after="120"/>
              <w:contextualSpacing/>
              <w:jc w:val="both"/>
              <w:rPr>
                <w:color w:val="000000"/>
              </w:rPr>
            </w:pPr>
            <w:r w:rsidRPr="00C249C9">
              <w:rPr>
                <w:color w:val="000000"/>
              </w:rPr>
              <w:t>Visitor Economy &amp; Retail</w:t>
            </w:r>
          </w:p>
        </w:tc>
        <w:tc>
          <w:tcPr>
            <w:tcW w:w="1630" w:type="dxa"/>
            <w:hideMark/>
          </w:tcPr>
          <w:p w14:paraId="17CFDEC1"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 xml:space="preserve">        400 </w:t>
            </w:r>
          </w:p>
        </w:tc>
        <w:tc>
          <w:tcPr>
            <w:tcW w:w="1630" w:type="dxa"/>
            <w:hideMark/>
          </w:tcPr>
          <w:p w14:paraId="1CA15C85"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33.8%</w:t>
            </w:r>
          </w:p>
        </w:tc>
        <w:tc>
          <w:tcPr>
            <w:tcW w:w="1630" w:type="dxa"/>
            <w:hideMark/>
          </w:tcPr>
          <w:p w14:paraId="75671BF3"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 xml:space="preserve">     4,830 </w:t>
            </w:r>
          </w:p>
        </w:tc>
        <w:tc>
          <w:tcPr>
            <w:tcW w:w="1630" w:type="dxa"/>
            <w:noWrap/>
            <w:hideMark/>
          </w:tcPr>
          <w:p w14:paraId="0FA83DFB"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25.1%</w:t>
            </w:r>
          </w:p>
        </w:tc>
      </w:tr>
      <w:tr w:rsidR="00553FD5" w:rsidRPr="00C249C9" w14:paraId="1307713E"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3318" w:type="dxa"/>
            <w:noWrap/>
            <w:hideMark/>
          </w:tcPr>
          <w:p w14:paraId="75A22EC1" w14:textId="77777777" w:rsidR="00553FD5" w:rsidRPr="00C249C9" w:rsidRDefault="00553FD5" w:rsidP="00C93734">
            <w:pPr>
              <w:spacing w:after="120"/>
              <w:contextualSpacing/>
              <w:jc w:val="both"/>
              <w:rPr>
                <w:color w:val="000000"/>
              </w:rPr>
            </w:pPr>
          </w:p>
        </w:tc>
        <w:tc>
          <w:tcPr>
            <w:tcW w:w="1630" w:type="dxa"/>
            <w:hideMark/>
          </w:tcPr>
          <w:p w14:paraId="69E8A90F"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p>
        </w:tc>
        <w:tc>
          <w:tcPr>
            <w:tcW w:w="1630" w:type="dxa"/>
            <w:hideMark/>
          </w:tcPr>
          <w:p w14:paraId="1DAA8389"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p>
        </w:tc>
        <w:tc>
          <w:tcPr>
            <w:tcW w:w="1630" w:type="dxa"/>
            <w:hideMark/>
          </w:tcPr>
          <w:p w14:paraId="3184E581"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p>
        </w:tc>
        <w:tc>
          <w:tcPr>
            <w:tcW w:w="1630" w:type="dxa"/>
            <w:noWrap/>
            <w:hideMark/>
          </w:tcPr>
          <w:p w14:paraId="52654B52"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p>
        </w:tc>
      </w:tr>
      <w:tr w:rsidR="00553FD5" w:rsidRPr="00C249C9" w14:paraId="40684221"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3318" w:type="dxa"/>
            <w:noWrap/>
            <w:hideMark/>
          </w:tcPr>
          <w:p w14:paraId="1F9012F2" w14:textId="77777777" w:rsidR="00553FD5" w:rsidRPr="00C249C9" w:rsidRDefault="00553FD5" w:rsidP="00C93734">
            <w:pPr>
              <w:spacing w:after="120"/>
              <w:contextualSpacing/>
              <w:jc w:val="both"/>
              <w:rPr>
                <w:color w:val="000000"/>
              </w:rPr>
            </w:pPr>
            <w:r w:rsidRPr="00C249C9">
              <w:rPr>
                <w:color w:val="000000"/>
              </w:rPr>
              <w:t>Total Key Sector</w:t>
            </w:r>
          </w:p>
        </w:tc>
        <w:tc>
          <w:tcPr>
            <w:tcW w:w="1630" w:type="dxa"/>
            <w:hideMark/>
          </w:tcPr>
          <w:p w14:paraId="753382F6"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 xml:space="preserve">     1,180 </w:t>
            </w:r>
          </w:p>
        </w:tc>
        <w:tc>
          <w:tcPr>
            <w:tcW w:w="1630" w:type="dxa"/>
            <w:hideMark/>
          </w:tcPr>
          <w:p w14:paraId="54340849"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100%</w:t>
            </w:r>
          </w:p>
        </w:tc>
        <w:tc>
          <w:tcPr>
            <w:tcW w:w="1630" w:type="dxa"/>
            <w:hideMark/>
          </w:tcPr>
          <w:p w14:paraId="6B2EA82A" w14:textId="77777777" w:rsidR="00553FD5" w:rsidRPr="00C249C9" w:rsidRDefault="00553FD5" w:rsidP="00825547">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 xml:space="preserve">    19,</w:t>
            </w:r>
            <w:r w:rsidR="00825547" w:rsidRPr="00C249C9">
              <w:rPr>
                <w:color w:val="000000"/>
              </w:rPr>
              <w:t>2</w:t>
            </w:r>
            <w:r w:rsidR="00825547">
              <w:rPr>
                <w:color w:val="000000"/>
              </w:rPr>
              <w:t>3</w:t>
            </w:r>
            <w:r w:rsidR="00825547" w:rsidRPr="00C249C9">
              <w:rPr>
                <w:color w:val="000000"/>
              </w:rPr>
              <w:t xml:space="preserve">0 </w:t>
            </w:r>
          </w:p>
        </w:tc>
        <w:tc>
          <w:tcPr>
            <w:tcW w:w="1630" w:type="dxa"/>
            <w:noWrap/>
            <w:hideMark/>
          </w:tcPr>
          <w:p w14:paraId="77F656AE"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100%</w:t>
            </w:r>
          </w:p>
        </w:tc>
      </w:tr>
      <w:tr w:rsidR="00553FD5" w:rsidRPr="00C249C9" w14:paraId="36B69F24"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3318" w:type="dxa"/>
            <w:tcBorders>
              <w:bottom w:val="single" w:sz="2" w:space="0" w:color="000000" w:themeColor="dark1"/>
            </w:tcBorders>
            <w:noWrap/>
            <w:hideMark/>
          </w:tcPr>
          <w:p w14:paraId="7ABDBBA2" w14:textId="77777777" w:rsidR="00553FD5" w:rsidRPr="00C249C9" w:rsidRDefault="00553FD5" w:rsidP="00C93734">
            <w:pPr>
              <w:spacing w:after="120"/>
              <w:contextualSpacing/>
              <w:jc w:val="both"/>
              <w:rPr>
                <w:color w:val="000000"/>
              </w:rPr>
            </w:pPr>
            <w:r w:rsidRPr="00C249C9">
              <w:rPr>
                <w:color w:val="000000"/>
              </w:rPr>
              <w:t>Proportion of Total Economy</w:t>
            </w:r>
          </w:p>
        </w:tc>
        <w:tc>
          <w:tcPr>
            <w:tcW w:w="1630" w:type="dxa"/>
            <w:tcBorders>
              <w:bottom w:val="single" w:sz="2" w:space="0" w:color="000000" w:themeColor="dark1"/>
            </w:tcBorders>
            <w:hideMark/>
          </w:tcPr>
          <w:p w14:paraId="5BD43946"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p>
        </w:tc>
        <w:tc>
          <w:tcPr>
            <w:tcW w:w="1630" w:type="dxa"/>
            <w:tcBorders>
              <w:bottom w:val="single" w:sz="2" w:space="0" w:color="000000" w:themeColor="dark1"/>
            </w:tcBorders>
            <w:hideMark/>
          </w:tcPr>
          <w:p w14:paraId="77A62358"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26.9%</w:t>
            </w:r>
          </w:p>
        </w:tc>
        <w:tc>
          <w:tcPr>
            <w:tcW w:w="1630" w:type="dxa"/>
            <w:tcBorders>
              <w:bottom w:val="single" w:sz="2" w:space="0" w:color="000000" w:themeColor="dark1"/>
            </w:tcBorders>
            <w:hideMark/>
          </w:tcPr>
          <w:p w14:paraId="3BA6DCE8"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p>
        </w:tc>
        <w:tc>
          <w:tcPr>
            <w:tcW w:w="1630" w:type="dxa"/>
            <w:tcBorders>
              <w:bottom w:val="single" w:sz="2" w:space="0" w:color="000000" w:themeColor="dark1"/>
            </w:tcBorders>
            <w:noWrap/>
            <w:hideMark/>
          </w:tcPr>
          <w:p w14:paraId="0B758687"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29.8%</w:t>
            </w:r>
          </w:p>
        </w:tc>
      </w:tr>
      <w:tr w:rsidR="00553FD5" w:rsidRPr="00C249C9" w14:paraId="03C3A6B8"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3318" w:type="dxa"/>
            <w:tcBorders>
              <w:bottom w:val="single" w:sz="2" w:space="0" w:color="000000" w:themeColor="dark1"/>
            </w:tcBorders>
            <w:noWrap/>
            <w:hideMark/>
          </w:tcPr>
          <w:p w14:paraId="17040777" w14:textId="77777777" w:rsidR="00553FD5" w:rsidRPr="00C249C9" w:rsidRDefault="00553FD5" w:rsidP="00C93734">
            <w:pPr>
              <w:spacing w:after="120"/>
              <w:contextualSpacing/>
              <w:jc w:val="both"/>
              <w:rPr>
                <w:b/>
                <w:color w:val="000000"/>
              </w:rPr>
            </w:pPr>
          </w:p>
        </w:tc>
        <w:tc>
          <w:tcPr>
            <w:tcW w:w="1630" w:type="dxa"/>
            <w:tcBorders>
              <w:bottom w:val="single" w:sz="2" w:space="0" w:color="000000" w:themeColor="dark1"/>
            </w:tcBorders>
            <w:hideMark/>
          </w:tcPr>
          <w:p w14:paraId="109F1C7A"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p>
        </w:tc>
        <w:tc>
          <w:tcPr>
            <w:tcW w:w="1630" w:type="dxa"/>
            <w:tcBorders>
              <w:bottom w:val="single" w:sz="2" w:space="0" w:color="000000" w:themeColor="dark1"/>
            </w:tcBorders>
            <w:hideMark/>
          </w:tcPr>
          <w:p w14:paraId="4314294B" w14:textId="77777777" w:rsidR="00553FD5"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p>
        </w:tc>
        <w:tc>
          <w:tcPr>
            <w:tcW w:w="1630" w:type="dxa"/>
            <w:tcBorders>
              <w:bottom w:val="single" w:sz="2" w:space="0" w:color="000000" w:themeColor="dark1"/>
            </w:tcBorders>
            <w:hideMark/>
          </w:tcPr>
          <w:p w14:paraId="77810C31"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p>
        </w:tc>
        <w:tc>
          <w:tcPr>
            <w:tcW w:w="1630" w:type="dxa"/>
            <w:tcBorders>
              <w:bottom w:val="single" w:sz="2" w:space="0" w:color="000000" w:themeColor="dark1"/>
            </w:tcBorders>
            <w:noWrap/>
            <w:hideMark/>
          </w:tcPr>
          <w:p w14:paraId="2CBDADDC" w14:textId="77777777" w:rsidR="00553FD5"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p>
        </w:tc>
      </w:tr>
      <w:tr w:rsidR="00553FD5" w:rsidRPr="00C249C9" w14:paraId="299E7CD2"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3318" w:type="dxa"/>
            <w:noWrap/>
            <w:hideMark/>
          </w:tcPr>
          <w:p w14:paraId="03DF9380" w14:textId="77777777" w:rsidR="00553FD5" w:rsidRPr="00C249C9" w:rsidRDefault="00553FD5" w:rsidP="00C93734">
            <w:pPr>
              <w:spacing w:after="120"/>
              <w:contextualSpacing/>
              <w:jc w:val="both"/>
              <w:rPr>
                <w:b/>
                <w:color w:val="000000"/>
              </w:rPr>
            </w:pPr>
            <w:r w:rsidRPr="00C249C9">
              <w:rPr>
                <w:b/>
                <w:color w:val="000000"/>
              </w:rPr>
              <w:t>Total Economy</w:t>
            </w:r>
          </w:p>
        </w:tc>
        <w:tc>
          <w:tcPr>
            <w:tcW w:w="1630" w:type="dxa"/>
            <w:hideMark/>
          </w:tcPr>
          <w:p w14:paraId="332A40E2"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b/>
                <w:color w:val="000000"/>
              </w:rPr>
            </w:pPr>
            <w:r w:rsidRPr="00C249C9">
              <w:rPr>
                <w:b/>
                <w:color w:val="000000"/>
              </w:rPr>
              <w:t xml:space="preserve">     4,390 </w:t>
            </w:r>
          </w:p>
        </w:tc>
        <w:tc>
          <w:tcPr>
            <w:tcW w:w="1630" w:type="dxa"/>
            <w:hideMark/>
          </w:tcPr>
          <w:p w14:paraId="7707FE75"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b/>
                <w:color w:val="000000"/>
              </w:rPr>
            </w:pPr>
            <w:r w:rsidRPr="00C249C9">
              <w:rPr>
                <w:b/>
                <w:color w:val="000000"/>
              </w:rPr>
              <w:t xml:space="preserve"> </w:t>
            </w:r>
          </w:p>
        </w:tc>
        <w:tc>
          <w:tcPr>
            <w:tcW w:w="1630" w:type="dxa"/>
            <w:hideMark/>
          </w:tcPr>
          <w:p w14:paraId="08B9BEFA"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b/>
                <w:color w:val="000000"/>
              </w:rPr>
            </w:pPr>
            <w:r w:rsidRPr="00C249C9">
              <w:rPr>
                <w:b/>
                <w:color w:val="000000"/>
              </w:rPr>
              <w:t xml:space="preserve">    64,540 </w:t>
            </w:r>
          </w:p>
        </w:tc>
        <w:tc>
          <w:tcPr>
            <w:tcW w:w="1630" w:type="dxa"/>
            <w:noWrap/>
            <w:hideMark/>
          </w:tcPr>
          <w:p w14:paraId="58E022A8" w14:textId="77777777" w:rsidR="00553FD5" w:rsidRPr="00C249C9" w:rsidRDefault="00553FD5" w:rsidP="00C93734">
            <w:pPr>
              <w:spacing w:after="120"/>
              <w:contextualSpacing/>
              <w:jc w:val="both"/>
              <w:cnfStyle w:val="000000000000" w:firstRow="0" w:lastRow="0" w:firstColumn="0" w:lastColumn="0" w:oddVBand="0" w:evenVBand="0" w:oddHBand="0" w:evenHBand="0" w:firstRowFirstColumn="0" w:firstRowLastColumn="0" w:lastRowFirstColumn="0" w:lastRowLastColumn="0"/>
              <w:rPr>
                <w:color w:val="000000"/>
              </w:rPr>
            </w:pPr>
          </w:p>
        </w:tc>
      </w:tr>
    </w:tbl>
    <w:p w14:paraId="40274C72" w14:textId="77777777" w:rsidR="00553FD5" w:rsidRPr="002805F3" w:rsidRDefault="00553FD5" w:rsidP="00C93734">
      <w:pPr>
        <w:pStyle w:val="TableSource"/>
        <w:jc w:val="both"/>
        <w:rPr>
          <w:szCs w:val="16"/>
        </w:rPr>
      </w:pPr>
      <w:r w:rsidRPr="00C249C9">
        <w:t>Source: IDBR 2013, Note: Multiplier for Renewables (&amp; Energy) is reduced in the analysis because of previous analysis on firm size of the sector. Atkins Ref: Survey – A.0. Figures rounded</w:t>
      </w:r>
      <w:r w:rsidRPr="002805F3">
        <w:rPr>
          <w:szCs w:val="16"/>
        </w:rPr>
        <w:t>.</w:t>
      </w:r>
    </w:p>
    <w:p w14:paraId="3EAC882E" w14:textId="77777777" w:rsidR="00553FD5" w:rsidRPr="002805F3" w:rsidRDefault="00553FD5" w:rsidP="00C93734">
      <w:pPr>
        <w:pStyle w:val="BodyText"/>
        <w:jc w:val="both"/>
        <w:rPr>
          <w:szCs w:val="18"/>
        </w:rPr>
      </w:pPr>
      <w:r w:rsidRPr="002805F3">
        <w:rPr>
          <w:szCs w:val="18"/>
        </w:rPr>
        <w:t xml:space="preserve">Outputs </w:t>
      </w:r>
      <w:r>
        <w:rPr>
          <w:szCs w:val="18"/>
        </w:rPr>
        <w:t>(</w:t>
      </w:r>
      <w:r w:rsidRPr="002805F3">
        <w:rPr>
          <w:szCs w:val="18"/>
        </w:rPr>
        <w:t>where possible and where needed</w:t>
      </w:r>
      <w:r>
        <w:rPr>
          <w:szCs w:val="18"/>
        </w:rPr>
        <w:t>)</w:t>
      </w:r>
      <w:r w:rsidRPr="002805F3">
        <w:rPr>
          <w:szCs w:val="18"/>
        </w:rPr>
        <w:t xml:space="preserve"> were also stratified by employee size information, with the size of businesses from IDBR </w:t>
      </w:r>
      <w:r>
        <w:rPr>
          <w:szCs w:val="18"/>
        </w:rPr>
        <w:t>information utilised to provide</w:t>
      </w:r>
      <w:r w:rsidRPr="002805F3">
        <w:rPr>
          <w:szCs w:val="18"/>
        </w:rPr>
        <w:t xml:space="preserve"> the sampling frame (</w:t>
      </w:r>
      <w:r w:rsidR="00DF4291">
        <w:t xml:space="preserve">Table </w:t>
      </w:r>
      <w:r w:rsidR="00DF4291">
        <w:rPr>
          <w:noProof/>
        </w:rPr>
        <w:t>0</w:t>
      </w:r>
      <w:r w:rsidR="00DF4291">
        <w:t>-</w:t>
      </w:r>
      <w:r w:rsidR="00DF4291">
        <w:rPr>
          <w:noProof/>
        </w:rPr>
        <w:t>3</w:t>
      </w:r>
      <w:r w:rsidRPr="002805F3">
        <w:rPr>
          <w:szCs w:val="18"/>
        </w:rPr>
        <w:t>).</w:t>
      </w:r>
    </w:p>
    <w:p w14:paraId="7BF13396" w14:textId="77777777" w:rsidR="00553FD5" w:rsidRPr="002805F3" w:rsidRDefault="00553FD5" w:rsidP="00C93734">
      <w:pPr>
        <w:pStyle w:val="Heading9"/>
        <w:jc w:val="both"/>
      </w:pPr>
      <w:r w:rsidRPr="002805F3">
        <w:t>Populating the Sample</w:t>
      </w:r>
    </w:p>
    <w:p w14:paraId="6F54EA64" w14:textId="77777777" w:rsidR="00553FD5" w:rsidRPr="002805F3" w:rsidRDefault="00553FD5" w:rsidP="00C93734">
      <w:pPr>
        <w:pStyle w:val="BodyText"/>
        <w:jc w:val="both"/>
      </w:pPr>
      <w:r w:rsidRPr="002805F3">
        <w:t xml:space="preserve">Based on the key sector definitions, the business survey was stratified using </w:t>
      </w:r>
      <w:r w:rsidR="00825547">
        <w:t xml:space="preserve">a </w:t>
      </w:r>
      <w:r w:rsidRPr="002805F3">
        <w:t>sampling frame to be as representative</w:t>
      </w:r>
      <w:r w:rsidR="00825547">
        <w:t xml:space="preserve"> as possible</w:t>
      </w:r>
      <w:r w:rsidRPr="002805F3">
        <w:t xml:space="preserve"> of the wider key sector population. By categorising the sample </w:t>
      </w:r>
      <w:r w:rsidR="00825547">
        <w:t>using</w:t>
      </w:r>
      <w:r w:rsidR="00825547" w:rsidRPr="002805F3">
        <w:t xml:space="preserve"> </w:t>
      </w:r>
      <w:r w:rsidRPr="002805F3">
        <w:t xml:space="preserve">the </w:t>
      </w:r>
      <w:r w:rsidR="00825547">
        <w:t>broader</w:t>
      </w:r>
      <w:r w:rsidR="00825547" w:rsidRPr="002805F3">
        <w:t xml:space="preserve"> </w:t>
      </w:r>
      <w:r w:rsidRPr="002805F3">
        <w:t xml:space="preserve">definitions it was possible to make a comparison of the proportional number of firms within our sample with the wider population. </w:t>
      </w:r>
    </w:p>
    <w:p w14:paraId="27B0E38F" w14:textId="77777777" w:rsidR="00553FD5" w:rsidRDefault="00553FD5" w:rsidP="00C93734">
      <w:pPr>
        <w:pStyle w:val="Caption"/>
        <w:jc w:val="both"/>
      </w:pPr>
      <w:bookmarkStart w:id="625" w:name="_Ref391920850"/>
      <w:bookmarkStart w:id="626" w:name="_Toc383159703"/>
      <w:r>
        <w:t xml:space="preserve">Table </w:t>
      </w:r>
      <w:fldSimple w:instr=" STYLEREF 1 \s  \* MERGEFORMAT ">
        <w:r w:rsidR="00E95E1A">
          <w:rPr>
            <w:noProof/>
          </w:rPr>
          <w:t>0</w:t>
        </w:r>
      </w:fldSimple>
      <w:r>
        <w:t>-</w:t>
      </w:r>
      <w:fldSimple w:instr=" SEQ Table \* ARABIC \s 1  \* MERGEFORMAT ">
        <w:r w:rsidR="00E95E1A">
          <w:rPr>
            <w:noProof/>
          </w:rPr>
          <w:t>3</w:t>
        </w:r>
      </w:fldSimple>
      <w:bookmarkEnd w:id="625"/>
      <w:r>
        <w:tab/>
        <w:t>Sample Frame by Sub-Sector</w:t>
      </w:r>
      <w:bookmarkEnd w:id="626"/>
    </w:p>
    <w:tbl>
      <w:tblPr>
        <w:tblStyle w:val="Atkins14pt"/>
        <w:tblpPr w:leftFromText="180" w:rightFromText="180" w:vertAnchor="text" w:tblpY="1"/>
        <w:tblW w:w="7088" w:type="dxa"/>
        <w:tblInd w:w="0" w:type="dxa"/>
        <w:tblLayout w:type="fixed"/>
        <w:tblLook w:val="04A0" w:firstRow="1" w:lastRow="0" w:firstColumn="1" w:lastColumn="0" w:noHBand="0" w:noVBand="1"/>
      </w:tblPr>
      <w:tblGrid>
        <w:gridCol w:w="3700"/>
        <w:gridCol w:w="1129"/>
        <w:gridCol w:w="1129"/>
        <w:gridCol w:w="1130"/>
      </w:tblGrid>
      <w:tr w:rsidR="00553FD5" w:rsidRPr="00C249C9" w14:paraId="566639F6" w14:textId="77777777" w:rsidTr="007A1492">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3700" w:type="dxa"/>
            <w:noWrap/>
            <w:hideMark/>
          </w:tcPr>
          <w:p w14:paraId="4816A7B6" w14:textId="77777777" w:rsidR="00553FD5" w:rsidRPr="00C249C9" w:rsidRDefault="00553FD5" w:rsidP="00C93734">
            <w:pPr>
              <w:spacing w:after="120"/>
              <w:jc w:val="both"/>
              <w:rPr>
                <w:color w:val="000000"/>
              </w:rPr>
            </w:pPr>
            <w:r w:rsidRPr="00C249C9">
              <w:rPr>
                <w:color w:val="000000"/>
              </w:rPr>
              <w:t>Sector</w:t>
            </w:r>
          </w:p>
        </w:tc>
        <w:tc>
          <w:tcPr>
            <w:tcW w:w="1129" w:type="dxa"/>
            <w:noWrap/>
            <w:hideMark/>
          </w:tcPr>
          <w:p w14:paraId="282CC4E4" w14:textId="77777777" w:rsidR="00553FD5" w:rsidRPr="00C249C9" w:rsidRDefault="00553FD5" w:rsidP="00C93734">
            <w:pPr>
              <w:spacing w:after="120"/>
              <w:ind w:right="151"/>
              <w:jc w:val="both"/>
              <w:cnfStyle w:val="100000000000" w:firstRow="1" w:lastRow="0" w:firstColumn="0" w:lastColumn="0" w:oddVBand="0" w:evenVBand="0" w:oddHBand="0" w:evenHBand="0" w:firstRowFirstColumn="0" w:firstRowLastColumn="0" w:lastRowFirstColumn="0" w:lastRowLastColumn="0"/>
              <w:rPr>
                <w:color w:val="000000"/>
              </w:rPr>
            </w:pPr>
            <w:r w:rsidRPr="00C249C9">
              <w:rPr>
                <w:color w:val="000000"/>
              </w:rPr>
              <w:t>Survey</w:t>
            </w:r>
          </w:p>
        </w:tc>
        <w:tc>
          <w:tcPr>
            <w:tcW w:w="1129" w:type="dxa"/>
            <w:noWrap/>
            <w:hideMark/>
          </w:tcPr>
          <w:p w14:paraId="588A1526" w14:textId="77777777" w:rsidR="00553FD5" w:rsidRPr="00C249C9"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rPr>
            </w:pPr>
            <w:r w:rsidRPr="00C249C9">
              <w:rPr>
                <w:color w:val="000000"/>
              </w:rPr>
              <w:t>% of key sectors</w:t>
            </w:r>
          </w:p>
        </w:tc>
        <w:tc>
          <w:tcPr>
            <w:tcW w:w="1130" w:type="dxa"/>
            <w:noWrap/>
            <w:hideMark/>
          </w:tcPr>
          <w:p w14:paraId="445A4718" w14:textId="77777777" w:rsidR="00553FD5" w:rsidRPr="00C249C9"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rPr>
            </w:pPr>
            <w:r w:rsidRPr="00C249C9">
              <w:rPr>
                <w:color w:val="000000"/>
              </w:rPr>
              <w:t>Multiplier</w:t>
            </w:r>
          </w:p>
        </w:tc>
      </w:tr>
      <w:tr w:rsidR="00553FD5" w:rsidRPr="00C249C9" w14:paraId="023D6AE3"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3700" w:type="dxa"/>
            <w:noWrap/>
            <w:vAlign w:val="bottom"/>
            <w:hideMark/>
          </w:tcPr>
          <w:p w14:paraId="2ACA6ED5" w14:textId="77777777" w:rsidR="00553FD5" w:rsidRPr="00C249C9" w:rsidRDefault="00553FD5" w:rsidP="00C93734">
            <w:pPr>
              <w:spacing w:after="120"/>
              <w:jc w:val="both"/>
              <w:rPr>
                <w:color w:val="000000"/>
              </w:rPr>
            </w:pPr>
            <w:r w:rsidRPr="00C249C9">
              <w:rPr>
                <w:color w:val="000000"/>
              </w:rPr>
              <w:t>Renewables</w:t>
            </w:r>
            <w:r>
              <w:rPr>
                <w:color w:val="000000"/>
              </w:rPr>
              <w:t xml:space="preserve"> (&amp; Energy)</w:t>
            </w:r>
          </w:p>
        </w:tc>
        <w:tc>
          <w:tcPr>
            <w:tcW w:w="1129" w:type="dxa"/>
            <w:noWrap/>
            <w:vAlign w:val="bottom"/>
            <w:hideMark/>
          </w:tcPr>
          <w:p w14:paraId="330A9A67" w14:textId="77777777" w:rsidR="00553FD5" w:rsidRPr="00C249C9" w:rsidRDefault="00553FD5" w:rsidP="00C93734">
            <w:pPr>
              <w:spacing w:after="120"/>
              <w:ind w:right="151"/>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20</w:t>
            </w:r>
          </w:p>
        </w:tc>
        <w:tc>
          <w:tcPr>
            <w:tcW w:w="1129" w:type="dxa"/>
            <w:noWrap/>
            <w:vAlign w:val="bottom"/>
            <w:hideMark/>
          </w:tcPr>
          <w:p w14:paraId="38D21DA9" w14:textId="77777777" w:rsidR="00553FD5" w:rsidRPr="00C249C9" w:rsidRDefault="00553FD5" w:rsidP="00C93734">
            <w:pPr>
              <w:spacing w:after="120"/>
              <w:ind w:right="151"/>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6.8%</w:t>
            </w:r>
          </w:p>
        </w:tc>
        <w:tc>
          <w:tcPr>
            <w:tcW w:w="1130" w:type="dxa"/>
            <w:noWrap/>
            <w:vAlign w:val="bottom"/>
            <w:hideMark/>
          </w:tcPr>
          <w:p w14:paraId="6FC8B7BB" w14:textId="77777777" w:rsidR="00553FD5" w:rsidRPr="00C249C9" w:rsidRDefault="00553FD5" w:rsidP="00C93734">
            <w:pPr>
              <w:spacing w:after="120"/>
              <w:ind w:right="151"/>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10.85</w:t>
            </w:r>
          </w:p>
        </w:tc>
      </w:tr>
      <w:tr w:rsidR="00553FD5" w:rsidRPr="00C249C9" w14:paraId="0332D11E"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3700" w:type="dxa"/>
            <w:noWrap/>
            <w:vAlign w:val="bottom"/>
            <w:hideMark/>
          </w:tcPr>
          <w:p w14:paraId="093A33F3" w14:textId="77777777" w:rsidR="00553FD5" w:rsidRPr="00C249C9" w:rsidRDefault="00553FD5" w:rsidP="00C93734">
            <w:pPr>
              <w:spacing w:after="120"/>
              <w:jc w:val="both"/>
              <w:rPr>
                <w:color w:val="000000"/>
              </w:rPr>
            </w:pPr>
            <w:r w:rsidRPr="00C249C9">
              <w:rPr>
                <w:color w:val="000000"/>
              </w:rPr>
              <w:t>Ports &amp; Logistics</w:t>
            </w:r>
          </w:p>
        </w:tc>
        <w:tc>
          <w:tcPr>
            <w:tcW w:w="1129" w:type="dxa"/>
            <w:noWrap/>
            <w:vAlign w:val="bottom"/>
            <w:hideMark/>
          </w:tcPr>
          <w:p w14:paraId="18E7AE93" w14:textId="77777777" w:rsidR="00553FD5" w:rsidRPr="00C249C9" w:rsidRDefault="00553FD5" w:rsidP="00C93734">
            <w:pPr>
              <w:spacing w:after="120"/>
              <w:ind w:right="151"/>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69</w:t>
            </w:r>
          </w:p>
        </w:tc>
        <w:tc>
          <w:tcPr>
            <w:tcW w:w="1129" w:type="dxa"/>
            <w:noWrap/>
            <w:vAlign w:val="bottom"/>
            <w:hideMark/>
          </w:tcPr>
          <w:p w14:paraId="0B20F7D7" w14:textId="77777777" w:rsidR="00553FD5" w:rsidRPr="00C249C9" w:rsidRDefault="00553FD5" w:rsidP="00C93734">
            <w:pPr>
              <w:spacing w:after="120"/>
              <w:ind w:right="151"/>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23.5%</w:t>
            </w:r>
          </w:p>
        </w:tc>
        <w:tc>
          <w:tcPr>
            <w:tcW w:w="1130" w:type="dxa"/>
            <w:noWrap/>
            <w:vAlign w:val="bottom"/>
            <w:hideMark/>
          </w:tcPr>
          <w:p w14:paraId="0AD0B169" w14:textId="77777777" w:rsidR="00553FD5" w:rsidRPr="00C249C9" w:rsidRDefault="00553FD5" w:rsidP="00C93734">
            <w:pPr>
              <w:spacing w:after="120"/>
              <w:ind w:right="151"/>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4.63</w:t>
            </w:r>
          </w:p>
        </w:tc>
      </w:tr>
      <w:tr w:rsidR="00553FD5" w:rsidRPr="00C249C9" w14:paraId="097F5A59"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3700" w:type="dxa"/>
            <w:noWrap/>
            <w:vAlign w:val="bottom"/>
            <w:hideMark/>
          </w:tcPr>
          <w:p w14:paraId="4F8D1E10" w14:textId="77777777" w:rsidR="00553FD5" w:rsidRPr="00C249C9" w:rsidRDefault="00553FD5" w:rsidP="00C93734">
            <w:pPr>
              <w:spacing w:after="120"/>
              <w:jc w:val="both"/>
              <w:rPr>
                <w:color w:val="000000"/>
              </w:rPr>
            </w:pPr>
            <w:r w:rsidRPr="00C249C9">
              <w:rPr>
                <w:color w:val="000000"/>
              </w:rPr>
              <w:t>Food manufacturing</w:t>
            </w:r>
          </w:p>
        </w:tc>
        <w:tc>
          <w:tcPr>
            <w:tcW w:w="1129" w:type="dxa"/>
            <w:noWrap/>
            <w:vAlign w:val="bottom"/>
            <w:hideMark/>
          </w:tcPr>
          <w:p w14:paraId="73C729CF" w14:textId="77777777" w:rsidR="00553FD5" w:rsidRPr="00C249C9" w:rsidRDefault="00553FD5" w:rsidP="00C93734">
            <w:pPr>
              <w:spacing w:after="120"/>
              <w:ind w:right="151"/>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57</w:t>
            </w:r>
          </w:p>
        </w:tc>
        <w:tc>
          <w:tcPr>
            <w:tcW w:w="1129" w:type="dxa"/>
            <w:noWrap/>
            <w:vAlign w:val="bottom"/>
            <w:hideMark/>
          </w:tcPr>
          <w:p w14:paraId="3A9BE921" w14:textId="77777777" w:rsidR="00553FD5" w:rsidRPr="00C249C9" w:rsidRDefault="00553FD5" w:rsidP="00C93734">
            <w:pPr>
              <w:spacing w:after="120"/>
              <w:ind w:right="151"/>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19.4%</w:t>
            </w:r>
          </w:p>
        </w:tc>
        <w:tc>
          <w:tcPr>
            <w:tcW w:w="1130" w:type="dxa"/>
            <w:noWrap/>
            <w:vAlign w:val="bottom"/>
            <w:hideMark/>
          </w:tcPr>
          <w:p w14:paraId="0A4B6571" w14:textId="77777777" w:rsidR="00553FD5" w:rsidRPr="00C249C9" w:rsidRDefault="00553FD5" w:rsidP="00C93734">
            <w:pPr>
              <w:spacing w:after="120"/>
              <w:ind w:right="151"/>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1.54</w:t>
            </w:r>
          </w:p>
        </w:tc>
      </w:tr>
      <w:tr w:rsidR="00553FD5" w:rsidRPr="00C249C9" w14:paraId="72B21557"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3700" w:type="dxa"/>
            <w:noWrap/>
            <w:vAlign w:val="bottom"/>
            <w:hideMark/>
          </w:tcPr>
          <w:p w14:paraId="75B9C7F1" w14:textId="77777777" w:rsidR="00553FD5" w:rsidRPr="00C249C9" w:rsidRDefault="00553FD5" w:rsidP="00C93734">
            <w:pPr>
              <w:spacing w:after="120"/>
              <w:jc w:val="both"/>
              <w:rPr>
                <w:color w:val="000000"/>
              </w:rPr>
            </w:pPr>
            <w:r w:rsidRPr="00C249C9">
              <w:rPr>
                <w:color w:val="000000"/>
              </w:rPr>
              <w:t>Chemicals &amp; process industries</w:t>
            </w:r>
          </w:p>
        </w:tc>
        <w:tc>
          <w:tcPr>
            <w:tcW w:w="1129" w:type="dxa"/>
            <w:noWrap/>
            <w:vAlign w:val="bottom"/>
            <w:hideMark/>
          </w:tcPr>
          <w:p w14:paraId="733870EB" w14:textId="77777777" w:rsidR="00553FD5" w:rsidRPr="00C249C9" w:rsidRDefault="00553FD5" w:rsidP="00C93734">
            <w:pPr>
              <w:spacing w:after="120"/>
              <w:ind w:right="151"/>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21</w:t>
            </w:r>
          </w:p>
        </w:tc>
        <w:tc>
          <w:tcPr>
            <w:tcW w:w="1129" w:type="dxa"/>
            <w:noWrap/>
            <w:vAlign w:val="bottom"/>
            <w:hideMark/>
          </w:tcPr>
          <w:p w14:paraId="5750D7B0" w14:textId="77777777" w:rsidR="00553FD5" w:rsidRPr="00C249C9" w:rsidRDefault="00553FD5" w:rsidP="00C93734">
            <w:pPr>
              <w:spacing w:after="120"/>
              <w:ind w:right="151"/>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7.1%</w:t>
            </w:r>
          </w:p>
        </w:tc>
        <w:tc>
          <w:tcPr>
            <w:tcW w:w="1130" w:type="dxa"/>
            <w:noWrap/>
            <w:vAlign w:val="bottom"/>
            <w:hideMark/>
          </w:tcPr>
          <w:p w14:paraId="536F5F91" w14:textId="77777777" w:rsidR="00553FD5" w:rsidRPr="00C249C9" w:rsidRDefault="00553FD5" w:rsidP="00C93734">
            <w:pPr>
              <w:spacing w:after="120"/>
              <w:ind w:right="151"/>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1.76</w:t>
            </w:r>
          </w:p>
        </w:tc>
      </w:tr>
      <w:tr w:rsidR="00553FD5" w:rsidRPr="00C249C9" w14:paraId="24EF7197"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3700" w:type="dxa"/>
            <w:noWrap/>
            <w:vAlign w:val="bottom"/>
            <w:hideMark/>
          </w:tcPr>
          <w:p w14:paraId="34E99860" w14:textId="77777777" w:rsidR="00553FD5" w:rsidRPr="00C249C9" w:rsidRDefault="00553FD5" w:rsidP="00C93734">
            <w:pPr>
              <w:spacing w:after="120"/>
              <w:jc w:val="both"/>
              <w:rPr>
                <w:color w:val="000000"/>
              </w:rPr>
            </w:pPr>
            <w:r w:rsidRPr="00C249C9">
              <w:rPr>
                <w:color w:val="000000"/>
              </w:rPr>
              <w:t>Visitor Economy &amp; Retail</w:t>
            </w:r>
          </w:p>
        </w:tc>
        <w:tc>
          <w:tcPr>
            <w:tcW w:w="1129" w:type="dxa"/>
            <w:noWrap/>
            <w:vAlign w:val="bottom"/>
            <w:hideMark/>
          </w:tcPr>
          <w:p w14:paraId="008778C4" w14:textId="77777777" w:rsidR="00553FD5" w:rsidRPr="00C249C9" w:rsidRDefault="00553FD5" w:rsidP="00C93734">
            <w:pPr>
              <w:spacing w:after="120"/>
              <w:ind w:right="151"/>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127</w:t>
            </w:r>
          </w:p>
        </w:tc>
        <w:tc>
          <w:tcPr>
            <w:tcW w:w="1129" w:type="dxa"/>
            <w:noWrap/>
            <w:vAlign w:val="bottom"/>
            <w:hideMark/>
          </w:tcPr>
          <w:p w14:paraId="68309B2B" w14:textId="77777777" w:rsidR="00553FD5" w:rsidRPr="00C249C9" w:rsidRDefault="00553FD5" w:rsidP="00C93734">
            <w:pPr>
              <w:spacing w:after="120"/>
              <w:ind w:right="151"/>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43.2%</w:t>
            </w:r>
          </w:p>
        </w:tc>
        <w:tc>
          <w:tcPr>
            <w:tcW w:w="1130" w:type="dxa"/>
            <w:noWrap/>
            <w:vAlign w:val="bottom"/>
            <w:hideMark/>
          </w:tcPr>
          <w:p w14:paraId="2BBDA1A8" w14:textId="77777777" w:rsidR="00553FD5" w:rsidRPr="00C249C9" w:rsidRDefault="00553FD5" w:rsidP="00C93734">
            <w:pPr>
              <w:spacing w:after="120"/>
              <w:ind w:right="151"/>
              <w:jc w:val="both"/>
              <w:cnfStyle w:val="000000000000" w:firstRow="0" w:lastRow="0" w:firstColumn="0" w:lastColumn="0" w:oddVBand="0" w:evenVBand="0" w:oddHBand="0" w:evenHBand="0" w:firstRowFirstColumn="0" w:firstRowLastColumn="0" w:lastRowFirstColumn="0" w:lastRowLastColumn="0"/>
              <w:rPr>
                <w:color w:val="000000"/>
              </w:rPr>
            </w:pPr>
            <w:r w:rsidRPr="00C249C9">
              <w:rPr>
                <w:color w:val="000000"/>
              </w:rPr>
              <w:t>3.90</w:t>
            </w:r>
          </w:p>
        </w:tc>
      </w:tr>
      <w:tr w:rsidR="00553FD5" w:rsidRPr="00C249C9" w14:paraId="330B0949"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3700" w:type="dxa"/>
            <w:noWrap/>
            <w:vAlign w:val="bottom"/>
            <w:hideMark/>
          </w:tcPr>
          <w:p w14:paraId="10E5733E" w14:textId="77777777" w:rsidR="00553FD5" w:rsidRPr="00C249C9" w:rsidRDefault="00553FD5" w:rsidP="00C93734">
            <w:pPr>
              <w:spacing w:after="120"/>
              <w:jc w:val="both"/>
              <w:rPr>
                <w:color w:val="000000"/>
              </w:rPr>
            </w:pPr>
          </w:p>
        </w:tc>
        <w:tc>
          <w:tcPr>
            <w:tcW w:w="1129" w:type="dxa"/>
            <w:noWrap/>
            <w:vAlign w:val="bottom"/>
            <w:hideMark/>
          </w:tcPr>
          <w:p w14:paraId="4D82CCA4" w14:textId="77777777" w:rsidR="00553FD5" w:rsidRPr="00C249C9" w:rsidRDefault="00553FD5" w:rsidP="00C93734">
            <w:pPr>
              <w:spacing w:after="120"/>
              <w:ind w:right="151"/>
              <w:jc w:val="both"/>
              <w:cnfStyle w:val="000000000000" w:firstRow="0" w:lastRow="0" w:firstColumn="0" w:lastColumn="0" w:oddVBand="0" w:evenVBand="0" w:oddHBand="0" w:evenHBand="0" w:firstRowFirstColumn="0" w:firstRowLastColumn="0" w:lastRowFirstColumn="0" w:lastRowLastColumn="0"/>
              <w:rPr>
                <w:color w:val="000000"/>
              </w:rPr>
            </w:pPr>
          </w:p>
        </w:tc>
        <w:tc>
          <w:tcPr>
            <w:tcW w:w="1129" w:type="dxa"/>
            <w:noWrap/>
            <w:vAlign w:val="bottom"/>
            <w:hideMark/>
          </w:tcPr>
          <w:p w14:paraId="2DF1957B" w14:textId="77777777" w:rsidR="00553FD5" w:rsidRPr="00C249C9" w:rsidRDefault="00553FD5" w:rsidP="00C93734">
            <w:pPr>
              <w:spacing w:after="120"/>
              <w:ind w:right="151"/>
              <w:jc w:val="both"/>
              <w:cnfStyle w:val="000000000000" w:firstRow="0" w:lastRow="0" w:firstColumn="0" w:lastColumn="0" w:oddVBand="0" w:evenVBand="0" w:oddHBand="0" w:evenHBand="0" w:firstRowFirstColumn="0" w:firstRowLastColumn="0" w:lastRowFirstColumn="0" w:lastRowLastColumn="0"/>
              <w:rPr>
                <w:color w:val="000000"/>
              </w:rPr>
            </w:pPr>
          </w:p>
        </w:tc>
        <w:tc>
          <w:tcPr>
            <w:tcW w:w="1130" w:type="dxa"/>
            <w:noWrap/>
            <w:vAlign w:val="bottom"/>
            <w:hideMark/>
          </w:tcPr>
          <w:p w14:paraId="28006AB9" w14:textId="77777777" w:rsidR="00553FD5" w:rsidRPr="00C249C9" w:rsidRDefault="00553FD5" w:rsidP="00C93734">
            <w:pPr>
              <w:spacing w:after="120"/>
              <w:ind w:right="151"/>
              <w:jc w:val="both"/>
              <w:cnfStyle w:val="000000000000" w:firstRow="0" w:lastRow="0" w:firstColumn="0" w:lastColumn="0" w:oddVBand="0" w:evenVBand="0" w:oddHBand="0" w:evenHBand="0" w:firstRowFirstColumn="0" w:firstRowLastColumn="0" w:lastRowFirstColumn="0" w:lastRowLastColumn="0"/>
              <w:rPr>
                <w:color w:val="000000"/>
              </w:rPr>
            </w:pPr>
          </w:p>
        </w:tc>
      </w:tr>
      <w:tr w:rsidR="00553FD5" w:rsidRPr="00C249C9" w14:paraId="358438CE"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3700" w:type="dxa"/>
            <w:noWrap/>
            <w:vAlign w:val="bottom"/>
            <w:hideMark/>
          </w:tcPr>
          <w:p w14:paraId="496FF356" w14:textId="77777777" w:rsidR="00553FD5" w:rsidRPr="00C249C9" w:rsidRDefault="00553FD5" w:rsidP="00C93734">
            <w:pPr>
              <w:spacing w:after="120"/>
              <w:jc w:val="both"/>
              <w:rPr>
                <w:b/>
                <w:color w:val="000000"/>
              </w:rPr>
            </w:pPr>
            <w:r w:rsidRPr="00C249C9">
              <w:rPr>
                <w:b/>
                <w:color w:val="000000"/>
              </w:rPr>
              <w:t>Total Key Sectors</w:t>
            </w:r>
          </w:p>
        </w:tc>
        <w:tc>
          <w:tcPr>
            <w:tcW w:w="1129" w:type="dxa"/>
            <w:noWrap/>
            <w:vAlign w:val="bottom"/>
            <w:hideMark/>
          </w:tcPr>
          <w:p w14:paraId="66D6FE76" w14:textId="77777777" w:rsidR="00553FD5" w:rsidRPr="00C249C9" w:rsidRDefault="00553FD5" w:rsidP="00C93734">
            <w:pPr>
              <w:spacing w:after="120"/>
              <w:ind w:right="151"/>
              <w:jc w:val="both"/>
              <w:cnfStyle w:val="000000000000" w:firstRow="0" w:lastRow="0" w:firstColumn="0" w:lastColumn="0" w:oddVBand="0" w:evenVBand="0" w:oddHBand="0" w:evenHBand="0" w:firstRowFirstColumn="0" w:firstRowLastColumn="0" w:lastRowFirstColumn="0" w:lastRowLastColumn="0"/>
              <w:rPr>
                <w:b/>
                <w:color w:val="000000"/>
              </w:rPr>
            </w:pPr>
            <w:r w:rsidRPr="00C249C9">
              <w:rPr>
                <w:b/>
                <w:color w:val="000000"/>
              </w:rPr>
              <w:t>294</w:t>
            </w:r>
          </w:p>
        </w:tc>
        <w:tc>
          <w:tcPr>
            <w:tcW w:w="1129" w:type="dxa"/>
            <w:noWrap/>
            <w:vAlign w:val="bottom"/>
            <w:hideMark/>
          </w:tcPr>
          <w:p w14:paraId="60ECD500" w14:textId="77777777" w:rsidR="00553FD5" w:rsidRPr="00C249C9" w:rsidRDefault="00553FD5" w:rsidP="00C93734">
            <w:pPr>
              <w:spacing w:after="120"/>
              <w:ind w:right="151"/>
              <w:jc w:val="both"/>
              <w:cnfStyle w:val="000000000000" w:firstRow="0" w:lastRow="0" w:firstColumn="0" w:lastColumn="0" w:oddVBand="0" w:evenVBand="0" w:oddHBand="0" w:evenHBand="0" w:firstRowFirstColumn="0" w:firstRowLastColumn="0" w:lastRowFirstColumn="0" w:lastRowLastColumn="0"/>
              <w:rPr>
                <w:b/>
                <w:color w:val="000000"/>
              </w:rPr>
            </w:pPr>
            <w:r w:rsidRPr="00C249C9">
              <w:rPr>
                <w:b/>
                <w:color w:val="000000"/>
              </w:rPr>
              <w:t>100%</w:t>
            </w:r>
          </w:p>
        </w:tc>
        <w:tc>
          <w:tcPr>
            <w:tcW w:w="1130" w:type="dxa"/>
            <w:noWrap/>
            <w:vAlign w:val="bottom"/>
            <w:hideMark/>
          </w:tcPr>
          <w:p w14:paraId="78B43C8F" w14:textId="77777777" w:rsidR="00553FD5" w:rsidRPr="00C249C9" w:rsidRDefault="00553FD5" w:rsidP="00C93734">
            <w:pPr>
              <w:spacing w:after="120"/>
              <w:ind w:right="151"/>
              <w:jc w:val="both"/>
              <w:cnfStyle w:val="000000000000" w:firstRow="0" w:lastRow="0" w:firstColumn="0" w:lastColumn="0" w:oddVBand="0" w:evenVBand="0" w:oddHBand="0" w:evenHBand="0" w:firstRowFirstColumn="0" w:firstRowLastColumn="0" w:lastRowFirstColumn="0" w:lastRowLastColumn="0"/>
              <w:rPr>
                <w:b/>
                <w:color w:val="000000"/>
              </w:rPr>
            </w:pPr>
            <w:r w:rsidRPr="00C249C9">
              <w:rPr>
                <w:b/>
                <w:color w:val="000000"/>
              </w:rPr>
              <w:t>4.01</w:t>
            </w:r>
          </w:p>
        </w:tc>
      </w:tr>
    </w:tbl>
    <w:p w14:paraId="2C83FE3E" w14:textId="77777777" w:rsidR="00553FD5" w:rsidRPr="002805F3" w:rsidRDefault="00553FD5" w:rsidP="00C93734">
      <w:pPr>
        <w:pStyle w:val="BodyText"/>
        <w:jc w:val="both"/>
        <w:rPr>
          <w:sz w:val="16"/>
          <w:szCs w:val="18"/>
        </w:rPr>
      </w:pPr>
    </w:p>
    <w:p w14:paraId="5EBD6E55" w14:textId="77777777" w:rsidR="00553FD5" w:rsidRPr="002805F3" w:rsidRDefault="00553FD5" w:rsidP="00C93734">
      <w:pPr>
        <w:pStyle w:val="BodyText"/>
        <w:jc w:val="both"/>
        <w:rPr>
          <w:sz w:val="16"/>
          <w:szCs w:val="18"/>
        </w:rPr>
      </w:pPr>
    </w:p>
    <w:p w14:paraId="243E9C9B" w14:textId="77777777" w:rsidR="00553FD5" w:rsidRPr="002805F3" w:rsidRDefault="00553FD5" w:rsidP="00C93734">
      <w:pPr>
        <w:pStyle w:val="BodyText"/>
        <w:jc w:val="both"/>
        <w:rPr>
          <w:sz w:val="16"/>
          <w:szCs w:val="18"/>
        </w:rPr>
      </w:pPr>
    </w:p>
    <w:p w14:paraId="110AA51A" w14:textId="77777777" w:rsidR="00553FD5" w:rsidRPr="002805F3" w:rsidRDefault="00553FD5" w:rsidP="00C93734">
      <w:pPr>
        <w:pStyle w:val="BodyText"/>
        <w:jc w:val="both"/>
        <w:rPr>
          <w:sz w:val="16"/>
          <w:szCs w:val="18"/>
        </w:rPr>
      </w:pPr>
    </w:p>
    <w:p w14:paraId="606C9229" w14:textId="77777777" w:rsidR="00553FD5" w:rsidRPr="002805F3" w:rsidRDefault="00553FD5" w:rsidP="00C93734">
      <w:pPr>
        <w:pStyle w:val="BodyText"/>
        <w:jc w:val="both"/>
        <w:rPr>
          <w:sz w:val="16"/>
          <w:szCs w:val="18"/>
        </w:rPr>
      </w:pPr>
    </w:p>
    <w:p w14:paraId="4030262E" w14:textId="77777777" w:rsidR="00553FD5" w:rsidRPr="002805F3" w:rsidRDefault="00553FD5" w:rsidP="00C93734">
      <w:pPr>
        <w:pStyle w:val="TableSource"/>
        <w:jc w:val="both"/>
        <w:rPr>
          <w:b/>
        </w:rPr>
      </w:pPr>
      <w:r w:rsidRPr="002805F3">
        <w:br w:type="textWrapping" w:clear="all"/>
        <w:t>Source: Hill Taylor &amp; Atkins 2013. Note: Renewables and Energy multiplier reduced because</w:t>
      </w:r>
      <w:r>
        <w:t xml:space="preserve"> of</w:t>
      </w:r>
      <w:r w:rsidRPr="002805F3">
        <w:t xml:space="preserve"> size of sector . Source: IDBR 2013 Atkins Ref: Survey – A</w:t>
      </w:r>
      <w:r w:rsidR="00A41064">
        <w:t>0.</w:t>
      </w:r>
    </w:p>
    <w:p w14:paraId="12359326" w14:textId="77777777" w:rsidR="00553FD5" w:rsidRPr="002805F3" w:rsidRDefault="00553FD5" w:rsidP="00C93734">
      <w:pPr>
        <w:pStyle w:val="BodyText"/>
        <w:jc w:val="both"/>
      </w:pPr>
      <w:r w:rsidRPr="002805F3">
        <w:t>In addition to stratifying the sample by sector and business size</w:t>
      </w:r>
      <w:r w:rsidR="003E7DC9" w:rsidRPr="002805F3">
        <w:t xml:space="preserve"> (</w:t>
      </w:r>
      <w:r w:rsidR="003E7DC9">
        <w:t xml:space="preserve">as measured by </w:t>
      </w:r>
      <w:r w:rsidR="003E7DC9" w:rsidRPr="002805F3">
        <w:t>number of employees)</w:t>
      </w:r>
      <w:r w:rsidRPr="002805F3">
        <w:t xml:space="preserve">, the sample was also analysed </w:t>
      </w:r>
      <w:r w:rsidR="003E7DC9">
        <w:t>and</w:t>
      </w:r>
      <w:r w:rsidR="003E7DC9" w:rsidRPr="002805F3">
        <w:t xml:space="preserve"> </w:t>
      </w:r>
      <w:r w:rsidRPr="002805F3">
        <w:t xml:space="preserve">stratified with consideration to annual turnover and business size. </w:t>
      </w:r>
    </w:p>
    <w:p w14:paraId="2C5AC384" w14:textId="77777777" w:rsidR="00553FD5" w:rsidRPr="002805F3" w:rsidRDefault="00553FD5" w:rsidP="00C93734">
      <w:pPr>
        <w:pStyle w:val="BodyText"/>
        <w:jc w:val="both"/>
      </w:pPr>
      <w:r w:rsidRPr="002805F3">
        <w:t xml:space="preserve">There were differences in the number of responses to certain questions because of the sensitivity of the topic. For example, all of the 294 firms interviewed gave responses to the questions regarding the number of staff but only 236 responded to turnover. </w:t>
      </w:r>
      <w:r>
        <w:t>Where sample sizes were too small this has been noted.</w:t>
      </w:r>
    </w:p>
    <w:p w14:paraId="310B66F6" w14:textId="77777777" w:rsidR="00553FD5" w:rsidRPr="002805F3" w:rsidRDefault="00553FD5" w:rsidP="00C93734">
      <w:pPr>
        <w:pStyle w:val="Heading8"/>
        <w:jc w:val="both"/>
      </w:pPr>
      <w:r w:rsidRPr="002805F3">
        <w:t>Survey Outputs</w:t>
      </w:r>
    </w:p>
    <w:p w14:paraId="1D79B433" w14:textId="77777777" w:rsidR="00553FD5" w:rsidRPr="002805F3" w:rsidRDefault="00553FD5" w:rsidP="00C93734">
      <w:pPr>
        <w:pStyle w:val="BodyText"/>
        <w:jc w:val="both"/>
      </w:pPr>
      <w:r w:rsidRPr="002805F3">
        <w:t xml:space="preserve">The remainder of this appendix details the main quantitative findings from the quantitative telephone surveys, including our estimates of the overall gross domestic product (GDP) contribution to the economy and the gross value added (GVA) by the sectors within the economic study area. </w:t>
      </w:r>
    </w:p>
    <w:p w14:paraId="6102D148" w14:textId="77777777" w:rsidR="00553FD5" w:rsidRPr="002805F3" w:rsidRDefault="00553FD5" w:rsidP="00C93734">
      <w:pPr>
        <w:pStyle w:val="BodyText"/>
        <w:jc w:val="both"/>
      </w:pPr>
      <w:r w:rsidRPr="002805F3">
        <w:t xml:space="preserve">When undertaking business surveys of this nature, asking respondents about the nature of their operation and the scale in terms of employment will typically yield a high response rate. However, firms are often reticent to respond to questions asking about detailed financial information. As such, when asking about the size of business in terms of turnover, respondents were offered a number of ranges as options as opposed to giving precise details. Whilst this will normally yield a higher response rate, it is a limiting factor in terms of assessing the size of sectors.  </w:t>
      </w:r>
    </w:p>
    <w:p w14:paraId="44239F4F" w14:textId="77777777" w:rsidR="00553FD5" w:rsidRPr="002805F3" w:rsidRDefault="007A1492" w:rsidP="00C93734">
      <w:pPr>
        <w:pStyle w:val="Heading7"/>
        <w:jc w:val="both"/>
      </w:pPr>
      <w:bookmarkStart w:id="627" w:name="_Toc395103939"/>
      <w:r w:rsidRPr="002805F3">
        <w:t>Size of sectors</w:t>
      </w:r>
      <w:bookmarkEnd w:id="627"/>
    </w:p>
    <w:p w14:paraId="25A35F9C" w14:textId="77777777" w:rsidR="00553FD5" w:rsidRPr="002805F3" w:rsidRDefault="00553FD5" w:rsidP="00C93734">
      <w:pPr>
        <w:pStyle w:val="BodyText"/>
        <w:jc w:val="both"/>
        <w:rPr>
          <w:b/>
        </w:rPr>
      </w:pPr>
      <w:r w:rsidRPr="002805F3">
        <w:rPr>
          <w:b/>
        </w:rPr>
        <w:t>Sector Contribution to GDP</w:t>
      </w:r>
    </w:p>
    <w:p w14:paraId="0797A936" w14:textId="77777777" w:rsidR="00553FD5" w:rsidRPr="002805F3" w:rsidRDefault="00553FD5" w:rsidP="00C93734">
      <w:pPr>
        <w:pStyle w:val="BodyText"/>
        <w:jc w:val="both"/>
      </w:pPr>
      <w:r w:rsidRPr="002805F3">
        <w:t>From our sample, we have established the range of total annual turnover of each business within each sector (see</w:t>
      </w:r>
      <w:r w:rsidR="00DF4291">
        <w:t xml:space="preserve"> Table </w:t>
      </w:r>
      <w:r w:rsidR="00DF4291">
        <w:rPr>
          <w:noProof/>
        </w:rPr>
        <w:t>0</w:t>
      </w:r>
      <w:r w:rsidR="00DF4291">
        <w:t>-</w:t>
      </w:r>
      <w:r w:rsidR="00DF4291">
        <w:rPr>
          <w:noProof/>
        </w:rPr>
        <w:t>4</w:t>
      </w:r>
      <w:r w:rsidRPr="002805F3">
        <w:t>).</w:t>
      </w:r>
    </w:p>
    <w:p w14:paraId="60431F4F" w14:textId="77777777" w:rsidR="00553FD5" w:rsidRDefault="00553FD5" w:rsidP="00C93734">
      <w:pPr>
        <w:pStyle w:val="Caption"/>
        <w:jc w:val="both"/>
      </w:pPr>
      <w:bookmarkStart w:id="628" w:name="_Ref391920862"/>
      <w:bookmarkStart w:id="629" w:name="_Toc383159704"/>
      <w:r>
        <w:t xml:space="preserve">Table </w:t>
      </w:r>
      <w:fldSimple w:instr=" STYLEREF 1 \s  \* MERGEFORMAT ">
        <w:r w:rsidR="00E95E1A">
          <w:rPr>
            <w:noProof/>
          </w:rPr>
          <w:t>0</w:t>
        </w:r>
      </w:fldSimple>
      <w:r>
        <w:t>-</w:t>
      </w:r>
      <w:fldSimple w:instr=" SEQ Table \* ARABIC \s 1  \* MERGEFORMAT ">
        <w:r w:rsidR="00E95E1A">
          <w:rPr>
            <w:noProof/>
          </w:rPr>
          <w:t>4</w:t>
        </w:r>
      </w:fldSimple>
      <w:bookmarkEnd w:id="628"/>
      <w:r>
        <w:tab/>
        <w:t>Total Annual Turnover for Survey Sample</w:t>
      </w:r>
      <w:bookmarkEnd w:id="629"/>
    </w:p>
    <w:tbl>
      <w:tblPr>
        <w:tblStyle w:val="Atkins14pt"/>
        <w:tblW w:w="9781" w:type="dxa"/>
        <w:tblLayout w:type="fixed"/>
        <w:tblLook w:val="04A0" w:firstRow="1" w:lastRow="0" w:firstColumn="1" w:lastColumn="0" w:noHBand="0" w:noVBand="1"/>
      </w:tblPr>
      <w:tblGrid>
        <w:gridCol w:w="2141"/>
        <w:gridCol w:w="1528"/>
        <w:gridCol w:w="1528"/>
        <w:gridCol w:w="1528"/>
        <w:gridCol w:w="1528"/>
        <w:gridCol w:w="1528"/>
      </w:tblGrid>
      <w:tr w:rsidR="00553FD5" w:rsidRPr="002805F3" w14:paraId="3193389A" w14:textId="77777777" w:rsidTr="007A1492">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141" w:type="dxa"/>
            <w:noWrap/>
            <w:hideMark/>
          </w:tcPr>
          <w:p w14:paraId="0A14F75D" w14:textId="77777777" w:rsidR="00553FD5" w:rsidRPr="002805F3" w:rsidRDefault="00553FD5" w:rsidP="00C93734">
            <w:pPr>
              <w:spacing w:after="120"/>
              <w:jc w:val="both"/>
              <w:rPr>
                <w:color w:val="000000"/>
              </w:rPr>
            </w:pPr>
            <w:r>
              <w:rPr>
                <w:color w:val="000000"/>
              </w:rPr>
              <w:t>Turnover</w:t>
            </w:r>
            <w:r w:rsidR="00BA6A7B">
              <w:rPr>
                <w:color w:val="000000"/>
              </w:rPr>
              <w:t xml:space="preserve"> band</w:t>
            </w:r>
          </w:p>
        </w:tc>
        <w:tc>
          <w:tcPr>
            <w:tcW w:w="1528" w:type="dxa"/>
            <w:noWrap/>
            <w:hideMark/>
          </w:tcPr>
          <w:p w14:paraId="61626035" w14:textId="77777777" w:rsidR="00553FD5" w:rsidRPr="002805F3" w:rsidRDefault="00553FD5" w:rsidP="00C93734">
            <w:pPr>
              <w:spacing w:after="120"/>
              <w:ind w:right="125"/>
              <w:jc w:val="both"/>
              <w:cnfStyle w:val="100000000000" w:firstRow="1" w:lastRow="0" w:firstColumn="0" w:lastColumn="0" w:oddVBand="0" w:evenVBand="0" w:oddHBand="0" w:evenHBand="0" w:firstRowFirstColumn="0" w:firstRowLastColumn="0" w:lastRowFirstColumn="0" w:lastRowLastColumn="0"/>
              <w:rPr>
                <w:color w:val="000000"/>
                <w:sz w:val="22"/>
              </w:rPr>
            </w:pPr>
            <w:r w:rsidRPr="002805F3">
              <w:rPr>
                <w:color w:val="000000"/>
                <w:sz w:val="22"/>
              </w:rPr>
              <w:t>Renewables</w:t>
            </w:r>
          </w:p>
        </w:tc>
        <w:tc>
          <w:tcPr>
            <w:tcW w:w="1528" w:type="dxa"/>
            <w:noWrap/>
            <w:hideMark/>
          </w:tcPr>
          <w:p w14:paraId="1611BEA7" w14:textId="77777777" w:rsidR="00553FD5" w:rsidRPr="002805F3" w:rsidRDefault="00553FD5" w:rsidP="00C93734">
            <w:pPr>
              <w:spacing w:after="120"/>
              <w:ind w:right="125"/>
              <w:jc w:val="both"/>
              <w:cnfStyle w:val="100000000000" w:firstRow="1" w:lastRow="0" w:firstColumn="0" w:lastColumn="0" w:oddVBand="0" w:evenVBand="0" w:oddHBand="0" w:evenHBand="0" w:firstRowFirstColumn="0" w:firstRowLastColumn="0" w:lastRowFirstColumn="0" w:lastRowLastColumn="0"/>
              <w:rPr>
                <w:color w:val="000000"/>
                <w:sz w:val="22"/>
              </w:rPr>
            </w:pPr>
            <w:r w:rsidRPr="002805F3">
              <w:rPr>
                <w:color w:val="000000"/>
                <w:sz w:val="22"/>
              </w:rPr>
              <w:t>Ports &amp; Logistics</w:t>
            </w:r>
          </w:p>
        </w:tc>
        <w:tc>
          <w:tcPr>
            <w:tcW w:w="1528" w:type="dxa"/>
            <w:noWrap/>
            <w:hideMark/>
          </w:tcPr>
          <w:p w14:paraId="41CBC7A3" w14:textId="77777777" w:rsidR="00553FD5" w:rsidRPr="002805F3" w:rsidRDefault="00553FD5" w:rsidP="00C93734">
            <w:pPr>
              <w:spacing w:after="120"/>
              <w:ind w:right="125"/>
              <w:jc w:val="both"/>
              <w:cnfStyle w:val="100000000000" w:firstRow="1" w:lastRow="0" w:firstColumn="0" w:lastColumn="0" w:oddVBand="0" w:evenVBand="0" w:oddHBand="0" w:evenHBand="0" w:firstRowFirstColumn="0" w:firstRowLastColumn="0" w:lastRowFirstColumn="0" w:lastRowLastColumn="0"/>
              <w:rPr>
                <w:color w:val="000000"/>
                <w:sz w:val="22"/>
              </w:rPr>
            </w:pPr>
            <w:r w:rsidRPr="002805F3">
              <w:rPr>
                <w:color w:val="000000"/>
                <w:sz w:val="22"/>
              </w:rPr>
              <w:t>Food manufacturing</w:t>
            </w:r>
          </w:p>
        </w:tc>
        <w:tc>
          <w:tcPr>
            <w:tcW w:w="1528" w:type="dxa"/>
            <w:noWrap/>
            <w:hideMark/>
          </w:tcPr>
          <w:p w14:paraId="41B6902E" w14:textId="77777777" w:rsidR="00553FD5" w:rsidRPr="002805F3" w:rsidRDefault="00553FD5" w:rsidP="00C93734">
            <w:pPr>
              <w:spacing w:after="120"/>
              <w:ind w:right="125"/>
              <w:jc w:val="both"/>
              <w:cnfStyle w:val="100000000000" w:firstRow="1" w:lastRow="0" w:firstColumn="0" w:lastColumn="0" w:oddVBand="0" w:evenVBand="0" w:oddHBand="0" w:evenHBand="0" w:firstRowFirstColumn="0" w:firstRowLastColumn="0" w:lastRowFirstColumn="0" w:lastRowLastColumn="0"/>
              <w:rPr>
                <w:color w:val="000000"/>
                <w:sz w:val="22"/>
              </w:rPr>
            </w:pPr>
            <w:r w:rsidRPr="002805F3">
              <w:rPr>
                <w:color w:val="000000"/>
                <w:sz w:val="22"/>
              </w:rPr>
              <w:t>Chemicals &amp; process industries</w:t>
            </w:r>
          </w:p>
        </w:tc>
        <w:tc>
          <w:tcPr>
            <w:tcW w:w="1528" w:type="dxa"/>
            <w:noWrap/>
            <w:hideMark/>
          </w:tcPr>
          <w:p w14:paraId="13C617FE" w14:textId="77777777" w:rsidR="00553FD5" w:rsidRPr="002805F3" w:rsidRDefault="00553FD5" w:rsidP="00C93734">
            <w:pPr>
              <w:spacing w:after="120"/>
              <w:ind w:right="125"/>
              <w:jc w:val="both"/>
              <w:cnfStyle w:val="100000000000" w:firstRow="1" w:lastRow="0" w:firstColumn="0" w:lastColumn="0" w:oddVBand="0" w:evenVBand="0" w:oddHBand="0" w:evenHBand="0" w:firstRowFirstColumn="0" w:firstRowLastColumn="0" w:lastRowFirstColumn="0" w:lastRowLastColumn="0"/>
              <w:rPr>
                <w:color w:val="000000"/>
                <w:sz w:val="22"/>
              </w:rPr>
            </w:pPr>
            <w:r w:rsidRPr="002805F3">
              <w:rPr>
                <w:color w:val="000000"/>
                <w:sz w:val="22"/>
              </w:rPr>
              <w:t>Visitor Economy &amp; Retail</w:t>
            </w:r>
          </w:p>
        </w:tc>
      </w:tr>
      <w:tr w:rsidR="00553FD5" w:rsidRPr="002805F3" w14:paraId="26E38C3D"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2141" w:type="dxa"/>
            <w:noWrap/>
            <w:hideMark/>
          </w:tcPr>
          <w:p w14:paraId="77EF30CD" w14:textId="77777777" w:rsidR="00553FD5" w:rsidRPr="002805F3" w:rsidRDefault="00553FD5" w:rsidP="00C93734">
            <w:pPr>
              <w:spacing w:after="120"/>
              <w:jc w:val="both"/>
              <w:rPr>
                <w:color w:val="000000"/>
              </w:rPr>
            </w:pPr>
            <w:r w:rsidRPr="002805F3">
              <w:rPr>
                <w:color w:val="000000"/>
              </w:rPr>
              <w:t>Less than £100K p.a.</w:t>
            </w:r>
          </w:p>
        </w:tc>
        <w:tc>
          <w:tcPr>
            <w:tcW w:w="1528" w:type="dxa"/>
            <w:noWrap/>
            <w:hideMark/>
          </w:tcPr>
          <w:p w14:paraId="2E3025E7"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£250,000</w:t>
            </w:r>
          </w:p>
        </w:tc>
        <w:tc>
          <w:tcPr>
            <w:tcW w:w="1528" w:type="dxa"/>
            <w:noWrap/>
            <w:hideMark/>
          </w:tcPr>
          <w:p w14:paraId="082AEB75"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£150,000</w:t>
            </w:r>
          </w:p>
        </w:tc>
        <w:tc>
          <w:tcPr>
            <w:tcW w:w="1528" w:type="dxa"/>
            <w:noWrap/>
            <w:hideMark/>
          </w:tcPr>
          <w:p w14:paraId="7197A77D"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£700,000</w:t>
            </w:r>
          </w:p>
        </w:tc>
        <w:tc>
          <w:tcPr>
            <w:tcW w:w="1528" w:type="dxa"/>
            <w:noWrap/>
            <w:hideMark/>
          </w:tcPr>
          <w:p w14:paraId="62016B42"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£50,000</w:t>
            </w:r>
          </w:p>
        </w:tc>
        <w:tc>
          <w:tcPr>
            <w:tcW w:w="1528" w:type="dxa"/>
            <w:noWrap/>
            <w:hideMark/>
          </w:tcPr>
          <w:p w14:paraId="6B7C9EC3"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£2,350,000</w:t>
            </w:r>
          </w:p>
        </w:tc>
      </w:tr>
      <w:tr w:rsidR="00553FD5" w:rsidRPr="002805F3" w14:paraId="6D5640EE"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2141" w:type="dxa"/>
            <w:noWrap/>
            <w:hideMark/>
          </w:tcPr>
          <w:p w14:paraId="0287BB22" w14:textId="77777777" w:rsidR="00553FD5" w:rsidRPr="002805F3" w:rsidRDefault="00553FD5" w:rsidP="00C93734">
            <w:pPr>
              <w:spacing w:after="120"/>
              <w:jc w:val="both"/>
              <w:rPr>
                <w:color w:val="000000"/>
              </w:rPr>
            </w:pPr>
            <w:r w:rsidRPr="002805F3">
              <w:rPr>
                <w:color w:val="000000"/>
              </w:rPr>
              <w:t>£100K to £250K p.a.</w:t>
            </w:r>
          </w:p>
        </w:tc>
        <w:tc>
          <w:tcPr>
            <w:tcW w:w="1528" w:type="dxa"/>
            <w:noWrap/>
            <w:hideMark/>
          </w:tcPr>
          <w:p w14:paraId="2C22B8F5"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£350,000</w:t>
            </w:r>
          </w:p>
        </w:tc>
        <w:tc>
          <w:tcPr>
            <w:tcW w:w="1528" w:type="dxa"/>
            <w:noWrap/>
            <w:hideMark/>
          </w:tcPr>
          <w:p w14:paraId="4B1E4BEC"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£1,050,000</w:t>
            </w:r>
          </w:p>
        </w:tc>
        <w:tc>
          <w:tcPr>
            <w:tcW w:w="1528" w:type="dxa"/>
            <w:noWrap/>
            <w:hideMark/>
          </w:tcPr>
          <w:p w14:paraId="64538110"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£700,000</w:t>
            </w:r>
          </w:p>
        </w:tc>
        <w:tc>
          <w:tcPr>
            <w:tcW w:w="1528" w:type="dxa"/>
            <w:noWrap/>
            <w:hideMark/>
          </w:tcPr>
          <w:p w14:paraId="728B24F7"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£350,000</w:t>
            </w:r>
          </w:p>
        </w:tc>
        <w:tc>
          <w:tcPr>
            <w:tcW w:w="1528" w:type="dxa"/>
            <w:noWrap/>
            <w:hideMark/>
          </w:tcPr>
          <w:p w14:paraId="5F1615FC"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£2,975,000</w:t>
            </w:r>
          </w:p>
        </w:tc>
      </w:tr>
      <w:tr w:rsidR="00553FD5" w:rsidRPr="002805F3" w14:paraId="7A717051"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2141" w:type="dxa"/>
            <w:noWrap/>
            <w:hideMark/>
          </w:tcPr>
          <w:p w14:paraId="2105E93E" w14:textId="77777777" w:rsidR="00553FD5" w:rsidRPr="002805F3" w:rsidRDefault="00553FD5" w:rsidP="00C93734">
            <w:pPr>
              <w:spacing w:after="120"/>
              <w:jc w:val="both"/>
              <w:rPr>
                <w:color w:val="000000"/>
              </w:rPr>
            </w:pPr>
            <w:r w:rsidRPr="002805F3">
              <w:rPr>
                <w:color w:val="000000"/>
              </w:rPr>
              <w:t>£250K to £500K p.a.</w:t>
            </w:r>
          </w:p>
        </w:tc>
        <w:tc>
          <w:tcPr>
            <w:tcW w:w="1528" w:type="dxa"/>
            <w:noWrap/>
            <w:hideMark/>
          </w:tcPr>
          <w:p w14:paraId="7AD1AFE2"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£750,000</w:t>
            </w:r>
          </w:p>
        </w:tc>
        <w:tc>
          <w:tcPr>
            <w:tcW w:w="1528" w:type="dxa"/>
            <w:noWrap/>
            <w:hideMark/>
          </w:tcPr>
          <w:p w14:paraId="5955726D"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£3,375,000</w:t>
            </w:r>
          </w:p>
        </w:tc>
        <w:tc>
          <w:tcPr>
            <w:tcW w:w="1528" w:type="dxa"/>
            <w:noWrap/>
            <w:hideMark/>
          </w:tcPr>
          <w:p w14:paraId="3E13AD38"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£2,250,000</w:t>
            </w:r>
          </w:p>
        </w:tc>
        <w:tc>
          <w:tcPr>
            <w:tcW w:w="1528" w:type="dxa"/>
            <w:noWrap/>
            <w:hideMark/>
          </w:tcPr>
          <w:p w14:paraId="13E90D38"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£375,000</w:t>
            </w:r>
          </w:p>
        </w:tc>
        <w:tc>
          <w:tcPr>
            <w:tcW w:w="1528" w:type="dxa"/>
            <w:noWrap/>
            <w:hideMark/>
          </w:tcPr>
          <w:p w14:paraId="6EACE8F2"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£4,500,000</w:t>
            </w:r>
          </w:p>
        </w:tc>
      </w:tr>
      <w:tr w:rsidR="00553FD5" w:rsidRPr="002805F3" w14:paraId="53D04D9E"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2141" w:type="dxa"/>
            <w:noWrap/>
            <w:hideMark/>
          </w:tcPr>
          <w:p w14:paraId="6CEEBC8C" w14:textId="77777777" w:rsidR="00553FD5" w:rsidRPr="002805F3" w:rsidRDefault="00553FD5" w:rsidP="00C93734">
            <w:pPr>
              <w:spacing w:after="120"/>
              <w:jc w:val="both"/>
              <w:rPr>
                <w:color w:val="000000"/>
              </w:rPr>
            </w:pPr>
            <w:r w:rsidRPr="002805F3">
              <w:rPr>
                <w:color w:val="000000"/>
              </w:rPr>
              <w:t>£500K to £1M p.a.</w:t>
            </w:r>
          </w:p>
        </w:tc>
        <w:tc>
          <w:tcPr>
            <w:tcW w:w="1528" w:type="dxa"/>
            <w:noWrap/>
            <w:hideMark/>
          </w:tcPr>
          <w:p w14:paraId="1DC44112"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£2,250,000</w:t>
            </w:r>
          </w:p>
        </w:tc>
        <w:tc>
          <w:tcPr>
            <w:tcW w:w="1528" w:type="dxa"/>
            <w:noWrap/>
            <w:hideMark/>
          </w:tcPr>
          <w:p w14:paraId="0D010CE9"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£3,000,000</w:t>
            </w:r>
          </w:p>
        </w:tc>
        <w:tc>
          <w:tcPr>
            <w:tcW w:w="1528" w:type="dxa"/>
            <w:noWrap/>
            <w:hideMark/>
          </w:tcPr>
          <w:p w14:paraId="7C58F10D"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£6,000,000</w:t>
            </w:r>
          </w:p>
        </w:tc>
        <w:tc>
          <w:tcPr>
            <w:tcW w:w="1528" w:type="dxa"/>
            <w:noWrap/>
            <w:hideMark/>
          </w:tcPr>
          <w:p w14:paraId="7B247894"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£2,250,000</w:t>
            </w:r>
          </w:p>
        </w:tc>
        <w:tc>
          <w:tcPr>
            <w:tcW w:w="1528" w:type="dxa"/>
            <w:noWrap/>
            <w:hideMark/>
          </w:tcPr>
          <w:p w14:paraId="4132C585"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£6,750,000</w:t>
            </w:r>
          </w:p>
        </w:tc>
      </w:tr>
      <w:tr w:rsidR="00553FD5" w:rsidRPr="002805F3" w14:paraId="6409F719"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2141" w:type="dxa"/>
            <w:noWrap/>
            <w:hideMark/>
          </w:tcPr>
          <w:p w14:paraId="793E791E" w14:textId="77777777" w:rsidR="00553FD5" w:rsidRPr="002805F3" w:rsidRDefault="00553FD5" w:rsidP="00C93734">
            <w:pPr>
              <w:spacing w:after="120"/>
              <w:jc w:val="both"/>
              <w:rPr>
                <w:color w:val="000000"/>
              </w:rPr>
            </w:pPr>
            <w:r w:rsidRPr="002805F3">
              <w:rPr>
                <w:color w:val="000000"/>
              </w:rPr>
              <w:t>£1M to £2M p.a.</w:t>
            </w:r>
          </w:p>
        </w:tc>
        <w:tc>
          <w:tcPr>
            <w:tcW w:w="1528" w:type="dxa"/>
            <w:noWrap/>
            <w:hideMark/>
          </w:tcPr>
          <w:p w14:paraId="6CB9621E"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£3,000,000</w:t>
            </w:r>
          </w:p>
        </w:tc>
        <w:tc>
          <w:tcPr>
            <w:tcW w:w="1528" w:type="dxa"/>
            <w:noWrap/>
            <w:hideMark/>
          </w:tcPr>
          <w:p w14:paraId="1EF5FA3C"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£15,000,000</w:t>
            </w:r>
          </w:p>
        </w:tc>
        <w:tc>
          <w:tcPr>
            <w:tcW w:w="1528" w:type="dxa"/>
            <w:noWrap/>
            <w:hideMark/>
          </w:tcPr>
          <w:p w14:paraId="5D8D8179"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£4,500,000</w:t>
            </w:r>
          </w:p>
        </w:tc>
        <w:tc>
          <w:tcPr>
            <w:tcW w:w="1528" w:type="dxa"/>
            <w:noWrap/>
            <w:hideMark/>
          </w:tcPr>
          <w:p w14:paraId="18ACE935"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£6,000,000</w:t>
            </w:r>
          </w:p>
        </w:tc>
        <w:tc>
          <w:tcPr>
            <w:tcW w:w="1528" w:type="dxa"/>
            <w:noWrap/>
            <w:hideMark/>
          </w:tcPr>
          <w:p w14:paraId="3C7B5F76"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£6,000,000</w:t>
            </w:r>
          </w:p>
        </w:tc>
      </w:tr>
      <w:tr w:rsidR="00553FD5" w:rsidRPr="002805F3" w14:paraId="6B4AF69A"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2141" w:type="dxa"/>
            <w:noWrap/>
            <w:hideMark/>
          </w:tcPr>
          <w:p w14:paraId="6D5973FD" w14:textId="77777777" w:rsidR="00553FD5" w:rsidRPr="002805F3" w:rsidRDefault="00553FD5" w:rsidP="00C93734">
            <w:pPr>
              <w:spacing w:after="120"/>
              <w:jc w:val="both"/>
              <w:rPr>
                <w:color w:val="000000"/>
              </w:rPr>
            </w:pPr>
            <w:r w:rsidRPr="002805F3">
              <w:rPr>
                <w:color w:val="000000"/>
              </w:rPr>
              <w:t>£2M to 5M p.a.</w:t>
            </w:r>
          </w:p>
        </w:tc>
        <w:tc>
          <w:tcPr>
            <w:tcW w:w="1528" w:type="dxa"/>
            <w:noWrap/>
            <w:hideMark/>
          </w:tcPr>
          <w:p w14:paraId="1BC39F0F"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£3,500,000</w:t>
            </w:r>
          </w:p>
        </w:tc>
        <w:tc>
          <w:tcPr>
            <w:tcW w:w="1528" w:type="dxa"/>
            <w:noWrap/>
            <w:hideMark/>
          </w:tcPr>
          <w:p w14:paraId="3AB9B686"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£38,500,000</w:t>
            </w:r>
          </w:p>
        </w:tc>
        <w:tc>
          <w:tcPr>
            <w:tcW w:w="1528" w:type="dxa"/>
            <w:noWrap/>
            <w:hideMark/>
          </w:tcPr>
          <w:p w14:paraId="019C15BD"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£14,000,000</w:t>
            </w:r>
          </w:p>
        </w:tc>
        <w:tc>
          <w:tcPr>
            <w:tcW w:w="1528" w:type="dxa"/>
            <w:noWrap/>
            <w:hideMark/>
          </w:tcPr>
          <w:p w14:paraId="5BFAAC14"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£10,500,000</w:t>
            </w:r>
          </w:p>
        </w:tc>
        <w:tc>
          <w:tcPr>
            <w:tcW w:w="1528" w:type="dxa"/>
            <w:noWrap/>
            <w:hideMark/>
          </w:tcPr>
          <w:p w14:paraId="3AA872DA"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£10,500,000</w:t>
            </w:r>
          </w:p>
        </w:tc>
      </w:tr>
      <w:tr w:rsidR="00553FD5" w:rsidRPr="002805F3" w14:paraId="2887ACB1"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2141" w:type="dxa"/>
            <w:noWrap/>
            <w:hideMark/>
          </w:tcPr>
          <w:p w14:paraId="35E350E1" w14:textId="77777777" w:rsidR="00553FD5" w:rsidRPr="002805F3" w:rsidRDefault="00553FD5" w:rsidP="00C93734">
            <w:pPr>
              <w:spacing w:after="120"/>
              <w:jc w:val="both"/>
              <w:rPr>
                <w:color w:val="000000"/>
              </w:rPr>
            </w:pPr>
            <w:r w:rsidRPr="002805F3">
              <w:rPr>
                <w:color w:val="000000"/>
              </w:rPr>
              <w:t>Over £5M</w:t>
            </w:r>
          </w:p>
        </w:tc>
        <w:tc>
          <w:tcPr>
            <w:tcW w:w="1528" w:type="dxa"/>
            <w:noWrap/>
            <w:hideMark/>
          </w:tcPr>
          <w:p w14:paraId="6CA2A6F8"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£20,000,000</w:t>
            </w:r>
          </w:p>
        </w:tc>
        <w:tc>
          <w:tcPr>
            <w:tcW w:w="1528" w:type="dxa"/>
            <w:noWrap/>
            <w:hideMark/>
          </w:tcPr>
          <w:p w14:paraId="36EC7320"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£75,000,000</w:t>
            </w:r>
          </w:p>
        </w:tc>
        <w:tc>
          <w:tcPr>
            <w:tcW w:w="1528" w:type="dxa"/>
            <w:noWrap/>
            <w:hideMark/>
          </w:tcPr>
          <w:p w14:paraId="2809765B"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£30,000,000</w:t>
            </w:r>
          </w:p>
        </w:tc>
        <w:tc>
          <w:tcPr>
            <w:tcW w:w="1528" w:type="dxa"/>
            <w:noWrap/>
            <w:hideMark/>
          </w:tcPr>
          <w:p w14:paraId="0E0E51D6"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£15,000,000</w:t>
            </w:r>
          </w:p>
        </w:tc>
        <w:tc>
          <w:tcPr>
            <w:tcW w:w="1528" w:type="dxa"/>
            <w:noWrap/>
            <w:hideMark/>
          </w:tcPr>
          <w:p w14:paraId="56662AE0"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£25,000,000</w:t>
            </w:r>
          </w:p>
        </w:tc>
      </w:tr>
      <w:tr w:rsidR="00553FD5" w:rsidRPr="002805F3" w14:paraId="75D95031"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2141" w:type="dxa"/>
            <w:noWrap/>
            <w:hideMark/>
          </w:tcPr>
          <w:p w14:paraId="77F8C98E" w14:textId="77777777" w:rsidR="00553FD5" w:rsidRPr="002805F3" w:rsidRDefault="00553FD5" w:rsidP="00C93734">
            <w:pPr>
              <w:spacing w:after="120"/>
              <w:jc w:val="both"/>
              <w:rPr>
                <w:color w:val="000000"/>
              </w:rPr>
            </w:pPr>
          </w:p>
        </w:tc>
        <w:tc>
          <w:tcPr>
            <w:tcW w:w="1528" w:type="dxa"/>
            <w:noWrap/>
            <w:hideMark/>
          </w:tcPr>
          <w:p w14:paraId="1E5942D3"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p>
        </w:tc>
        <w:tc>
          <w:tcPr>
            <w:tcW w:w="1528" w:type="dxa"/>
            <w:noWrap/>
            <w:hideMark/>
          </w:tcPr>
          <w:p w14:paraId="61656467"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p>
        </w:tc>
        <w:tc>
          <w:tcPr>
            <w:tcW w:w="1528" w:type="dxa"/>
            <w:noWrap/>
            <w:hideMark/>
          </w:tcPr>
          <w:p w14:paraId="09C9B5C3"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p>
        </w:tc>
        <w:tc>
          <w:tcPr>
            <w:tcW w:w="1528" w:type="dxa"/>
            <w:noWrap/>
            <w:hideMark/>
          </w:tcPr>
          <w:p w14:paraId="1A4EB45D"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p>
        </w:tc>
        <w:tc>
          <w:tcPr>
            <w:tcW w:w="1528" w:type="dxa"/>
            <w:noWrap/>
            <w:hideMark/>
          </w:tcPr>
          <w:p w14:paraId="586A01F1" w14:textId="77777777" w:rsidR="00553FD5" w:rsidRPr="002805F3"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color w:val="000000"/>
              </w:rPr>
            </w:pPr>
          </w:p>
        </w:tc>
      </w:tr>
      <w:tr w:rsidR="00553FD5" w:rsidRPr="002805F3" w14:paraId="5F74119F"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2141" w:type="dxa"/>
            <w:noWrap/>
            <w:hideMark/>
          </w:tcPr>
          <w:p w14:paraId="2CE6593E" w14:textId="77777777" w:rsidR="00553FD5" w:rsidRPr="00C249C9" w:rsidRDefault="00553FD5" w:rsidP="00C93734">
            <w:pPr>
              <w:spacing w:after="120"/>
              <w:jc w:val="both"/>
              <w:rPr>
                <w:b/>
                <w:color w:val="000000"/>
              </w:rPr>
            </w:pPr>
            <w:r w:rsidRPr="00C249C9">
              <w:rPr>
                <w:b/>
                <w:color w:val="000000"/>
              </w:rPr>
              <w:t>Total</w:t>
            </w:r>
          </w:p>
        </w:tc>
        <w:tc>
          <w:tcPr>
            <w:tcW w:w="1528" w:type="dxa"/>
            <w:noWrap/>
            <w:hideMark/>
          </w:tcPr>
          <w:p w14:paraId="1BFA79AA" w14:textId="77777777" w:rsidR="00553FD5" w:rsidRPr="00C249C9"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b/>
                <w:color w:val="000000"/>
              </w:rPr>
            </w:pPr>
            <w:r w:rsidRPr="00C249C9">
              <w:rPr>
                <w:b/>
                <w:color w:val="000000"/>
              </w:rPr>
              <w:t>£30,100,000</w:t>
            </w:r>
          </w:p>
        </w:tc>
        <w:tc>
          <w:tcPr>
            <w:tcW w:w="1528" w:type="dxa"/>
            <w:noWrap/>
            <w:hideMark/>
          </w:tcPr>
          <w:p w14:paraId="731A35F0" w14:textId="77777777" w:rsidR="00553FD5" w:rsidRPr="00C249C9"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b/>
                <w:color w:val="000000"/>
              </w:rPr>
            </w:pPr>
            <w:r w:rsidRPr="00C249C9">
              <w:rPr>
                <w:b/>
                <w:color w:val="000000"/>
              </w:rPr>
              <w:t>£136,075,000</w:t>
            </w:r>
          </w:p>
        </w:tc>
        <w:tc>
          <w:tcPr>
            <w:tcW w:w="1528" w:type="dxa"/>
            <w:noWrap/>
            <w:hideMark/>
          </w:tcPr>
          <w:p w14:paraId="4F942775" w14:textId="77777777" w:rsidR="00553FD5" w:rsidRPr="00C249C9"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b/>
                <w:color w:val="000000"/>
              </w:rPr>
            </w:pPr>
            <w:r w:rsidRPr="00C249C9">
              <w:rPr>
                <w:b/>
                <w:color w:val="000000"/>
              </w:rPr>
              <w:t>£58,150,000</w:t>
            </w:r>
          </w:p>
        </w:tc>
        <w:tc>
          <w:tcPr>
            <w:tcW w:w="1528" w:type="dxa"/>
            <w:noWrap/>
            <w:hideMark/>
          </w:tcPr>
          <w:p w14:paraId="01BA834F" w14:textId="77777777" w:rsidR="00553FD5" w:rsidRPr="00C249C9"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b/>
                <w:color w:val="000000"/>
              </w:rPr>
            </w:pPr>
            <w:r w:rsidRPr="00C249C9">
              <w:rPr>
                <w:b/>
                <w:color w:val="000000"/>
              </w:rPr>
              <w:t>£34,525,000</w:t>
            </w:r>
          </w:p>
        </w:tc>
        <w:tc>
          <w:tcPr>
            <w:tcW w:w="1528" w:type="dxa"/>
            <w:noWrap/>
            <w:hideMark/>
          </w:tcPr>
          <w:p w14:paraId="6B4C0BF8" w14:textId="77777777" w:rsidR="00553FD5" w:rsidRPr="00C249C9" w:rsidRDefault="00553FD5" w:rsidP="00C93734">
            <w:pPr>
              <w:spacing w:after="120"/>
              <w:ind w:right="125"/>
              <w:jc w:val="both"/>
              <w:cnfStyle w:val="000000000000" w:firstRow="0" w:lastRow="0" w:firstColumn="0" w:lastColumn="0" w:oddVBand="0" w:evenVBand="0" w:oddHBand="0" w:evenHBand="0" w:firstRowFirstColumn="0" w:firstRowLastColumn="0" w:lastRowFirstColumn="0" w:lastRowLastColumn="0"/>
              <w:rPr>
                <w:b/>
                <w:color w:val="000000"/>
              </w:rPr>
            </w:pPr>
            <w:r w:rsidRPr="00C249C9">
              <w:rPr>
                <w:b/>
                <w:color w:val="000000"/>
              </w:rPr>
              <w:t>£58,075,000</w:t>
            </w:r>
          </w:p>
        </w:tc>
      </w:tr>
    </w:tbl>
    <w:p w14:paraId="02D4DA28" w14:textId="77777777" w:rsidR="00553FD5" w:rsidRPr="002805F3" w:rsidRDefault="00553FD5" w:rsidP="00C93734">
      <w:pPr>
        <w:pStyle w:val="TableSource"/>
        <w:jc w:val="both"/>
      </w:pPr>
      <w:r w:rsidRPr="002805F3">
        <w:t>Source:  Atkins 2013. Atkins Ref: Survey – A2/L3. Figures rounded.</w:t>
      </w:r>
    </w:p>
    <w:p w14:paraId="3AC1D865" w14:textId="77777777" w:rsidR="00553FD5" w:rsidRPr="002805F3" w:rsidRDefault="00553FD5" w:rsidP="00C93734">
      <w:pPr>
        <w:pStyle w:val="BodyText"/>
        <w:jc w:val="both"/>
      </w:pPr>
      <w:r w:rsidRPr="002805F3">
        <w:t>The values shown in the table above give the total approximate turnover for our sample.</w:t>
      </w:r>
      <w:r w:rsidR="003E7DC9">
        <w:t xml:space="preserve"> W</w:t>
      </w:r>
      <w:r w:rsidR="003E7DC9" w:rsidRPr="002805F3">
        <w:t>e have aggregated these numbers</w:t>
      </w:r>
      <w:r w:rsidRPr="002805F3">
        <w:t xml:space="preserve"> </w:t>
      </w:r>
      <w:r w:rsidR="003E7DC9">
        <w:t>i</w:t>
      </w:r>
      <w:r w:rsidRPr="002805F3">
        <w:t xml:space="preserve">n order to estimate the total turnover of the sectors as a whole. To weight our data effectively, we have used the IDBR database to estimate the total population of firms that fall within each of the sector bands. This provides an extrapolation factor which provides an estimation of the total sector turnover in the local authority. </w:t>
      </w:r>
    </w:p>
    <w:p w14:paraId="39976672" w14:textId="77777777" w:rsidR="00553FD5" w:rsidRDefault="00553FD5" w:rsidP="00C93734">
      <w:pPr>
        <w:pStyle w:val="BodyText"/>
        <w:jc w:val="both"/>
      </w:pPr>
      <w:r w:rsidRPr="002805F3">
        <w:t>The ‘over £5 million’ turnover data was also moderated following analysis of turnover from other sources. However, it has not been stratified as gaps in the data have been identified (e.g. unusual turnover figures and missing key company data). Further turnover figures w</w:t>
      </w:r>
      <w:r>
        <w:t>ere</w:t>
      </w:r>
      <w:r w:rsidRPr="002805F3">
        <w:t xml:space="preserve"> added to account for these missing figures and the oversampling of small firms in the data. </w:t>
      </w:r>
    </w:p>
    <w:p w14:paraId="00420666" w14:textId="77777777" w:rsidR="00553FD5" w:rsidRPr="002805F3" w:rsidRDefault="00553FD5" w:rsidP="00C93734">
      <w:pPr>
        <w:pStyle w:val="BodyText"/>
        <w:jc w:val="both"/>
      </w:pPr>
      <w:r w:rsidRPr="002805F3">
        <w:t>The results of the</w:t>
      </w:r>
      <w:r w:rsidR="00BA6A7B">
        <w:t xml:space="preserve"> estimates of</w:t>
      </w:r>
      <w:r w:rsidRPr="002805F3">
        <w:t xml:space="preserve"> total turnover for the key sector</w:t>
      </w:r>
      <w:r>
        <w:t>s</w:t>
      </w:r>
      <w:r w:rsidRPr="002805F3">
        <w:t xml:space="preserve"> within North E</w:t>
      </w:r>
      <w:r w:rsidR="00DF4291">
        <w:t xml:space="preserve">ast Lincolnshire is shown in Table </w:t>
      </w:r>
      <w:r w:rsidR="00DF4291">
        <w:rPr>
          <w:noProof/>
        </w:rPr>
        <w:t>0</w:t>
      </w:r>
      <w:r w:rsidR="00DF4291">
        <w:t>-</w:t>
      </w:r>
      <w:r w:rsidR="00DF4291">
        <w:rPr>
          <w:noProof/>
        </w:rPr>
        <w:t>5</w:t>
      </w:r>
      <w:r w:rsidRPr="002805F3">
        <w:t>.</w:t>
      </w:r>
    </w:p>
    <w:p w14:paraId="7FFC2881" w14:textId="77777777" w:rsidR="00553FD5" w:rsidRPr="000B1890" w:rsidRDefault="00553FD5" w:rsidP="00C93734">
      <w:pPr>
        <w:pStyle w:val="Caption"/>
        <w:jc w:val="both"/>
      </w:pPr>
      <w:bookmarkStart w:id="630" w:name="_Ref391920879"/>
      <w:bookmarkStart w:id="631" w:name="_Toc383159705"/>
      <w:r>
        <w:t xml:space="preserve">Table </w:t>
      </w:r>
      <w:fldSimple w:instr=" STYLEREF 1 \s  \* MERGEFORMAT ">
        <w:r w:rsidR="00E95E1A">
          <w:rPr>
            <w:noProof/>
          </w:rPr>
          <w:t>0</w:t>
        </w:r>
      </w:fldSimple>
      <w:r>
        <w:t>-</w:t>
      </w:r>
      <w:fldSimple w:instr=" SEQ Table \* ARABIC \s 1  \* MERGEFORMAT ">
        <w:r w:rsidR="00E95E1A">
          <w:rPr>
            <w:noProof/>
          </w:rPr>
          <w:t>5</w:t>
        </w:r>
      </w:fldSimple>
      <w:bookmarkEnd w:id="630"/>
      <w:r>
        <w:tab/>
      </w:r>
      <w:r w:rsidRPr="000B1890">
        <w:t>Total Annual Turnover for Sectors</w:t>
      </w:r>
      <w:bookmarkEnd w:id="631"/>
    </w:p>
    <w:tbl>
      <w:tblPr>
        <w:tblStyle w:val="Atkins14pt"/>
        <w:tblW w:w="9497" w:type="dxa"/>
        <w:tblLook w:val="04A0" w:firstRow="1" w:lastRow="0" w:firstColumn="1" w:lastColumn="0" w:noHBand="0" w:noVBand="1"/>
      </w:tblPr>
      <w:tblGrid>
        <w:gridCol w:w="1919"/>
        <w:gridCol w:w="1440"/>
        <w:gridCol w:w="1460"/>
        <w:gridCol w:w="1611"/>
        <w:gridCol w:w="1460"/>
        <w:gridCol w:w="1607"/>
      </w:tblGrid>
      <w:tr w:rsidR="00553FD5" w:rsidRPr="000B1890" w14:paraId="4F774079" w14:textId="77777777" w:rsidTr="007A1492">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919" w:type="dxa"/>
            <w:noWrap/>
            <w:hideMark/>
          </w:tcPr>
          <w:p w14:paraId="07AAD893" w14:textId="77777777" w:rsidR="00553FD5" w:rsidRPr="000B1890" w:rsidRDefault="00553FD5" w:rsidP="00C93734">
            <w:pPr>
              <w:spacing w:after="120"/>
              <w:jc w:val="both"/>
              <w:rPr>
                <w:color w:val="000000"/>
              </w:rPr>
            </w:pPr>
            <w:r w:rsidRPr="000B1890">
              <w:rPr>
                <w:color w:val="000000"/>
              </w:rPr>
              <w:t>Turnover</w:t>
            </w:r>
            <w:r w:rsidR="00BA6A7B">
              <w:rPr>
                <w:color w:val="000000"/>
              </w:rPr>
              <w:t xml:space="preserve"> band</w:t>
            </w:r>
          </w:p>
        </w:tc>
        <w:tc>
          <w:tcPr>
            <w:tcW w:w="1440" w:type="dxa"/>
            <w:noWrap/>
            <w:hideMark/>
          </w:tcPr>
          <w:p w14:paraId="40433D12" w14:textId="77777777" w:rsidR="00553FD5" w:rsidRPr="000B1890"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22"/>
              </w:rPr>
            </w:pPr>
            <w:r w:rsidRPr="000B1890">
              <w:rPr>
                <w:color w:val="000000"/>
                <w:sz w:val="22"/>
              </w:rPr>
              <w:t>Renewables</w:t>
            </w:r>
          </w:p>
        </w:tc>
        <w:tc>
          <w:tcPr>
            <w:tcW w:w="1460" w:type="dxa"/>
            <w:noWrap/>
            <w:hideMark/>
          </w:tcPr>
          <w:p w14:paraId="6E8AA1D2" w14:textId="77777777" w:rsidR="00553FD5" w:rsidRPr="000B1890"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22"/>
              </w:rPr>
            </w:pPr>
            <w:r w:rsidRPr="000B1890">
              <w:rPr>
                <w:color w:val="000000"/>
                <w:sz w:val="22"/>
              </w:rPr>
              <w:t>Ports &amp; Logistics</w:t>
            </w:r>
          </w:p>
        </w:tc>
        <w:tc>
          <w:tcPr>
            <w:tcW w:w="1611" w:type="dxa"/>
            <w:noWrap/>
            <w:hideMark/>
          </w:tcPr>
          <w:p w14:paraId="576EDDAA" w14:textId="77777777" w:rsidR="00553FD5" w:rsidRPr="000B1890"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22"/>
              </w:rPr>
            </w:pPr>
            <w:r w:rsidRPr="000B1890">
              <w:rPr>
                <w:color w:val="000000"/>
                <w:sz w:val="22"/>
              </w:rPr>
              <w:t>Food manufacturing</w:t>
            </w:r>
          </w:p>
        </w:tc>
        <w:tc>
          <w:tcPr>
            <w:tcW w:w="1460" w:type="dxa"/>
            <w:noWrap/>
            <w:hideMark/>
          </w:tcPr>
          <w:p w14:paraId="533A9DA5" w14:textId="77777777" w:rsidR="00553FD5" w:rsidRPr="000B1890"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22"/>
              </w:rPr>
            </w:pPr>
            <w:r w:rsidRPr="000B1890">
              <w:rPr>
                <w:color w:val="000000"/>
                <w:sz w:val="22"/>
              </w:rPr>
              <w:t>Chemicals &amp; process industries</w:t>
            </w:r>
          </w:p>
        </w:tc>
        <w:tc>
          <w:tcPr>
            <w:tcW w:w="1607" w:type="dxa"/>
            <w:noWrap/>
            <w:hideMark/>
          </w:tcPr>
          <w:p w14:paraId="0ABEA972" w14:textId="77777777" w:rsidR="00553FD5" w:rsidRPr="000B1890"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22"/>
              </w:rPr>
            </w:pPr>
            <w:r w:rsidRPr="000B1890">
              <w:rPr>
                <w:color w:val="000000"/>
                <w:sz w:val="22"/>
              </w:rPr>
              <w:t>Visitor Economy &amp; Retail</w:t>
            </w:r>
          </w:p>
        </w:tc>
      </w:tr>
      <w:tr w:rsidR="00553FD5" w:rsidRPr="000B1890" w14:paraId="531591C7"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1919" w:type="dxa"/>
            <w:noWrap/>
            <w:hideMark/>
          </w:tcPr>
          <w:p w14:paraId="2CF1356E" w14:textId="77777777" w:rsidR="00553FD5" w:rsidRPr="000B1890" w:rsidRDefault="00553FD5" w:rsidP="00C93734">
            <w:pPr>
              <w:spacing w:after="120"/>
              <w:jc w:val="both"/>
              <w:rPr>
                <w:color w:val="000000"/>
              </w:rPr>
            </w:pPr>
            <w:r w:rsidRPr="000B1890">
              <w:rPr>
                <w:color w:val="000000"/>
              </w:rPr>
              <w:t>Less than £100K p.a.</w:t>
            </w:r>
          </w:p>
        </w:tc>
        <w:tc>
          <w:tcPr>
            <w:tcW w:w="1440" w:type="dxa"/>
            <w:noWrap/>
            <w:hideMark/>
          </w:tcPr>
          <w:p w14:paraId="3C9B7DC6"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£2,706,300</w:t>
            </w:r>
          </w:p>
        </w:tc>
        <w:tc>
          <w:tcPr>
            <w:tcW w:w="1460" w:type="dxa"/>
            <w:noWrap/>
            <w:hideMark/>
          </w:tcPr>
          <w:p w14:paraId="3434F357"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£696,900</w:t>
            </w:r>
          </w:p>
        </w:tc>
        <w:tc>
          <w:tcPr>
            <w:tcW w:w="1611" w:type="dxa"/>
            <w:noWrap/>
            <w:hideMark/>
          </w:tcPr>
          <w:p w14:paraId="6E682559"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£1,080,700</w:t>
            </w:r>
          </w:p>
        </w:tc>
        <w:tc>
          <w:tcPr>
            <w:tcW w:w="1460" w:type="dxa"/>
            <w:noWrap/>
            <w:hideMark/>
          </w:tcPr>
          <w:p w14:paraId="2C6DB1E2"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£88,100</w:t>
            </w:r>
          </w:p>
        </w:tc>
        <w:tc>
          <w:tcPr>
            <w:tcW w:w="1607" w:type="dxa"/>
            <w:noWrap/>
            <w:hideMark/>
          </w:tcPr>
          <w:p w14:paraId="074DE9F8"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£7,364,600</w:t>
            </w:r>
          </w:p>
        </w:tc>
      </w:tr>
      <w:tr w:rsidR="00553FD5" w:rsidRPr="000B1890" w14:paraId="7E6D10C5"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1919" w:type="dxa"/>
            <w:noWrap/>
            <w:hideMark/>
          </w:tcPr>
          <w:p w14:paraId="7D867274" w14:textId="77777777" w:rsidR="00553FD5" w:rsidRPr="000B1890" w:rsidRDefault="00553FD5" w:rsidP="00C93734">
            <w:pPr>
              <w:spacing w:after="120"/>
              <w:jc w:val="both"/>
              <w:rPr>
                <w:color w:val="000000"/>
              </w:rPr>
            </w:pPr>
            <w:r w:rsidRPr="000B1890">
              <w:rPr>
                <w:color w:val="000000"/>
              </w:rPr>
              <w:t>£100K to £250K p.a.</w:t>
            </w:r>
          </w:p>
        </w:tc>
        <w:tc>
          <w:tcPr>
            <w:tcW w:w="1440" w:type="dxa"/>
            <w:noWrap/>
            <w:hideMark/>
          </w:tcPr>
          <w:p w14:paraId="29E1D350"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£3,788,700</w:t>
            </w:r>
          </w:p>
        </w:tc>
        <w:tc>
          <w:tcPr>
            <w:tcW w:w="1460" w:type="dxa"/>
            <w:noWrap/>
            <w:hideMark/>
          </w:tcPr>
          <w:p w14:paraId="5774719D"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£4,878,100</w:t>
            </w:r>
          </w:p>
        </w:tc>
        <w:tc>
          <w:tcPr>
            <w:tcW w:w="1611" w:type="dxa"/>
            <w:noWrap/>
            <w:hideMark/>
          </w:tcPr>
          <w:p w14:paraId="29376DCD"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£1,080,700</w:t>
            </w:r>
          </w:p>
        </w:tc>
        <w:tc>
          <w:tcPr>
            <w:tcW w:w="1460" w:type="dxa"/>
            <w:noWrap/>
            <w:hideMark/>
          </w:tcPr>
          <w:p w14:paraId="4E7C1C2D"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£616,700</w:t>
            </w:r>
          </w:p>
        </w:tc>
        <w:tc>
          <w:tcPr>
            <w:tcW w:w="1607" w:type="dxa"/>
            <w:noWrap/>
            <w:hideMark/>
          </w:tcPr>
          <w:p w14:paraId="0A51C7DD"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£9,323,200</w:t>
            </w:r>
          </w:p>
        </w:tc>
      </w:tr>
      <w:tr w:rsidR="00553FD5" w:rsidRPr="000B1890" w14:paraId="5D139386"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1919" w:type="dxa"/>
            <w:noWrap/>
            <w:hideMark/>
          </w:tcPr>
          <w:p w14:paraId="39294B34" w14:textId="77777777" w:rsidR="00553FD5" w:rsidRPr="000B1890" w:rsidRDefault="00553FD5" w:rsidP="00C93734">
            <w:pPr>
              <w:spacing w:after="120"/>
              <w:jc w:val="both"/>
              <w:rPr>
                <w:color w:val="000000"/>
              </w:rPr>
            </w:pPr>
            <w:r w:rsidRPr="000B1890">
              <w:rPr>
                <w:color w:val="000000"/>
              </w:rPr>
              <w:t>£250K to £500K p.a.</w:t>
            </w:r>
          </w:p>
        </w:tc>
        <w:tc>
          <w:tcPr>
            <w:tcW w:w="1440" w:type="dxa"/>
            <w:noWrap/>
            <w:hideMark/>
          </w:tcPr>
          <w:p w14:paraId="0036EAA1"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£8,118,700</w:t>
            </w:r>
          </w:p>
        </w:tc>
        <w:tc>
          <w:tcPr>
            <w:tcW w:w="1460" w:type="dxa"/>
            <w:noWrap/>
            <w:hideMark/>
          </w:tcPr>
          <w:p w14:paraId="55D3C2B5"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£15,679,700</w:t>
            </w:r>
          </w:p>
        </w:tc>
        <w:tc>
          <w:tcPr>
            <w:tcW w:w="1611" w:type="dxa"/>
            <w:noWrap/>
            <w:hideMark/>
          </w:tcPr>
          <w:p w14:paraId="37E177A4"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£3,473,700</w:t>
            </w:r>
          </w:p>
        </w:tc>
        <w:tc>
          <w:tcPr>
            <w:tcW w:w="1460" w:type="dxa"/>
            <w:noWrap/>
            <w:hideMark/>
          </w:tcPr>
          <w:p w14:paraId="5FB7A74B"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£660,700</w:t>
            </w:r>
          </w:p>
        </w:tc>
        <w:tc>
          <w:tcPr>
            <w:tcW w:w="1607" w:type="dxa"/>
            <w:noWrap/>
            <w:hideMark/>
          </w:tcPr>
          <w:p w14:paraId="2399C47C"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£14,102,400</w:t>
            </w:r>
          </w:p>
        </w:tc>
      </w:tr>
      <w:tr w:rsidR="00553FD5" w:rsidRPr="000B1890" w14:paraId="3CC31DCB"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1919" w:type="dxa"/>
            <w:noWrap/>
            <w:hideMark/>
          </w:tcPr>
          <w:p w14:paraId="530F6AA6" w14:textId="77777777" w:rsidR="00553FD5" w:rsidRPr="000B1890" w:rsidRDefault="00553FD5" w:rsidP="00C93734">
            <w:pPr>
              <w:spacing w:after="120"/>
              <w:jc w:val="both"/>
              <w:rPr>
                <w:color w:val="000000"/>
              </w:rPr>
            </w:pPr>
            <w:r w:rsidRPr="000B1890">
              <w:rPr>
                <w:color w:val="000000"/>
              </w:rPr>
              <w:t>£500K to £1M p.a.</w:t>
            </w:r>
          </w:p>
        </w:tc>
        <w:tc>
          <w:tcPr>
            <w:tcW w:w="1440" w:type="dxa"/>
            <w:noWrap/>
            <w:hideMark/>
          </w:tcPr>
          <w:p w14:paraId="117B3C86"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£24,356,200</w:t>
            </w:r>
          </w:p>
        </w:tc>
        <w:tc>
          <w:tcPr>
            <w:tcW w:w="1460" w:type="dxa"/>
            <w:noWrap/>
            <w:hideMark/>
          </w:tcPr>
          <w:p w14:paraId="3FCD8878"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£13,937,500</w:t>
            </w:r>
          </w:p>
        </w:tc>
        <w:tc>
          <w:tcPr>
            <w:tcW w:w="1611" w:type="dxa"/>
            <w:noWrap/>
            <w:hideMark/>
          </w:tcPr>
          <w:p w14:paraId="4AF92861"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£9,263,200</w:t>
            </w:r>
          </w:p>
        </w:tc>
        <w:tc>
          <w:tcPr>
            <w:tcW w:w="1460" w:type="dxa"/>
            <w:noWrap/>
            <w:hideMark/>
          </w:tcPr>
          <w:p w14:paraId="538EE156"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£3,964,300</w:t>
            </w:r>
          </w:p>
        </w:tc>
        <w:tc>
          <w:tcPr>
            <w:tcW w:w="1607" w:type="dxa"/>
            <w:noWrap/>
            <w:hideMark/>
          </w:tcPr>
          <w:p w14:paraId="2B6780C0"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£21,153,500</w:t>
            </w:r>
          </w:p>
        </w:tc>
      </w:tr>
      <w:tr w:rsidR="00553FD5" w:rsidRPr="000B1890" w14:paraId="7DB927B6"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1919" w:type="dxa"/>
            <w:noWrap/>
            <w:hideMark/>
          </w:tcPr>
          <w:p w14:paraId="245AB8A2" w14:textId="77777777" w:rsidR="00553FD5" w:rsidRPr="000B1890" w:rsidRDefault="00553FD5" w:rsidP="00C93734">
            <w:pPr>
              <w:spacing w:after="120"/>
              <w:jc w:val="both"/>
              <w:rPr>
                <w:color w:val="000000"/>
              </w:rPr>
            </w:pPr>
            <w:r w:rsidRPr="000B1890">
              <w:rPr>
                <w:color w:val="000000"/>
              </w:rPr>
              <w:t>£1M to £2M p.a.</w:t>
            </w:r>
          </w:p>
        </w:tc>
        <w:tc>
          <w:tcPr>
            <w:tcW w:w="1440" w:type="dxa"/>
            <w:noWrap/>
            <w:hideMark/>
          </w:tcPr>
          <w:p w14:paraId="4769E80E"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£32,475,000</w:t>
            </w:r>
          </w:p>
        </w:tc>
        <w:tc>
          <w:tcPr>
            <w:tcW w:w="1460" w:type="dxa"/>
            <w:noWrap/>
            <w:hideMark/>
          </w:tcPr>
          <w:p w14:paraId="44F84CAF"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£69,687,500</w:t>
            </w:r>
          </w:p>
        </w:tc>
        <w:tc>
          <w:tcPr>
            <w:tcW w:w="1611" w:type="dxa"/>
            <w:noWrap/>
            <w:hideMark/>
          </w:tcPr>
          <w:p w14:paraId="04A2A920"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£6,947,400</w:t>
            </w:r>
          </w:p>
        </w:tc>
        <w:tc>
          <w:tcPr>
            <w:tcW w:w="1460" w:type="dxa"/>
            <w:noWrap/>
            <w:hideMark/>
          </w:tcPr>
          <w:p w14:paraId="6F3ED20A"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£10,571,400</w:t>
            </w:r>
          </w:p>
        </w:tc>
        <w:tc>
          <w:tcPr>
            <w:tcW w:w="1607" w:type="dxa"/>
            <w:noWrap/>
            <w:hideMark/>
          </w:tcPr>
          <w:p w14:paraId="580CCA49"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£18,803,100</w:t>
            </w:r>
          </w:p>
        </w:tc>
      </w:tr>
      <w:tr w:rsidR="00553FD5" w:rsidRPr="000B1890" w14:paraId="119DF421"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1919" w:type="dxa"/>
            <w:noWrap/>
            <w:hideMark/>
          </w:tcPr>
          <w:p w14:paraId="43355F1D" w14:textId="77777777" w:rsidR="00553FD5" w:rsidRPr="000B1890" w:rsidRDefault="00553FD5" w:rsidP="00C93734">
            <w:pPr>
              <w:spacing w:after="120"/>
              <w:jc w:val="both"/>
              <w:rPr>
                <w:color w:val="000000"/>
              </w:rPr>
            </w:pPr>
            <w:r w:rsidRPr="000B1890">
              <w:rPr>
                <w:color w:val="000000"/>
              </w:rPr>
              <w:t>£2M to 5M p.a.</w:t>
            </w:r>
          </w:p>
        </w:tc>
        <w:tc>
          <w:tcPr>
            <w:tcW w:w="1440" w:type="dxa"/>
            <w:noWrap/>
            <w:hideMark/>
          </w:tcPr>
          <w:p w14:paraId="718EA7E2"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£37,887,500</w:t>
            </w:r>
          </w:p>
        </w:tc>
        <w:tc>
          <w:tcPr>
            <w:tcW w:w="1460" w:type="dxa"/>
            <w:noWrap/>
            <w:hideMark/>
          </w:tcPr>
          <w:p w14:paraId="08CB8CD4"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£178,864,600</w:t>
            </w:r>
          </w:p>
        </w:tc>
        <w:tc>
          <w:tcPr>
            <w:tcW w:w="1611" w:type="dxa"/>
            <w:noWrap/>
            <w:hideMark/>
          </w:tcPr>
          <w:p w14:paraId="03E66115"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£21,614,000</w:t>
            </w:r>
          </w:p>
        </w:tc>
        <w:tc>
          <w:tcPr>
            <w:tcW w:w="1460" w:type="dxa"/>
            <w:noWrap/>
            <w:hideMark/>
          </w:tcPr>
          <w:p w14:paraId="382721B8"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£18,500,000</w:t>
            </w:r>
          </w:p>
        </w:tc>
        <w:tc>
          <w:tcPr>
            <w:tcW w:w="1607" w:type="dxa"/>
            <w:noWrap/>
            <w:hideMark/>
          </w:tcPr>
          <w:p w14:paraId="5045676F"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£32,905,500</w:t>
            </w:r>
          </w:p>
        </w:tc>
      </w:tr>
      <w:tr w:rsidR="00553FD5" w:rsidRPr="000B1890" w14:paraId="1C168429"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1919" w:type="dxa"/>
            <w:noWrap/>
            <w:hideMark/>
          </w:tcPr>
          <w:p w14:paraId="73AB518E" w14:textId="77777777" w:rsidR="00553FD5" w:rsidRPr="000B1890" w:rsidRDefault="00553FD5" w:rsidP="00C93734">
            <w:pPr>
              <w:spacing w:after="120"/>
              <w:jc w:val="both"/>
              <w:rPr>
                <w:color w:val="000000"/>
              </w:rPr>
            </w:pPr>
            <w:r w:rsidRPr="000B1890">
              <w:rPr>
                <w:color w:val="000000"/>
              </w:rPr>
              <w:t>Over £5M</w:t>
            </w:r>
          </w:p>
        </w:tc>
        <w:tc>
          <w:tcPr>
            <w:tcW w:w="1440" w:type="dxa"/>
            <w:noWrap/>
            <w:hideMark/>
          </w:tcPr>
          <w:p w14:paraId="0E649DF0"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£266,500,000</w:t>
            </w:r>
          </w:p>
        </w:tc>
        <w:tc>
          <w:tcPr>
            <w:tcW w:w="1460" w:type="dxa"/>
            <w:noWrap/>
            <w:hideMark/>
          </w:tcPr>
          <w:p w14:paraId="450BC2A6" w14:textId="77777777" w:rsidR="00553FD5" w:rsidRPr="000B1890" w:rsidRDefault="00FC5EBD"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£348,437,500</w:t>
            </w:r>
          </w:p>
        </w:tc>
        <w:tc>
          <w:tcPr>
            <w:tcW w:w="1611" w:type="dxa"/>
            <w:noWrap/>
            <w:hideMark/>
          </w:tcPr>
          <w:p w14:paraId="6F373890"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£196,315,800</w:t>
            </w:r>
          </w:p>
        </w:tc>
        <w:tc>
          <w:tcPr>
            <w:tcW w:w="1460" w:type="dxa"/>
            <w:noWrap/>
            <w:hideMark/>
          </w:tcPr>
          <w:p w14:paraId="3481D97C"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£276,428,600</w:t>
            </w:r>
          </w:p>
        </w:tc>
        <w:tc>
          <w:tcPr>
            <w:tcW w:w="1607" w:type="dxa"/>
            <w:noWrap/>
            <w:hideMark/>
          </w:tcPr>
          <w:p w14:paraId="7481368C"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£78,346,500</w:t>
            </w:r>
          </w:p>
        </w:tc>
      </w:tr>
      <w:tr w:rsidR="00553FD5" w:rsidRPr="000B1890" w14:paraId="6AF1362C"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1919" w:type="dxa"/>
            <w:shd w:val="clear" w:color="auto" w:fill="E6E4DE" w:themeFill="accent6"/>
            <w:noWrap/>
            <w:hideMark/>
          </w:tcPr>
          <w:p w14:paraId="26D8D091" w14:textId="77777777" w:rsidR="00553FD5" w:rsidRPr="000B1890" w:rsidRDefault="00553FD5" w:rsidP="00C93734">
            <w:pPr>
              <w:spacing w:after="120"/>
              <w:jc w:val="both"/>
              <w:rPr>
                <w:b/>
                <w:color w:val="000000"/>
              </w:rPr>
            </w:pPr>
            <w:r w:rsidRPr="000B1890">
              <w:rPr>
                <w:b/>
                <w:color w:val="000000"/>
              </w:rPr>
              <w:t>Total</w:t>
            </w:r>
          </w:p>
        </w:tc>
        <w:tc>
          <w:tcPr>
            <w:tcW w:w="1440" w:type="dxa"/>
            <w:shd w:val="clear" w:color="auto" w:fill="E6E4DE" w:themeFill="accent6"/>
            <w:noWrap/>
            <w:hideMark/>
          </w:tcPr>
          <w:p w14:paraId="66C622F0"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b/>
                <w:color w:val="000000"/>
              </w:rPr>
            </w:pPr>
            <w:r w:rsidRPr="000B1890">
              <w:rPr>
                <w:b/>
                <w:color w:val="000000"/>
              </w:rPr>
              <w:t>£375,832,400</w:t>
            </w:r>
          </w:p>
        </w:tc>
        <w:tc>
          <w:tcPr>
            <w:tcW w:w="1460" w:type="dxa"/>
            <w:shd w:val="clear" w:color="auto" w:fill="E6E4DE" w:themeFill="accent6"/>
            <w:noWrap/>
            <w:hideMark/>
          </w:tcPr>
          <w:p w14:paraId="5A375057" w14:textId="77777777" w:rsidR="00553FD5" w:rsidRPr="000B1890" w:rsidRDefault="00FC5EBD" w:rsidP="00C93734">
            <w:pPr>
              <w:spacing w:after="120"/>
              <w:ind w:right="98"/>
              <w:jc w:val="both"/>
              <w:cnfStyle w:val="000000000000" w:firstRow="0" w:lastRow="0" w:firstColumn="0" w:lastColumn="0" w:oddVBand="0" w:evenVBand="0" w:oddHBand="0" w:evenHBand="0" w:firstRowFirstColumn="0" w:firstRowLastColumn="0" w:lastRowFirstColumn="0" w:lastRowLastColumn="0"/>
              <w:rPr>
                <w:b/>
                <w:color w:val="000000"/>
              </w:rPr>
            </w:pPr>
            <w:r w:rsidRPr="000B1890">
              <w:rPr>
                <w:b/>
                <w:color w:val="000000"/>
              </w:rPr>
              <w:t>£632,181,800</w:t>
            </w:r>
          </w:p>
        </w:tc>
        <w:tc>
          <w:tcPr>
            <w:tcW w:w="1611" w:type="dxa"/>
            <w:shd w:val="clear" w:color="auto" w:fill="E6E4DE" w:themeFill="accent6"/>
            <w:noWrap/>
            <w:hideMark/>
          </w:tcPr>
          <w:p w14:paraId="1711FCD0"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b/>
                <w:color w:val="000000"/>
              </w:rPr>
            </w:pPr>
            <w:r w:rsidRPr="000B1890">
              <w:rPr>
                <w:b/>
                <w:color w:val="000000"/>
              </w:rPr>
              <w:t>£239,775,500</w:t>
            </w:r>
          </w:p>
        </w:tc>
        <w:tc>
          <w:tcPr>
            <w:tcW w:w="1460" w:type="dxa"/>
            <w:shd w:val="clear" w:color="auto" w:fill="E6E4DE" w:themeFill="accent6"/>
            <w:noWrap/>
            <w:hideMark/>
          </w:tcPr>
          <w:p w14:paraId="281C7DEC"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b/>
                <w:color w:val="000000"/>
              </w:rPr>
            </w:pPr>
            <w:r w:rsidRPr="000B1890">
              <w:rPr>
                <w:b/>
                <w:color w:val="000000"/>
              </w:rPr>
              <w:t xml:space="preserve">£310,829,800 </w:t>
            </w:r>
          </w:p>
        </w:tc>
        <w:tc>
          <w:tcPr>
            <w:tcW w:w="1607" w:type="dxa"/>
            <w:shd w:val="clear" w:color="auto" w:fill="E6E4DE" w:themeFill="accent6"/>
            <w:noWrap/>
            <w:hideMark/>
          </w:tcPr>
          <w:p w14:paraId="68178FB6" w14:textId="77777777" w:rsidR="00553FD5" w:rsidRPr="000B1890" w:rsidRDefault="00553FD5" w:rsidP="00C93734">
            <w:pPr>
              <w:spacing w:after="120"/>
              <w:ind w:right="98"/>
              <w:jc w:val="both"/>
              <w:cnfStyle w:val="000000000000" w:firstRow="0" w:lastRow="0" w:firstColumn="0" w:lastColumn="0" w:oddVBand="0" w:evenVBand="0" w:oddHBand="0" w:evenHBand="0" w:firstRowFirstColumn="0" w:firstRowLastColumn="0" w:lastRowFirstColumn="0" w:lastRowLastColumn="0"/>
              <w:rPr>
                <w:b/>
                <w:color w:val="000000"/>
              </w:rPr>
            </w:pPr>
            <w:r w:rsidRPr="000B1890">
              <w:rPr>
                <w:b/>
                <w:color w:val="000000"/>
              </w:rPr>
              <w:t>£181,998,800</w:t>
            </w:r>
          </w:p>
        </w:tc>
      </w:tr>
      <w:tr w:rsidR="00553FD5" w:rsidRPr="000B1890" w14:paraId="6DBC41AF"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7890" w:type="dxa"/>
            <w:gridSpan w:val="5"/>
            <w:shd w:val="clear" w:color="auto" w:fill="E6E4DE" w:themeFill="accent6"/>
            <w:noWrap/>
            <w:hideMark/>
          </w:tcPr>
          <w:p w14:paraId="42B815E5" w14:textId="77777777" w:rsidR="00553FD5" w:rsidRPr="000B1890" w:rsidRDefault="00553FD5" w:rsidP="00C93734">
            <w:pPr>
              <w:spacing w:after="120"/>
              <w:ind w:right="98"/>
              <w:jc w:val="both"/>
              <w:rPr>
                <w:b/>
                <w:color w:val="000000"/>
              </w:rPr>
            </w:pPr>
            <w:r w:rsidRPr="000B1890">
              <w:rPr>
                <w:b/>
                <w:color w:val="000000"/>
              </w:rPr>
              <w:t>Total Key Sectors</w:t>
            </w:r>
          </w:p>
        </w:tc>
        <w:tc>
          <w:tcPr>
            <w:tcW w:w="1607" w:type="dxa"/>
            <w:shd w:val="clear" w:color="auto" w:fill="E6E4DE" w:themeFill="accent6"/>
            <w:noWrap/>
            <w:hideMark/>
          </w:tcPr>
          <w:p w14:paraId="2B2CB8DA" w14:textId="77777777" w:rsidR="00553FD5" w:rsidRPr="000B1890" w:rsidRDefault="00AF18B5" w:rsidP="00C93734">
            <w:pPr>
              <w:spacing w:after="120"/>
              <w:ind w:right="98"/>
              <w:jc w:val="both"/>
              <w:cnfStyle w:val="000000000000" w:firstRow="0" w:lastRow="0" w:firstColumn="0" w:lastColumn="0" w:oddVBand="0" w:evenVBand="0" w:oddHBand="0" w:evenHBand="0" w:firstRowFirstColumn="0" w:firstRowLastColumn="0" w:lastRowFirstColumn="0" w:lastRowLastColumn="0"/>
              <w:rPr>
                <w:b/>
                <w:color w:val="000000"/>
              </w:rPr>
            </w:pPr>
            <w:r w:rsidRPr="000B1890">
              <w:rPr>
                <w:b/>
                <w:color w:val="000000"/>
              </w:rPr>
              <w:t>£1,740,618,300</w:t>
            </w:r>
          </w:p>
        </w:tc>
      </w:tr>
    </w:tbl>
    <w:p w14:paraId="6A30C325" w14:textId="77777777" w:rsidR="00553FD5" w:rsidRPr="000B1890" w:rsidRDefault="00553FD5" w:rsidP="00C93734">
      <w:pPr>
        <w:pStyle w:val="TableSource"/>
        <w:jc w:val="both"/>
      </w:pPr>
      <w:r w:rsidRPr="000B1890">
        <w:t>Source:  Atkins 2013. Atkins Ref: Survey – A2/M45. Figures rounded.</w:t>
      </w:r>
    </w:p>
    <w:p w14:paraId="6BBB43EC" w14:textId="77777777" w:rsidR="00553FD5" w:rsidRPr="002805F3" w:rsidRDefault="00553FD5" w:rsidP="00C93734">
      <w:pPr>
        <w:pStyle w:val="BodyText"/>
        <w:jc w:val="both"/>
      </w:pPr>
      <w:r w:rsidRPr="000B1890">
        <w:t>Using business turnover we are able to assess GDP (the contribution of each economic unit by estimating the value of an output like goods or services less the value</w:t>
      </w:r>
      <w:r w:rsidRPr="002805F3">
        <w:t xml:space="preserve"> of inputs used in that output's production process).  As shown, the range in total turnover for the key sectors within the economic study area is estimated to </w:t>
      </w:r>
      <w:r w:rsidR="00AF18B5">
        <w:t>be £1,7</w:t>
      </w:r>
      <w:r w:rsidRPr="002805F3">
        <w:t xml:space="preserve">40 Million. </w:t>
      </w:r>
    </w:p>
    <w:p w14:paraId="0A299AA4" w14:textId="77777777" w:rsidR="00553FD5" w:rsidRPr="002805F3" w:rsidRDefault="00553FD5" w:rsidP="00C93734">
      <w:pPr>
        <w:pStyle w:val="BodyText"/>
        <w:jc w:val="both"/>
      </w:pPr>
      <w:r w:rsidRPr="002805F3">
        <w:t xml:space="preserve">Putting this in context, the European Commission estimates the North and North East Lincolnshire GDP to be €7,598 million (NUTS III, Eurostat, 2011) or £6,350 Million. Therefore, the key sector’s account for </w:t>
      </w:r>
      <w:r w:rsidR="00AF18B5">
        <w:t xml:space="preserve">27.4 </w:t>
      </w:r>
      <w:r w:rsidRPr="002805F3">
        <w:t xml:space="preserve">% of the total North and North East Lincolnshire economy GDP. </w:t>
      </w:r>
      <w:r w:rsidR="005D2AE1">
        <w:t xml:space="preserve">Taking this further we have estimated North East Lincolnshire’s GDP to be worth £3,021 million and therefore the key sectors make up 57% of North East Lincolnshire’s total output. </w:t>
      </w:r>
      <w:r w:rsidRPr="002805F3">
        <w:t xml:space="preserve">This demonstrates the </w:t>
      </w:r>
      <w:r w:rsidR="00BA6A7B">
        <w:t>significance</w:t>
      </w:r>
      <w:r w:rsidR="00BA6A7B" w:rsidRPr="002805F3">
        <w:t xml:space="preserve"> </w:t>
      </w:r>
      <w:r w:rsidRPr="002805F3">
        <w:t xml:space="preserve">of the key sectors in terms of output value, </w:t>
      </w:r>
      <w:r>
        <w:t xml:space="preserve">productivity </w:t>
      </w:r>
      <w:r w:rsidRPr="002805F3">
        <w:t>and their importance to the local economy. Furthermore, our estimates exclude a number of key operations and activities such as education and wider supply chain activities</w:t>
      </w:r>
      <w:r>
        <w:t xml:space="preserve"> (e.g. legal and financial)</w:t>
      </w:r>
      <w:r w:rsidRPr="002805F3">
        <w:t>. Inclusion of these activities would significantly increase the contribution of the key sectors to the local economy. Indeed, the economic impact estimates sh</w:t>
      </w:r>
      <w:r>
        <w:t>ould be considered as reasonably</w:t>
      </w:r>
      <w:r w:rsidRPr="002805F3">
        <w:t xml:space="preserve"> conservative </w:t>
      </w:r>
      <w:r>
        <w:t xml:space="preserve">as they </w:t>
      </w:r>
      <w:r w:rsidRPr="002805F3">
        <w:t xml:space="preserve">reflect </w:t>
      </w:r>
      <w:r>
        <w:t xml:space="preserve">the </w:t>
      </w:r>
      <w:r w:rsidRPr="002805F3">
        <w:t>impact of a narrow range of businesses.</w:t>
      </w:r>
    </w:p>
    <w:p w14:paraId="791E3A40" w14:textId="77777777" w:rsidR="00553FD5" w:rsidRPr="002805F3" w:rsidRDefault="00553FD5" w:rsidP="00C93734">
      <w:pPr>
        <w:pStyle w:val="Heading7"/>
        <w:jc w:val="both"/>
      </w:pPr>
      <w:bookmarkStart w:id="632" w:name="_Toc395103940"/>
      <w:r w:rsidRPr="002805F3">
        <w:t>Gross Value Added (GVA)</w:t>
      </w:r>
      <w:bookmarkEnd w:id="632"/>
    </w:p>
    <w:p w14:paraId="17AD9DB1" w14:textId="77777777" w:rsidR="00553FD5" w:rsidRPr="002805F3" w:rsidRDefault="00553FD5" w:rsidP="00C93734">
      <w:pPr>
        <w:pStyle w:val="BodyText"/>
        <w:jc w:val="both"/>
      </w:pPr>
      <w:r w:rsidRPr="002805F3">
        <w:t xml:space="preserve">In order to calculate the GVA contribution to the economy, estimates of total gross profit and expenditure on wages have been provided by the survey. These two values combined give a reasonable approximation of the GVA contribution to the economy. </w:t>
      </w:r>
    </w:p>
    <w:p w14:paraId="7A874D43" w14:textId="77777777" w:rsidR="00553FD5" w:rsidRPr="002805F3" w:rsidRDefault="00553FD5" w:rsidP="00C93734">
      <w:pPr>
        <w:pStyle w:val="BodyText"/>
        <w:jc w:val="both"/>
      </w:pPr>
      <w:r w:rsidRPr="002805F3">
        <w:t>Respondents were asked in the business survey to estimate their proportion of total turnover that is attributable to purchases, wages, rent &amp; other overheads, and gross profit. As shown below, the GVA contribution to the economy of the key sectors is approximately £</w:t>
      </w:r>
      <w:r w:rsidR="00AF18B5">
        <w:t>912</w:t>
      </w:r>
      <w:r w:rsidRPr="002805F3">
        <w:t xml:space="preserve"> million. This is equivale</w:t>
      </w:r>
      <w:r w:rsidR="00AF18B5">
        <w:t>nt to approximately 17</w:t>
      </w:r>
      <w:r w:rsidRPr="002805F3">
        <w:t>% of total GVA within North East Lincolnshire (£</w:t>
      </w:r>
      <w:r w:rsidR="00AF18B5">
        <w:t xml:space="preserve">5,838 </w:t>
      </w:r>
      <w:r w:rsidRPr="002805F3">
        <w:t>million – ONS 2011)</w:t>
      </w:r>
    </w:p>
    <w:p w14:paraId="33AC0BDC" w14:textId="77777777" w:rsidR="00553FD5" w:rsidRPr="000B1890" w:rsidRDefault="00553FD5" w:rsidP="00C93734">
      <w:pPr>
        <w:pStyle w:val="Caption"/>
        <w:jc w:val="both"/>
      </w:pPr>
      <w:bookmarkStart w:id="633" w:name="_Toc383159707"/>
      <w:r>
        <w:t xml:space="preserve">Table </w:t>
      </w:r>
      <w:fldSimple w:instr=" STYLEREF 1 \s  \* MERGEFORMAT ">
        <w:r w:rsidR="00E95E1A">
          <w:rPr>
            <w:noProof/>
          </w:rPr>
          <w:t>0</w:t>
        </w:r>
      </w:fldSimple>
      <w:r>
        <w:t>-</w:t>
      </w:r>
      <w:fldSimple w:instr=" SEQ Table \* ARABIC \s 1  \* MERGEFORMAT ">
        <w:r w:rsidR="00E95E1A">
          <w:rPr>
            <w:noProof/>
          </w:rPr>
          <w:t>6</w:t>
        </w:r>
      </w:fldSimple>
      <w:r>
        <w:tab/>
      </w:r>
      <w:r w:rsidRPr="000B1890">
        <w:t>Total GVA for Sectors</w:t>
      </w:r>
      <w:bookmarkEnd w:id="633"/>
    </w:p>
    <w:tbl>
      <w:tblPr>
        <w:tblStyle w:val="Atkins14pt"/>
        <w:tblW w:w="9781" w:type="dxa"/>
        <w:tblLayout w:type="fixed"/>
        <w:tblLook w:val="04A0" w:firstRow="1" w:lastRow="0" w:firstColumn="1" w:lastColumn="0" w:noHBand="0" w:noVBand="1"/>
      </w:tblPr>
      <w:tblGrid>
        <w:gridCol w:w="1134"/>
        <w:gridCol w:w="1323"/>
        <w:gridCol w:w="1323"/>
        <w:gridCol w:w="1323"/>
        <w:gridCol w:w="1323"/>
        <w:gridCol w:w="1323"/>
        <w:gridCol w:w="1323"/>
        <w:gridCol w:w="709"/>
      </w:tblGrid>
      <w:tr w:rsidR="00553FD5" w:rsidRPr="000B1890" w14:paraId="0A770BEB" w14:textId="77777777" w:rsidTr="007A1492">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134" w:type="dxa"/>
            <w:noWrap/>
            <w:hideMark/>
          </w:tcPr>
          <w:p w14:paraId="6A4FCEF6" w14:textId="77777777" w:rsidR="00553FD5" w:rsidRPr="000B1890" w:rsidRDefault="00553FD5" w:rsidP="00C93734">
            <w:pPr>
              <w:spacing w:after="120"/>
              <w:jc w:val="both"/>
              <w:rPr>
                <w:color w:val="000000"/>
                <w:sz w:val="18"/>
              </w:rPr>
            </w:pPr>
            <w:r w:rsidRPr="000B1890">
              <w:rPr>
                <w:color w:val="000000"/>
                <w:sz w:val="18"/>
              </w:rPr>
              <w:t>Sector</w:t>
            </w:r>
          </w:p>
        </w:tc>
        <w:tc>
          <w:tcPr>
            <w:tcW w:w="1323" w:type="dxa"/>
            <w:noWrap/>
            <w:hideMark/>
          </w:tcPr>
          <w:p w14:paraId="12C39D9E" w14:textId="77777777" w:rsidR="00553FD5" w:rsidRPr="000B1890"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0B1890">
              <w:rPr>
                <w:color w:val="000000"/>
                <w:sz w:val="18"/>
              </w:rPr>
              <w:t>GDP</w:t>
            </w:r>
          </w:p>
        </w:tc>
        <w:tc>
          <w:tcPr>
            <w:tcW w:w="1323" w:type="dxa"/>
            <w:noWrap/>
            <w:hideMark/>
          </w:tcPr>
          <w:p w14:paraId="75827F9A" w14:textId="77777777" w:rsidR="00553FD5" w:rsidRPr="000B1890"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0B1890">
              <w:rPr>
                <w:color w:val="000000"/>
                <w:sz w:val="18"/>
              </w:rPr>
              <w:t>Total Purchases</w:t>
            </w:r>
          </w:p>
        </w:tc>
        <w:tc>
          <w:tcPr>
            <w:tcW w:w="1323" w:type="dxa"/>
            <w:noWrap/>
            <w:hideMark/>
          </w:tcPr>
          <w:p w14:paraId="2A66228B" w14:textId="77777777" w:rsidR="00553FD5" w:rsidRPr="000B1890"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0B1890">
              <w:rPr>
                <w:color w:val="000000"/>
                <w:sz w:val="18"/>
              </w:rPr>
              <w:t>Payroll</w:t>
            </w:r>
          </w:p>
        </w:tc>
        <w:tc>
          <w:tcPr>
            <w:tcW w:w="1323" w:type="dxa"/>
            <w:noWrap/>
            <w:hideMark/>
          </w:tcPr>
          <w:p w14:paraId="2B48020B" w14:textId="77777777" w:rsidR="00553FD5" w:rsidRPr="000B1890"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0B1890">
              <w:rPr>
                <w:color w:val="000000"/>
                <w:sz w:val="18"/>
              </w:rPr>
              <w:t>Land or property</w:t>
            </w:r>
          </w:p>
        </w:tc>
        <w:tc>
          <w:tcPr>
            <w:tcW w:w="1323" w:type="dxa"/>
            <w:noWrap/>
            <w:hideMark/>
          </w:tcPr>
          <w:p w14:paraId="048327C8" w14:textId="77777777" w:rsidR="00553FD5" w:rsidRPr="000B1890"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0B1890">
              <w:rPr>
                <w:color w:val="000000"/>
                <w:sz w:val="18"/>
              </w:rPr>
              <w:t>Gross Profit</w:t>
            </w:r>
          </w:p>
        </w:tc>
        <w:tc>
          <w:tcPr>
            <w:tcW w:w="1323" w:type="dxa"/>
            <w:noWrap/>
            <w:hideMark/>
          </w:tcPr>
          <w:p w14:paraId="3699D795" w14:textId="77777777" w:rsidR="00553FD5" w:rsidRPr="000B1890"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0B1890">
              <w:rPr>
                <w:color w:val="000000"/>
                <w:sz w:val="18"/>
              </w:rPr>
              <w:t>GVA</w:t>
            </w:r>
          </w:p>
        </w:tc>
        <w:tc>
          <w:tcPr>
            <w:tcW w:w="709" w:type="dxa"/>
            <w:noWrap/>
            <w:hideMark/>
          </w:tcPr>
          <w:p w14:paraId="46F0443F" w14:textId="77777777" w:rsidR="00553FD5" w:rsidRPr="000B1890"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sz w:val="18"/>
              </w:rPr>
            </w:pPr>
            <w:r w:rsidRPr="000B1890">
              <w:rPr>
                <w:color w:val="000000"/>
                <w:sz w:val="18"/>
              </w:rPr>
              <w:t>GVA % of GDP</w:t>
            </w:r>
          </w:p>
        </w:tc>
      </w:tr>
      <w:tr w:rsidR="00553FD5" w:rsidRPr="000B1890" w14:paraId="06B2908B"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1410E07C" w14:textId="77777777" w:rsidR="00553FD5" w:rsidRPr="000B1890" w:rsidRDefault="00553FD5" w:rsidP="00C93734">
            <w:pPr>
              <w:spacing w:after="120"/>
              <w:jc w:val="both"/>
              <w:rPr>
                <w:color w:val="000000"/>
                <w:sz w:val="18"/>
              </w:rPr>
            </w:pPr>
            <w:r w:rsidRPr="000B1890">
              <w:rPr>
                <w:color w:val="000000"/>
                <w:sz w:val="18"/>
              </w:rPr>
              <w:t>Renewables</w:t>
            </w:r>
          </w:p>
        </w:tc>
        <w:tc>
          <w:tcPr>
            <w:tcW w:w="1323" w:type="dxa"/>
            <w:noWrap/>
            <w:hideMark/>
          </w:tcPr>
          <w:p w14:paraId="6680ABAB"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£375,832,400</w:t>
            </w:r>
          </w:p>
        </w:tc>
        <w:tc>
          <w:tcPr>
            <w:tcW w:w="1323" w:type="dxa"/>
            <w:noWrap/>
            <w:hideMark/>
          </w:tcPr>
          <w:p w14:paraId="7146A8EB"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£133,591,335</w:t>
            </w:r>
          </w:p>
        </w:tc>
        <w:tc>
          <w:tcPr>
            <w:tcW w:w="1323" w:type="dxa"/>
            <w:noWrap/>
            <w:hideMark/>
          </w:tcPr>
          <w:p w14:paraId="3ECB2B7E"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£96,213,094</w:t>
            </w:r>
          </w:p>
        </w:tc>
        <w:tc>
          <w:tcPr>
            <w:tcW w:w="1323" w:type="dxa"/>
            <w:noWrap/>
            <w:hideMark/>
          </w:tcPr>
          <w:p w14:paraId="13505ED0"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£28,396,226</w:t>
            </w:r>
          </w:p>
        </w:tc>
        <w:tc>
          <w:tcPr>
            <w:tcW w:w="1323" w:type="dxa"/>
            <w:noWrap/>
            <w:hideMark/>
          </w:tcPr>
          <w:p w14:paraId="0D520378"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£118,387,206</w:t>
            </w:r>
          </w:p>
        </w:tc>
        <w:tc>
          <w:tcPr>
            <w:tcW w:w="1323" w:type="dxa"/>
            <w:noWrap/>
            <w:hideMark/>
          </w:tcPr>
          <w:p w14:paraId="1E5BC506"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£214,600,300</w:t>
            </w:r>
          </w:p>
        </w:tc>
        <w:tc>
          <w:tcPr>
            <w:tcW w:w="709" w:type="dxa"/>
            <w:noWrap/>
            <w:hideMark/>
          </w:tcPr>
          <w:p w14:paraId="41A23406"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57.1%</w:t>
            </w:r>
          </w:p>
        </w:tc>
      </w:tr>
      <w:tr w:rsidR="00FC5EBD" w:rsidRPr="000B1890" w14:paraId="34BD2167"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0B5FC71E" w14:textId="77777777" w:rsidR="00FC5EBD" w:rsidRPr="000B1890" w:rsidRDefault="00FC5EBD" w:rsidP="00C93734">
            <w:pPr>
              <w:spacing w:after="120"/>
              <w:jc w:val="both"/>
              <w:rPr>
                <w:color w:val="000000"/>
                <w:sz w:val="18"/>
              </w:rPr>
            </w:pPr>
            <w:r w:rsidRPr="000B1890">
              <w:rPr>
                <w:color w:val="000000"/>
                <w:sz w:val="18"/>
              </w:rPr>
              <w:t>Ports &amp; Logistics</w:t>
            </w:r>
          </w:p>
        </w:tc>
        <w:tc>
          <w:tcPr>
            <w:tcW w:w="1323" w:type="dxa"/>
            <w:noWrap/>
            <w:hideMark/>
          </w:tcPr>
          <w:p w14:paraId="74667A39" w14:textId="77777777" w:rsidR="00FC5EBD" w:rsidRPr="000B1890" w:rsidRDefault="00FC5EBD"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 xml:space="preserve"> £632,181,800 </w:t>
            </w:r>
          </w:p>
        </w:tc>
        <w:tc>
          <w:tcPr>
            <w:tcW w:w="1323" w:type="dxa"/>
            <w:noWrap/>
            <w:hideMark/>
          </w:tcPr>
          <w:p w14:paraId="1A6BE2FB" w14:textId="77777777" w:rsidR="00FC5EBD" w:rsidRPr="000B1890" w:rsidRDefault="00FC5EBD"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 xml:space="preserve"> £258,983,811 </w:t>
            </w:r>
          </w:p>
        </w:tc>
        <w:tc>
          <w:tcPr>
            <w:tcW w:w="1323" w:type="dxa"/>
            <w:noWrap/>
            <w:hideMark/>
          </w:tcPr>
          <w:p w14:paraId="37EF7DD7" w14:textId="77777777" w:rsidR="00FC5EBD" w:rsidRPr="000B1890" w:rsidRDefault="00FC5EBD"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 xml:space="preserve"> £159,428,348 </w:t>
            </w:r>
          </w:p>
        </w:tc>
        <w:tc>
          <w:tcPr>
            <w:tcW w:w="1323" w:type="dxa"/>
            <w:noWrap/>
            <w:hideMark/>
          </w:tcPr>
          <w:p w14:paraId="79BB85F5" w14:textId="77777777" w:rsidR="00FC5EBD" w:rsidRPr="000B1890" w:rsidRDefault="00FC5EBD"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 xml:space="preserve"> £68,886,017 </w:t>
            </w:r>
          </w:p>
        </w:tc>
        <w:tc>
          <w:tcPr>
            <w:tcW w:w="1323" w:type="dxa"/>
            <w:noWrap/>
            <w:hideMark/>
          </w:tcPr>
          <w:p w14:paraId="2A0EF494" w14:textId="77777777" w:rsidR="00FC5EBD" w:rsidRPr="000B1890" w:rsidRDefault="00FC5EBD"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 xml:space="preserve"> £167,419,180 </w:t>
            </w:r>
          </w:p>
        </w:tc>
        <w:tc>
          <w:tcPr>
            <w:tcW w:w="1323" w:type="dxa"/>
            <w:noWrap/>
            <w:hideMark/>
          </w:tcPr>
          <w:p w14:paraId="1AC98CE3" w14:textId="77777777" w:rsidR="00FC5EBD" w:rsidRPr="000B1890" w:rsidRDefault="00FC5EBD"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 xml:space="preserve"> £326,847,528 </w:t>
            </w:r>
          </w:p>
        </w:tc>
        <w:tc>
          <w:tcPr>
            <w:tcW w:w="709" w:type="dxa"/>
            <w:noWrap/>
            <w:hideMark/>
          </w:tcPr>
          <w:p w14:paraId="412EA001" w14:textId="77777777" w:rsidR="00FC5EBD" w:rsidRPr="000B1890" w:rsidRDefault="00FC5EBD"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51.7%</w:t>
            </w:r>
          </w:p>
        </w:tc>
      </w:tr>
      <w:tr w:rsidR="00553FD5" w:rsidRPr="000B1890" w14:paraId="148EB5AD"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56B73A7E" w14:textId="77777777" w:rsidR="00553FD5" w:rsidRPr="000B1890" w:rsidRDefault="00553FD5" w:rsidP="00C93734">
            <w:pPr>
              <w:spacing w:after="120"/>
              <w:jc w:val="both"/>
              <w:rPr>
                <w:color w:val="000000"/>
                <w:sz w:val="18"/>
              </w:rPr>
            </w:pPr>
            <w:r w:rsidRPr="000B1890">
              <w:rPr>
                <w:color w:val="000000"/>
                <w:sz w:val="18"/>
              </w:rPr>
              <w:t>Food manufacturing</w:t>
            </w:r>
          </w:p>
        </w:tc>
        <w:tc>
          <w:tcPr>
            <w:tcW w:w="1323" w:type="dxa"/>
            <w:noWrap/>
            <w:hideMark/>
          </w:tcPr>
          <w:p w14:paraId="4E4BD7F4"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£239,775,500</w:t>
            </w:r>
          </w:p>
        </w:tc>
        <w:tc>
          <w:tcPr>
            <w:tcW w:w="1323" w:type="dxa"/>
            <w:noWrap/>
            <w:hideMark/>
          </w:tcPr>
          <w:p w14:paraId="4EA87FDC"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£120,587,095</w:t>
            </w:r>
          </w:p>
        </w:tc>
        <w:tc>
          <w:tcPr>
            <w:tcW w:w="1323" w:type="dxa"/>
            <w:noWrap/>
            <w:hideMark/>
          </w:tcPr>
          <w:p w14:paraId="313DFB0E"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£40,854,056</w:t>
            </w:r>
          </w:p>
        </w:tc>
        <w:tc>
          <w:tcPr>
            <w:tcW w:w="1323" w:type="dxa"/>
            <w:noWrap/>
            <w:hideMark/>
          </w:tcPr>
          <w:p w14:paraId="31D523A6"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£28,293,509</w:t>
            </w:r>
          </w:p>
        </w:tc>
        <w:tc>
          <w:tcPr>
            <w:tcW w:w="1323" w:type="dxa"/>
            <w:noWrap/>
            <w:hideMark/>
          </w:tcPr>
          <w:p w14:paraId="58C56FCB"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£60,971,484</w:t>
            </w:r>
          </w:p>
        </w:tc>
        <w:tc>
          <w:tcPr>
            <w:tcW w:w="1323" w:type="dxa"/>
            <w:noWrap/>
            <w:hideMark/>
          </w:tcPr>
          <w:p w14:paraId="295EAC71"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£101,825,541</w:t>
            </w:r>
          </w:p>
        </w:tc>
        <w:tc>
          <w:tcPr>
            <w:tcW w:w="709" w:type="dxa"/>
            <w:noWrap/>
            <w:hideMark/>
          </w:tcPr>
          <w:p w14:paraId="300A41E5"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42.5%</w:t>
            </w:r>
          </w:p>
        </w:tc>
      </w:tr>
      <w:tr w:rsidR="00553FD5" w:rsidRPr="000B1890" w14:paraId="1398101C"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41DC6C43" w14:textId="77777777" w:rsidR="00553FD5" w:rsidRPr="000B1890" w:rsidRDefault="00553FD5" w:rsidP="00C93734">
            <w:pPr>
              <w:spacing w:after="120"/>
              <w:jc w:val="both"/>
              <w:rPr>
                <w:color w:val="000000"/>
                <w:sz w:val="18"/>
              </w:rPr>
            </w:pPr>
            <w:r w:rsidRPr="000B1890">
              <w:rPr>
                <w:color w:val="000000"/>
                <w:sz w:val="18"/>
              </w:rPr>
              <w:t>Chemicals &amp; process industries</w:t>
            </w:r>
          </w:p>
        </w:tc>
        <w:tc>
          <w:tcPr>
            <w:tcW w:w="1323" w:type="dxa"/>
            <w:noWrap/>
            <w:hideMark/>
          </w:tcPr>
          <w:p w14:paraId="40322BF1"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£310,829,800</w:t>
            </w:r>
          </w:p>
        </w:tc>
        <w:tc>
          <w:tcPr>
            <w:tcW w:w="1323" w:type="dxa"/>
            <w:noWrap/>
            <w:hideMark/>
          </w:tcPr>
          <w:p w14:paraId="5FCCA214"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£107,624,818</w:t>
            </w:r>
          </w:p>
        </w:tc>
        <w:tc>
          <w:tcPr>
            <w:tcW w:w="1323" w:type="dxa"/>
            <w:noWrap/>
            <w:hideMark/>
          </w:tcPr>
          <w:p w14:paraId="4872B7D3"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£124,677,286</w:t>
            </w:r>
          </w:p>
        </w:tc>
        <w:tc>
          <w:tcPr>
            <w:tcW w:w="1323" w:type="dxa"/>
            <w:noWrap/>
            <w:hideMark/>
          </w:tcPr>
          <w:p w14:paraId="7402FC54"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£30,694,443</w:t>
            </w:r>
          </w:p>
        </w:tc>
        <w:tc>
          <w:tcPr>
            <w:tcW w:w="1323" w:type="dxa"/>
            <w:noWrap/>
            <w:hideMark/>
          </w:tcPr>
          <w:p w14:paraId="31972B30"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£55,560,827</w:t>
            </w:r>
          </w:p>
        </w:tc>
        <w:tc>
          <w:tcPr>
            <w:tcW w:w="1323" w:type="dxa"/>
            <w:noWrap/>
            <w:hideMark/>
          </w:tcPr>
          <w:p w14:paraId="0F608FE8"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£180,238,113</w:t>
            </w:r>
          </w:p>
        </w:tc>
        <w:tc>
          <w:tcPr>
            <w:tcW w:w="709" w:type="dxa"/>
            <w:noWrap/>
            <w:hideMark/>
          </w:tcPr>
          <w:p w14:paraId="067D64FE"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58.0%</w:t>
            </w:r>
          </w:p>
        </w:tc>
      </w:tr>
      <w:tr w:rsidR="00553FD5" w:rsidRPr="000B1890" w14:paraId="592E34AD"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4BAEBF9D" w14:textId="77777777" w:rsidR="00553FD5" w:rsidRPr="000B1890" w:rsidRDefault="00553FD5" w:rsidP="00C93734">
            <w:pPr>
              <w:spacing w:after="120"/>
              <w:jc w:val="both"/>
              <w:rPr>
                <w:color w:val="000000"/>
                <w:sz w:val="18"/>
              </w:rPr>
            </w:pPr>
            <w:r w:rsidRPr="000B1890">
              <w:rPr>
                <w:color w:val="000000"/>
                <w:sz w:val="18"/>
              </w:rPr>
              <w:t>Visitor Economy &amp; Retail</w:t>
            </w:r>
          </w:p>
        </w:tc>
        <w:tc>
          <w:tcPr>
            <w:tcW w:w="1323" w:type="dxa"/>
            <w:noWrap/>
            <w:hideMark/>
          </w:tcPr>
          <w:p w14:paraId="09F9C1C8"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£181,998,800</w:t>
            </w:r>
          </w:p>
        </w:tc>
        <w:tc>
          <w:tcPr>
            <w:tcW w:w="1323" w:type="dxa"/>
            <w:noWrap/>
            <w:hideMark/>
          </w:tcPr>
          <w:p w14:paraId="4D8BBDAB"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£66,804,265</w:t>
            </w:r>
          </w:p>
        </w:tc>
        <w:tc>
          <w:tcPr>
            <w:tcW w:w="1323" w:type="dxa"/>
            <w:noWrap/>
            <w:hideMark/>
          </w:tcPr>
          <w:p w14:paraId="04F822D0"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£43,575,713</w:t>
            </w:r>
          </w:p>
        </w:tc>
        <w:tc>
          <w:tcPr>
            <w:tcW w:w="1323" w:type="dxa"/>
            <w:noWrap/>
            <w:hideMark/>
          </w:tcPr>
          <w:p w14:paraId="3E5C494C"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£26,122,181</w:t>
            </w:r>
          </w:p>
        </w:tc>
        <w:tc>
          <w:tcPr>
            <w:tcW w:w="1323" w:type="dxa"/>
            <w:noWrap/>
            <w:hideMark/>
          </w:tcPr>
          <w:p w14:paraId="7574CA3D"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£45,720,305</w:t>
            </w:r>
          </w:p>
        </w:tc>
        <w:tc>
          <w:tcPr>
            <w:tcW w:w="1323" w:type="dxa"/>
            <w:noWrap/>
            <w:hideMark/>
          </w:tcPr>
          <w:p w14:paraId="1C7F7A00"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£89,296,017</w:t>
            </w:r>
          </w:p>
        </w:tc>
        <w:tc>
          <w:tcPr>
            <w:tcW w:w="709" w:type="dxa"/>
            <w:noWrap/>
            <w:hideMark/>
          </w:tcPr>
          <w:p w14:paraId="617824F2" w14:textId="77777777" w:rsidR="00553FD5" w:rsidRPr="000B1890"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49.1%</w:t>
            </w:r>
          </w:p>
        </w:tc>
      </w:tr>
      <w:tr w:rsidR="00553FD5" w:rsidRPr="000B1890" w14:paraId="268E3C26"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9781" w:type="dxa"/>
            <w:gridSpan w:val="8"/>
            <w:noWrap/>
            <w:hideMark/>
          </w:tcPr>
          <w:p w14:paraId="5CA7A5BD" w14:textId="77777777" w:rsidR="00553FD5" w:rsidRPr="000B1890" w:rsidRDefault="00553FD5" w:rsidP="00C93734">
            <w:pPr>
              <w:spacing w:after="120"/>
              <w:jc w:val="both"/>
              <w:rPr>
                <w:color w:val="000000"/>
                <w:sz w:val="18"/>
              </w:rPr>
            </w:pPr>
          </w:p>
        </w:tc>
      </w:tr>
      <w:tr w:rsidR="00FC5EBD" w:rsidRPr="000B1890" w14:paraId="11B06A9F"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1134" w:type="dxa"/>
            <w:shd w:val="clear" w:color="auto" w:fill="E6E4DE" w:themeFill="accent6"/>
            <w:noWrap/>
            <w:hideMark/>
          </w:tcPr>
          <w:p w14:paraId="39A63447" w14:textId="77777777" w:rsidR="00FC5EBD" w:rsidRPr="000B1890" w:rsidRDefault="00FC5EBD" w:rsidP="00C93734">
            <w:pPr>
              <w:spacing w:after="120"/>
              <w:jc w:val="both"/>
              <w:rPr>
                <w:color w:val="000000"/>
                <w:sz w:val="18"/>
              </w:rPr>
            </w:pPr>
            <w:r w:rsidRPr="000B1890">
              <w:rPr>
                <w:color w:val="000000"/>
                <w:sz w:val="18"/>
              </w:rPr>
              <w:t>Total</w:t>
            </w:r>
          </w:p>
        </w:tc>
        <w:tc>
          <w:tcPr>
            <w:tcW w:w="1323" w:type="dxa"/>
            <w:shd w:val="clear" w:color="auto" w:fill="E6E4DE" w:themeFill="accent6"/>
            <w:noWrap/>
            <w:hideMark/>
          </w:tcPr>
          <w:p w14:paraId="383063A8" w14:textId="77777777" w:rsidR="00FC5EBD" w:rsidRPr="000B1890" w:rsidRDefault="00FC5EBD" w:rsidP="00C93734">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£1,740,618,300 </w:t>
            </w:r>
          </w:p>
        </w:tc>
        <w:tc>
          <w:tcPr>
            <w:tcW w:w="1323" w:type="dxa"/>
            <w:shd w:val="clear" w:color="auto" w:fill="E6E4DE" w:themeFill="accent6"/>
            <w:noWrap/>
            <w:hideMark/>
          </w:tcPr>
          <w:p w14:paraId="336BF208" w14:textId="77777777" w:rsidR="00FC5EBD" w:rsidRPr="000B1890" w:rsidRDefault="00FC5EBD" w:rsidP="00C93734">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 £687,591,325 </w:t>
            </w:r>
          </w:p>
        </w:tc>
        <w:tc>
          <w:tcPr>
            <w:tcW w:w="1323" w:type="dxa"/>
            <w:shd w:val="clear" w:color="auto" w:fill="E6E4DE" w:themeFill="accent6"/>
            <w:noWrap/>
            <w:hideMark/>
          </w:tcPr>
          <w:p w14:paraId="4F30FA1E" w14:textId="77777777" w:rsidR="00FC5EBD" w:rsidRPr="000B1890" w:rsidRDefault="00FC5EBD" w:rsidP="00C93734">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 £464,748,498 </w:t>
            </w:r>
          </w:p>
        </w:tc>
        <w:tc>
          <w:tcPr>
            <w:tcW w:w="1323" w:type="dxa"/>
            <w:shd w:val="clear" w:color="auto" w:fill="E6E4DE" w:themeFill="accent6"/>
            <w:noWrap/>
            <w:hideMark/>
          </w:tcPr>
          <w:p w14:paraId="24F8293E" w14:textId="77777777" w:rsidR="00FC5EBD" w:rsidRPr="000B1890" w:rsidRDefault="00FC5EBD" w:rsidP="00C93734">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 £182,392,375 </w:t>
            </w:r>
          </w:p>
        </w:tc>
        <w:tc>
          <w:tcPr>
            <w:tcW w:w="1323" w:type="dxa"/>
            <w:shd w:val="clear" w:color="auto" w:fill="E6E4DE" w:themeFill="accent6"/>
            <w:noWrap/>
            <w:hideMark/>
          </w:tcPr>
          <w:p w14:paraId="5F52E8EB" w14:textId="77777777" w:rsidR="00FC5EBD" w:rsidRPr="000B1890" w:rsidRDefault="00FC5EBD" w:rsidP="00C93734">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 £448,059,002 </w:t>
            </w:r>
          </w:p>
        </w:tc>
        <w:tc>
          <w:tcPr>
            <w:tcW w:w="1323" w:type="dxa"/>
            <w:shd w:val="clear" w:color="auto" w:fill="E6E4DE" w:themeFill="accent6"/>
            <w:noWrap/>
            <w:hideMark/>
          </w:tcPr>
          <w:p w14:paraId="0ABE5E75" w14:textId="77777777" w:rsidR="00FC5EBD" w:rsidRPr="000B1890" w:rsidRDefault="00FC5EBD" w:rsidP="00C93734">
            <w:pPr>
              <w:jc w:val="both"/>
              <w:cnfStyle w:val="000000000000" w:firstRow="0" w:lastRow="0" w:firstColumn="0" w:lastColumn="0" w:oddVBand="0" w:evenVBand="0" w:oddHBand="0" w:evenHBand="0" w:firstRowFirstColumn="0" w:firstRowLastColumn="0" w:lastRowFirstColumn="0" w:lastRowLastColumn="0"/>
              <w:rPr>
                <w:b/>
                <w:color w:val="000000"/>
                <w:sz w:val="18"/>
              </w:rPr>
            </w:pPr>
            <w:r w:rsidRPr="000B1890">
              <w:rPr>
                <w:b/>
                <w:color w:val="000000"/>
                <w:sz w:val="18"/>
              </w:rPr>
              <w:t xml:space="preserve"> £912,807,499 </w:t>
            </w:r>
          </w:p>
        </w:tc>
        <w:tc>
          <w:tcPr>
            <w:tcW w:w="709" w:type="dxa"/>
            <w:shd w:val="clear" w:color="auto" w:fill="E6E4DE" w:themeFill="accent6"/>
            <w:noWrap/>
            <w:hideMark/>
          </w:tcPr>
          <w:p w14:paraId="443A753C" w14:textId="77777777" w:rsidR="00FC5EBD" w:rsidRPr="000B1890" w:rsidRDefault="00FC5EBD"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sz w:val="18"/>
              </w:rPr>
            </w:pPr>
            <w:r w:rsidRPr="000B1890">
              <w:rPr>
                <w:color w:val="000000"/>
                <w:sz w:val="18"/>
              </w:rPr>
              <w:t>52.4%</w:t>
            </w:r>
          </w:p>
        </w:tc>
      </w:tr>
    </w:tbl>
    <w:p w14:paraId="37F717D9" w14:textId="77777777" w:rsidR="00553FD5" w:rsidRPr="002805F3" w:rsidRDefault="00553FD5" w:rsidP="00C93734">
      <w:pPr>
        <w:pStyle w:val="TableSource"/>
        <w:jc w:val="both"/>
      </w:pPr>
      <w:r w:rsidRPr="000B1890">
        <w:t>Source: Hill Taylor &amp; Atkins 2013. Atkins Ref: Survey – A5.1/L20.</w:t>
      </w:r>
      <w:r w:rsidRPr="002805F3">
        <w:t xml:space="preserve"> </w:t>
      </w:r>
    </w:p>
    <w:p w14:paraId="1D5AC19E" w14:textId="77777777" w:rsidR="00553FD5" w:rsidRPr="002805F3" w:rsidRDefault="007A1492" w:rsidP="00C93734">
      <w:pPr>
        <w:pStyle w:val="Heading7"/>
        <w:jc w:val="both"/>
      </w:pPr>
      <w:bookmarkStart w:id="634" w:name="_Toc395103941"/>
      <w:r w:rsidRPr="002805F3">
        <w:t>Employment impact</w:t>
      </w:r>
      <w:bookmarkEnd w:id="634"/>
    </w:p>
    <w:p w14:paraId="3DC27F73" w14:textId="77777777" w:rsidR="00553FD5" w:rsidRPr="002805F3" w:rsidRDefault="00553FD5" w:rsidP="00C93734">
      <w:pPr>
        <w:pStyle w:val="BodyText"/>
        <w:jc w:val="both"/>
      </w:pPr>
      <w:r w:rsidRPr="002805F3">
        <w:t xml:space="preserve">The survey also explored the impact of the industries on local employment and employment from outside the local area. Secondary data provides us with a firm understanding of direct employment in all of the sectors and it is therefore important to explore </w:t>
      </w:r>
      <w:r w:rsidR="00BA6A7B">
        <w:t>how</w:t>
      </w:r>
      <w:r w:rsidRPr="002805F3">
        <w:t xml:space="preserve"> activities support</w:t>
      </w:r>
      <w:r w:rsidR="00BA6A7B">
        <w:t xml:space="preserve"> employment</w:t>
      </w:r>
      <w:r w:rsidRPr="002805F3">
        <w:t xml:space="preserve"> locally and across different areas.</w:t>
      </w:r>
    </w:p>
    <w:p w14:paraId="69A02954" w14:textId="77777777" w:rsidR="00553FD5" w:rsidRPr="002805F3" w:rsidRDefault="00553FD5" w:rsidP="00C93734">
      <w:pPr>
        <w:jc w:val="both"/>
        <w:rPr>
          <w:rFonts w:eastAsia="Batang" w:cs="Arial"/>
          <w:b/>
          <w:color w:val="394A58"/>
          <w:szCs w:val="20"/>
          <w:lang w:eastAsia="ko-KR"/>
        </w:rPr>
      </w:pPr>
      <w:r w:rsidRPr="002805F3">
        <w:rPr>
          <w:rFonts w:eastAsia="Batang" w:cs="Arial"/>
          <w:b/>
          <w:color w:val="394A58"/>
          <w:szCs w:val="20"/>
          <w:lang w:eastAsia="ko-KR"/>
        </w:rPr>
        <w:t>Indirect Employment</w:t>
      </w:r>
    </w:p>
    <w:p w14:paraId="405E7174" w14:textId="77777777" w:rsidR="00553FD5" w:rsidRPr="002805F3" w:rsidRDefault="00553FD5" w:rsidP="00C93734">
      <w:pPr>
        <w:pStyle w:val="BodyText"/>
        <w:jc w:val="both"/>
      </w:pPr>
      <w:r w:rsidRPr="002805F3">
        <w:t xml:space="preserve">Indirect employment relates to the proportion of jobs that are supported by that part of the supply chain which is reliant on key sectors in the North East Lincolnshire area. In order to provide a greater degree of statistical confidence, three methods for measuring indirect employment have been employed: </w:t>
      </w:r>
    </w:p>
    <w:p w14:paraId="0233453D" w14:textId="77777777" w:rsidR="00553FD5" w:rsidRPr="002805F3" w:rsidRDefault="00553FD5" w:rsidP="00C93734">
      <w:pPr>
        <w:pStyle w:val="BodyText"/>
        <w:numPr>
          <w:ilvl w:val="0"/>
          <w:numId w:val="55"/>
        </w:numPr>
        <w:jc w:val="both"/>
      </w:pPr>
      <w:r w:rsidRPr="002805F3">
        <w:t>Wage-driven method</w:t>
      </w:r>
    </w:p>
    <w:p w14:paraId="03F3DD53" w14:textId="77777777" w:rsidR="00553FD5" w:rsidRPr="002805F3" w:rsidRDefault="00553FD5" w:rsidP="00C93734">
      <w:pPr>
        <w:pStyle w:val="BodyText"/>
        <w:numPr>
          <w:ilvl w:val="0"/>
          <w:numId w:val="55"/>
        </w:numPr>
        <w:jc w:val="both"/>
      </w:pPr>
      <w:r w:rsidRPr="002805F3">
        <w:t>Turnover per employee</w:t>
      </w:r>
    </w:p>
    <w:p w14:paraId="3D7E7A6B" w14:textId="77777777" w:rsidR="00553FD5" w:rsidRPr="002805F3" w:rsidRDefault="00553FD5" w:rsidP="00C93734">
      <w:pPr>
        <w:pStyle w:val="BodyText"/>
        <w:numPr>
          <w:ilvl w:val="0"/>
          <w:numId w:val="55"/>
        </w:numPr>
        <w:jc w:val="both"/>
      </w:pPr>
      <w:r w:rsidRPr="002805F3">
        <w:t xml:space="preserve">Simple Type 1 Multiplier (Type </w:t>
      </w:r>
      <w:r w:rsidR="00BA6A7B">
        <w:t>1</w:t>
      </w:r>
      <w:r w:rsidR="00BA6A7B" w:rsidRPr="002805F3">
        <w:t xml:space="preserve"> </w:t>
      </w:r>
      <w:r w:rsidRPr="002805F3">
        <w:t>multipliers provide an estimate of the ratio between direct and indirect employment.)</w:t>
      </w:r>
    </w:p>
    <w:p w14:paraId="382B2D5C" w14:textId="77777777" w:rsidR="00553FD5" w:rsidRPr="002805F3" w:rsidRDefault="00553FD5" w:rsidP="00C93734">
      <w:pPr>
        <w:pStyle w:val="BodyText"/>
        <w:jc w:val="both"/>
      </w:pPr>
      <w:r w:rsidRPr="002805F3">
        <w:t xml:space="preserve">It is important to highlight that both the wage-driven and turnover per employee methods provide estimates of only the first round of supplier effects. In reality, these suppliers will have their own suppliers </w:t>
      </w:r>
      <w:r w:rsidR="00BA6A7B">
        <w:t>meaning</w:t>
      </w:r>
      <w:r w:rsidRPr="002805F3">
        <w:t xml:space="preserve"> additional rounds of jobs are safeguarded </w:t>
      </w:r>
      <w:r w:rsidR="00897303">
        <w:t>or</w:t>
      </w:r>
      <w:r w:rsidR="00897303" w:rsidRPr="002805F3">
        <w:t xml:space="preserve"> </w:t>
      </w:r>
      <w:r w:rsidRPr="002805F3">
        <w:t xml:space="preserve">generated by key sector activities. Consequently, the wage and turnover based approaches potentially under-estimate the amount of indirect employment. </w:t>
      </w:r>
    </w:p>
    <w:p w14:paraId="6B77EC73" w14:textId="77777777" w:rsidR="00553FD5" w:rsidRPr="002805F3" w:rsidRDefault="00553FD5" w:rsidP="00C93734">
      <w:pPr>
        <w:pStyle w:val="BodyText"/>
        <w:jc w:val="both"/>
      </w:pPr>
      <w:r w:rsidRPr="002805F3">
        <w:t>On a point of caution, a number of key assumptions have to be made in making estimates of indirect employment. The assumptions adopted in this model are based on empirical information provided by the business survey</w:t>
      </w:r>
      <w:r w:rsidR="00897303">
        <w:t>,</w:t>
      </w:r>
      <w:r w:rsidRPr="002805F3">
        <w:t xml:space="preserve"> </w:t>
      </w:r>
      <w:r w:rsidR="00897303">
        <w:t>which</w:t>
      </w:r>
      <w:r w:rsidR="00897303" w:rsidRPr="002805F3">
        <w:t xml:space="preserve"> </w:t>
      </w:r>
      <w:r w:rsidRPr="002805F3">
        <w:t>represent</w:t>
      </w:r>
      <w:r w:rsidR="00897303">
        <w:t>s</w:t>
      </w:r>
      <w:r w:rsidRPr="002805F3">
        <w:t xml:space="preserve"> the best available information.</w:t>
      </w:r>
    </w:p>
    <w:p w14:paraId="72B6E34C" w14:textId="77777777" w:rsidR="00553FD5" w:rsidRPr="002805F3" w:rsidRDefault="00553FD5" w:rsidP="00C93734">
      <w:pPr>
        <w:pStyle w:val="BodyText"/>
        <w:jc w:val="both"/>
        <w:rPr>
          <w:b/>
          <w:i/>
        </w:rPr>
      </w:pPr>
      <w:r w:rsidRPr="002805F3">
        <w:rPr>
          <w:b/>
          <w:i/>
        </w:rPr>
        <w:t>Method 1: Wage-driven method</w:t>
      </w:r>
    </w:p>
    <w:p w14:paraId="6D3ACD9F" w14:textId="77777777" w:rsidR="00553FD5" w:rsidRPr="002805F3" w:rsidRDefault="00553FD5" w:rsidP="00C93734">
      <w:pPr>
        <w:pStyle w:val="BodyText"/>
        <w:jc w:val="both"/>
      </w:pPr>
      <w:r w:rsidRPr="002805F3">
        <w:t>The business survey indicated that the total purchases (cost of goods sold) by the key sectors equates to around £</w:t>
      </w:r>
      <w:r>
        <w:t xml:space="preserve">769 </w:t>
      </w:r>
      <w:r w:rsidRPr="002805F3">
        <w:t xml:space="preserve">million. Other firms both in and outside the study area will receive these monies as revenues. From our survey we have also calculated the proportion of this </w:t>
      </w:r>
      <w:r w:rsidR="00C97ED5">
        <w:t>expenditure</w:t>
      </w:r>
      <w:r w:rsidR="00C97ED5" w:rsidRPr="002805F3">
        <w:t xml:space="preserve"> </w:t>
      </w:r>
      <w:r w:rsidRPr="002805F3">
        <w:t xml:space="preserve">that is attributable to North East Lincolnshire area and other areas of the country and the world. </w:t>
      </w:r>
    </w:p>
    <w:p w14:paraId="03EF4613" w14:textId="77777777" w:rsidR="00553FD5" w:rsidRPr="002805F3" w:rsidRDefault="00553FD5" w:rsidP="00C93734">
      <w:pPr>
        <w:pStyle w:val="BodyText"/>
        <w:jc w:val="both"/>
      </w:pPr>
      <w:r w:rsidRPr="002805F3">
        <w:t xml:space="preserve">At </w:t>
      </w:r>
      <w:r w:rsidR="00C97ED5">
        <w:t>the</w:t>
      </w:r>
      <w:r w:rsidRPr="002805F3">
        <w:t xml:space="preserve"> sector level we can assume that the proportion of purchases </w:t>
      </w:r>
      <w:r w:rsidR="00C97ED5">
        <w:t>expenditure</w:t>
      </w:r>
      <w:r w:rsidRPr="002805F3">
        <w:t xml:space="preserve">/supplier revenue spent on wages amounts to </w:t>
      </w:r>
      <w:bookmarkStart w:id="635" w:name="OLE_LINK1"/>
      <w:bookmarkStart w:id="636" w:name="OLE_LINK2"/>
      <w:r w:rsidRPr="002805F3">
        <w:t xml:space="preserve">10.5% </w:t>
      </w:r>
      <w:bookmarkEnd w:id="635"/>
      <w:bookmarkEnd w:id="636"/>
      <w:r w:rsidRPr="002805F3">
        <w:t>(</w:t>
      </w:r>
      <w:r w:rsidR="00C97ED5">
        <w:t>based on data from</w:t>
      </w:r>
      <w:r w:rsidR="00C97ED5" w:rsidRPr="002805F3">
        <w:t xml:space="preserve"> </w:t>
      </w:r>
      <w:r w:rsidRPr="002805F3">
        <w:t>our survey). Figures for the key sectors were also calculated allowing us to analyse the total value spent on indirect employment by the key sectors.</w:t>
      </w:r>
    </w:p>
    <w:p w14:paraId="0D5FFD61" w14:textId="77777777" w:rsidR="00553FD5" w:rsidRPr="002805F3" w:rsidRDefault="00553FD5" w:rsidP="00C93734">
      <w:pPr>
        <w:pStyle w:val="BodyText"/>
        <w:jc w:val="both"/>
      </w:pPr>
      <w:r w:rsidRPr="002805F3">
        <w:t>By calculating average wage</w:t>
      </w:r>
      <w:r w:rsidR="00C97ED5">
        <w:t>s</w:t>
      </w:r>
      <w:r w:rsidRPr="002805F3">
        <w:t xml:space="preserve"> of employees within the sectors (using</w:t>
      </w:r>
      <w:r w:rsidR="00C97ED5">
        <w:t xml:space="preserve"> the</w:t>
      </w:r>
      <w:r w:rsidRPr="002805F3">
        <w:t xml:space="preserve"> Annual Survey of Hours and Earnings, </w:t>
      </w:r>
      <w:r w:rsidR="00C97ED5">
        <w:t xml:space="preserve">from the </w:t>
      </w:r>
      <w:r w:rsidRPr="002805F3">
        <w:t>Office for National Statistics</w:t>
      </w:r>
      <w:r w:rsidRPr="002805F3">
        <w:rPr>
          <w:rStyle w:val="FootnoteReference"/>
        </w:rPr>
        <w:footnoteReference w:id="32"/>
      </w:r>
      <w:r w:rsidRPr="002805F3">
        <w:t xml:space="preserve">) we can then estimate the number of indirect employees supported by the key sectors </w:t>
      </w:r>
      <w:r w:rsidR="00C97ED5">
        <w:t>as</w:t>
      </w:r>
      <w:r w:rsidR="00C97ED5" w:rsidRPr="002805F3">
        <w:t xml:space="preserve"> </w:t>
      </w:r>
      <w:r w:rsidR="00AF18B5">
        <w:t>18</w:t>
      </w:r>
      <w:r w:rsidRPr="002805F3">
        <w:t>,</w:t>
      </w:r>
      <w:r w:rsidR="00AF18B5">
        <w:t>670</w:t>
      </w:r>
      <w:r w:rsidR="00C97ED5">
        <w:t>,</w:t>
      </w:r>
      <w:r w:rsidRPr="002805F3">
        <w:t xml:space="preserve"> as shown in the</w:t>
      </w:r>
      <w:r w:rsidR="00DF4291">
        <w:t xml:space="preserve"> Table </w:t>
      </w:r>
      <w:r w:rsidR="00DF4291">
        <w:rPr>
          <w:noProof/>
        </w:rPr>
        <w:t>0</w:t>
      </w:r>
      <w:r w:rsidR="00DF4291">
        <w:t>-</w:t>
      </w:r>
      <w:r w:rsidR="00DF4291">
        <w:rPr>
          <w:noProof/>
        </w:rPr>
        <w:t>7</w:t>
      </w:r>
      <w:r w:rsidRPr="002805F3">
        <w:t>. The majority are based in</w:t>
      </w:r>
      <w:r>
        <w:t xml:space="preserve"> North And North East</w:t>
      </w:r>
      <w:r w:rsidRPr="002805F3">
        <w:t xml:space="preserve"> Lincolnshire and the Humber area.</w:t>
      </w:r>
    </w:p>
    <w:p w14:paraId="368827BD" w14:textId="77777777" w:rsidR="00553FD5" w:rsidRDefault="00553FD5" w:rsidP="00C93734">
      <w:pPr>
        <w:pStyle w:val="Caption"/>
        <w:jc w:val="both"/>
      </w:pPr>
      <w:bookmarkStart w:id="637" w:name="_Ref391920890"/>
      <w:bookmarkStart w:id="638" w:name="_Toc383159708"/>
      <w:r>
        <w:t xml:space="preserve">Table </w:t>
      </w:r>
      <w:fldSimple w:instr=" STYLEREF 1 \s  \* MERGEFORMAT ">
        <w:r w:rsidR="00E95E1A">
          <w:rPr>
            <w:noProof/>
          </w:rPr>
          <w:t>0</w:t>
        </w:r>
      </w:fldSimple>
      <w:r>
        <w:t>-</w:t>
      </w:r>
      <w:fldSimple w:instr=" SEQ Table \* ARABIC \s 1  \* MERGEFORMAT ">
        <w:r w:rsidR="00E95E1A">
          <w:rPr>
            <w:noProof/>
          </w:rPr>
          <w:t>7</w:t>
        </w:r>
      </w:fldSimple>
      <w:bookmarkEnd w:id="637"/>
      <w:r>
        <w:tab/>
        <w:t>Indirect Employees (First Round Supply Chain)</w:t>
      </w:r>
      <w:bookmarkEnd w:id="638"/>
      <w:r>
        <w:t xml:space="preserve"> </w:t>
      </w:r>
    </w:p>
    <w:tbl>
      <w:tblPr>
        <w:tblStyle w:val="Atkins14pt"/>
        <w:tblW w:w="9781" w:type="dxa"/>
        <w:tblLayout w:type="fixed"/>
        <w:tblLook w:val="04A0" w:firstRow="1" w:lastRow="0" w:firstColumn="1" w:lastColumn="0" w:noHBand="0" w:noVBand="1"/>
      </w:tblPr>
      <w:tblGrid>
        <w:gridCol w:w="1701"/>
        <w:gridCol w:w="1418"/>
        <w:gridCol w:w="1417"/>
        <w:gridCol w:w="1311"/>
        <w:gridCol w:w="1311"/>
        <w:gridCol w:w="1311"/>
        <w:gridCol w:w="1312"/>
      </w:tblGrid>
      <w:tr w:rsidR="00553FD5" w:rsidRPr="00023F68" w14:paraId="656C4F4E" w14:textId="77777777" w:rsidTr="007A1492">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701" w:type="dxa"/>
            <w:noWrap/>
            <w:hideMark/>
          </w:tcPr>
          <w:p w14:paraId="20694BAA" w14:textId="77777777" w:rsidR="00553FD5" w:rsidRPr="00023F68" w:rsidRDefault="00553FD5" w:rsidP="00C93734">
            <w:pPr>
              <w:spacing w:after="120"/>
              <w:jc w:val="both"/>
              <w:rPr>
                <w:color w:val="000000"/>
              </w:rPr>
            </w:pPr>
            <w:r>
              <w:rPr>
                <w:color w:val="000000"/>
              </w:rPr>
              <w:t>Sector</w:t>
            </w:r>
          </w:p>
        </w:tc>
        <w:tc>
          <w:tcPr>
            <w:tcW w:w="1418" w:type="dxa"/>
            <w:noWrap/>
            <w:hideMark/>
          </w:tcPr>
          <w:p w14:paraId="02886F9C" w14:textId="77777777" w:rsidR="00553FD5" w:rsidRPr="00023F68"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rPr>
            </w:pPr>
            <w:r w:rsidRPr="00023F68">
              <w:rPr>
                <w:color w:val="000000"/>
              </w:rPr>
              <w:t>Purchase</w:t>
            </w:r>
          </w:p>
        </w:tc>
        <w:tc>
          <w:tcPr>
            <w:tcW w:w="1417" w:type="dxa"/>
            <w:noWrap/>
            <w:hideMark/>
          </w:tcPr>
          <w:p w14:paraId="472E65A6" w14:textId="77777777" w:rsidR="00553FD5" w:rsidRPr="00023F68"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rPr>
            </w:pPr>
            <w:r w:rsidRPr="00023F68">
              <w:rPr>
                <w:color w:val="000000"/>
              </w:rPr>
              <w:t>Payroll</w:t>
            </w:r>
          </w:p>
        </w:tc>
        <w:tc>
          <w:tcPr>
            <w:tcW w:w="1311" w:type="dxa"/>
            <w:noWrap/>
            <w:hideMark/>
          </w:tcPr>
          <w:p w14:paraId="59FE7110" w14:textId="77777777" w:rsidR="00553FD5" w:rsidRPr="00023F68"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rPr>
            </w:pPr>
            <w:r w:rsidRPr="00023F68">
              <w:rPr>
                <w:color w:val="000000"/>
              </w:rPr>
              <w:t>Lincolnshire/Humber</w:t>
            </w:r>
          </w:p>
        </w:tc>
        <w:tc>
          <w:tcPr>
            <w:tcW w:w="1311" w:type="dxa"/>
            <w:noWrap/>
            <w:hideMark/>
          </w:tcPr>
          <w:p w14:paraId="114468E7" w14:textId="77777777" w:rsidR="00553FD5" w:rsidRPr="00023F68"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rPr>
            </w:pPr>
            <w:r>
              <w:rPr>
                <w:color w:val="000000"/>
              </w:rPr>
              <w:t xml:space="preserve">Other </w:t>
            </w:r>
            <w:r w:rsidRPr="00023F68">
              <w:rPr>
                <w:color w:val="000000"/>
              </w:rPr>
              <w:t>Yorkshire&amp; Humber</w:t>
            </w:r>
          </w:p>
        </w:tc>
        <w:tc>
          <w:tcPr>
            <w:tcW w:w="1311" w:type="dxa"/>
            <w:noWrap/>
            <w:hideMark/>
          </w:tcPr>
          <w:p w14:paraId="08792396" w14:textId="77777777" w:rsidR="00553FD5" w:rsidRPr="00023F68"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rPr>
            </w:pPr>
            <w:r w:rsidRPr="00023F68">
              <w:rPr>
                <w:color w:val="000000"/>
              </w:rPr>
              <w:t xml:space="preserve">Outside Lincolnshire &amp; Humber </w:t>
            </w:r>
          </w:p>
        </w:tc>
        <w:tc>
          <w:tcPr>
            <w:tcW w:w="1312" w:type="dxa"/>
            <w:noWrap/>
            <w:hideMark/>
          </w:tcPr>
          <w:p w14:paraId="2A56F7C7" w14:textId="77777777" w:rsidR="00553FD5" w:rsidRPr="00023F68"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rPr>
            </w:pPr>
            <w:r w:rsidRPr="00023F68">
              <w:rPr>
                <w:color w:val="000000"/>
              </w:rPr>
              <w:t>Average Wages</w:t>
            </w:r>
          </w:p>
        </w:tc>
      </w:tr>
      <w:tr w:rsidR="00553FD5" w:rsidRPr="00023F68" w14:paraId="10604393"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72B3E27" w14:textId="77777777" w:rsidR="00553FD5" w:rsidRPr="00023F68" w:rsidRDefault="00553FD5" w:rsidP="00C93734">
            <w:pPr>
              <w:spacing w:after="120"/>
              <w:jc w:val="both"/>
              <w:rPr>
                <w:color w:val="000000"/>
              </w:rPr>
            </w:pPr>
            <w:r w:rsidRPr="00023F68">
              <w:rPr>
                <w:color w:val="000000"/>
              </w:rPr>
              <w:t>Renewables</w:t>
            </w:r>
          </w:p>
        </w:tc>
        <w:tc>
          <w:tcPr>
            <w:tcW w:w="1418" w:type="dxa"/>
            <w:noWrap/>
            <w:hideMark/>
          </w:tcPr>
          <w:p w14:paraId="20FC1757"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£133,591,300</w:t>
            </w:r>
          </w:p>
        </w:tc>
        <w:tc>
          <w:tcPr>
            <w:tcW w:w="1417" w:type="dxa"/>
            <w:noWrap/>
            <w:hideMark/>
          </w:tcPr>
          <w:p w14:paraId="02182ECA"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£96,213,100</w:t>
            </w:r>
          </w:p>
        </w:tc>
        <w:tc>
          <w:tcPr>
            <w:tcW w:w="1311" w:type="dxa"/>
            <w:noWrap/>
            <w:hideMark/>
          </w:tcPr>
          <w:p w14:paraId="74C7A81D"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1,300</w:t>
            </w:r>
          </w:p>
        </w:tc>
        <w:tc>
          <w:tcPr>
            <w:tcW w:w="1311" w:type="dxa"/>
            <w:noWrap/>
            <w:hideMark/>
          </w:tcPr>
          <w:p w14:paraId="2A894B3D"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840</w:t>
            </w:r>
          </w:p>
        </w:tc>
        <w:tc>
          <w:tcPr>
            <w:tcW w:w="1311" w:type="dxa"/>
            <w:noWrap/>
            <w:hideMark/>
          </w:tcPr>
          <w:p w14:paraId="70182086"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1,360</w:t>
            </w:r>
          </w:p>
        </w:tc>
        <w:tc>
          <w:tcPr>
            <w:tcW w:w="1312" w:type="dxa"/>
            <w:noWrap/>
            <w:hideMark/>
          </w:tcPr>
          <w:p w14:paraId="68A4ABD0"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£27,000</w:t>
            </w:r>
          </w:p>
        </w:tc>
      </w:tr>
      <w:tr w:rsidR="00FC5EBD" w:rsidRPr="00023F68" w14:paraId="14494D4E"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80D1F4A" w14:textId="77777777" w:rsidR="00FC5EBD" w:rsidRPr="00023F68" w:rsidRDefault="00FC5EBD" w:rsidP="00C93734">
            <w:pPr>
              <w:spacing w:after="120"/>
              <w:jc w:val="both"/>
              <w:rPr>
                <w:color w:val="000000"/>
              </w:rPr>
            </w:pPr>
            <w:r w:rsidRPr="00023F68">
              <w:rPr>
                <w:color w:val="000000"/>
              </w:rPr>
              <w:t>Ports &amp; Logistics</w:t>
            </w:r>
          </w:p>
        </w:tc>
        <w:tc>
          <w:tcPr>
            <w:tcW w:w="1418" w:type="dxa"/>
            <w:noWrap/>
            <w:hideMark/>
          </w:tcPr>
          <w:p w14:paraId="0A763F44" w14:textId="77777777" w:rsidR="00FC5EBD" w:rsidRPr="002E37F5" w:rsidRDefault="00FC5EBD"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E37F5">
              <w:rPr>
                <w:color w:val="000000"/>
              </w:rPr>
              <w:t xml:space="preserve"> £258,983,800 </w:t>
            </w:r>
          </w:p>
        </w:tc>
        <w:tc>
          <w:tcPr>
            <w:tcW w:w="1417" w:type="dxa"/>
            <w:noWrap/>
            <w:hideMark/>
          </w:tcPr>
          <w:p w14:paraId="7565BDF6" w14:textId="77777777" w:rsidR="00FC5EBD" w:rsidRPr="002E37F5" w:rsidRDefault="00FC5EBD"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E37F5">
              <w:rPr>
                <w:color w:val="000000"/>
              </w:rPr>
              <w:t xml:space="preserve"> £159,428,300 </w:t>
            </w:r>
          </w:p>
        </w:tc>
        <w:tc>
          <w:tcPr>
            <w:tcW w:w="1311" w:type="dxa"/>
            <w:noWrap/>
            <w:hideMark/>
          </w:tcPr>
          <w:p w14:paraId="5B35714A" w14:textId="77777777" w:rsidR="00FC5EBD" w:rsidRPr="002E37F5" w:rsidRDefault="00FC5EBD"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E37F5">
              <w:rPr>
                <w:color w:val="000000"/>
              </w:rPr>
              <w:t xml:space="preserve"> 1,960 </w:t>
            </w:r>
          </w:p>
        </w:tc>
        <w:tc>
          <w:tcPr>
            <w:tcW w:w="1311" w:type="dxa"/>
            <w:noWrap/>
            <w:hideMark/>
          </w:tcPr>
          <w:p w14:paraId="2C480584" w14:textId="77777777" w:rsidR="00FC5EBD" w:rsidRPr="002E37F5" w:rsidRDefault="00FC5EBD"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E37F5">
              <w:rPr>
                <w:color w:val="000000"/>
              </w:rPr>
              <w:t xml:space="preserve"> 1,390 </w:t>
            </w:r>
          </w:p>
        </w:tc>
        <w:tc>
          <w:tcPr>
            <w:tcW w:w="1311" w:type="dxa"/>
            <w:noWrap/>
            <w:hideMark/>
          </w:tcPr>
          <w:p w14:paraId="6208666D" w14:textId="77777777" w:rsidR="00FC5EBD" w:rsidRPr="002E37F5" w:rsidRDefault="00FC5EBD"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E37F5">
              <w:rPr>
                <w:color w:val="000000"/>
              </w:rPr>
              <w:t xml:space="preserve"> 2,380 </w:t>
            </w:r>
          </w:p>
        </w:tc>
        <w:tc>
          <w:tcPr>
            <w:tcW w:w="1312" w:type="dxa"/>
            <w:noWrap/>
            <w:hideMark/>
          </w:tcPr>
          <w:p w14:paraId="774E5CC1" w14:textId="77777777" w:rsidR="00FC5EBD" w:rsidRPr="002E37F5" w:rsidRDefault="00FC5EBD"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E37F5">
              <w:rPr>
                <w:color w:val="000000"/>
              </w:rPr>
              <w:t>£26,521</w:t>
            </w:r>
          </w:p>
        </w:tc>
      </w:tr>
      <w:tr w:rsidR="00553FD5" w:rsidRPr="00023F68" w14:paraId="1880B32A"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B27601B" w14:textId="77777777" w:rsidR="00553FD5" w:rsidRPr="00023F68" w:rsidRDefault="00553FD5" w:rsidP="00C93734">
            <w:pPr>
              <w:spacing w:after="120"/>
              <w:jc w:val="both"/>
              <w:rPr>
                <w:color w:val="000000"/>
              </w:rPr>
            </w:pPr>
            <w:r w:rsidRPr="00023F68">
              <w:rPr>
                <w:color w:val="000000"/>
              </w:rPr>
              <w:t>Food manufacturing</w:t>
            </w:r>
          </w:p>
        </w:tc>
        <w:tc>
          <w:tcPr>
            <w:tcW w:w="1418" w:type="dxa"/>
            <w:noWrap/>
            <w:hideMark/>
          </w:tcPr>
          <w:p w14:paraId="109EE38C" w14:textId="77777777" w:rsidR="00553FD5" w:rsidRPr="002E37F5"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E37F5">
              <w:rPr>
                <w:color w:val="000000"/>
              </w:rPr>
              <w:t>£120,587,100</w:t>
            </w:r>
          </w:p>
        </w:tc>
        <w:tc>
          <w:tcPr>
            <w:tcW w:w="1417" w:type="dxa"/>
            <w:noWrap/>
            <w:hideMark/>
          </w:tcPr>
          <w:p w14:paraId="3A8C2F60" w14:textId="77777777" w:rsidR="00553FD5" w:rsidRPr="002E37F5"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E37F5">
              <w:rPr>
                <w:color w:val="000000"/>
              </w:rPr>
              <w:t>£40,854,100</w:t>
            </w:r>
          </w:p>
        </w:tc>
        <w:tc>
          <w:tcPr>
            <w:tcW w:w="1311" w:type="dxa"/>
            <w:noWrap/>
            <w:hideMark/>
          </w:tcPr>
          <w:p w14:paraId="2F025496" w14:textId="77777777" w:rsidR="00553FD5" w:rsidRPr="002E37F5"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E37F5">
              <w:rPr>
                <w:color w:val="000000"/>
              </w:rPr>
              <w:t>600</w:t>
            </w:r>
          </w:p>
        </w:tc>
        <w:tc>
          <w:tcPr>
            <w:tcW w:w="1311" w:type="dxa"/>
            <w:noWrap/>
            <w:hideMark/>
          </w:tcPr>
          <w:p w14:paraId="0773C8C0" w14:textId="77777777" w:rsidR="00553FD5" w:rsidRPr="002E37F5"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E37F5">
              <w:rPr>
                <w:color w:val="000000"/>
              </w:rPr>
              <w:t>390</w:t>
            </w:r>
          </w:p>
        </w:tc>
        <w:tc>
          <w:tcPr>
            <w:tcW w:w="1311" w:type="dxa"/>
            <w:noWrap/>
            <w:hideMark/>
          </w:tcPr>
          <w:p w14:paraId="7FE92172" w14:textId="77777777" w:rsidR="00553FD5" w:rsidRPr="002E37F5"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E37F5">
              <w:rPr>
                <w:color w:val="000000"/>
              </w:rPr>
              <w:t>510</w:t>
            </w:r>
          </w:p>
        </w:tc>
        <w:tc>
          <w:tcPr>
            <w:tcW w:w="1312" w:type="dxa"/>
            <w:noWrap/>
            <w:hideMark/>
          </w:tcPr>
          <w:p w14:paraId="2DB51F5B" w14:textId="77777777" w:rsidR="00553FD5" w:rsidRPr="002E37F5"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E37F5">
              <w:rPr>
                <w:color w:val="000000"/>
              </w:rPr>
              <w:t>£26,266</w:t>
            </w:r>
          </w:p>
        </w:tc>
      </w:tr>
      <w:tr w:rsidR="00553FD5" w:rsidRPr="00023F68" w14:paraId="5C32EA97"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C660237" w14:textId="77777777" w:rsidR="00553FD5" w:rsidRPr="00023F68" w:rsidRDefault="00553FD5" w:rsidP="00C93734">
            <w:pPr>
              <w:spacing w:after="120"/>
              <w:jc w:val="both"/>
              <w:rPr>
                <w:color w:val="000000"/>
              </w:rPr>
            </w:pPr>
            <w:r w:rsidRPr="00023F68">
              <w:rPr>
                <w:color w:val="000000"/>
              </w:rPr>
              <w:t>Chemicals &amp; process industries</w:t>
            </w:r>
          </w:p>
        </w:tc>
        <w:tc>
          <w:tcPr>
            <w:tcW w:w="1418" w:type="dxa"/>
            <w:noWrap/>
            <w:hideMark/>
          </w:tcPr>
          <w:p w14:paraId="106FB50D"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£107,624,800</w:t>
            </w:r>
          </w:p>
        </w:tc>
        <w:tc>
          <w:tcPr>
            <w:tcW w:w="1417" w:type="dxa"/>
            <w:noWrap/>
            <w:hideMark/>
          </w:tcPr>
          <w:p w14:paraId="288168A0"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£124,677,300</w:t>
            </w:r>
          </w:p>
        </w:tc>
        <w:tc>
          <w:tcPr>
            <w:tcW w:w="1311" w:type="dxa"/>
            <w:noWrap/>
            <w:hideMark/>
          </w:tcPr>
          <w:p w14:paraId="07977EBF"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1,300</w:t>
            </w:r>
          </w:p>
        </w:tc>
        <w:tc>
          <w:tcPr>
            <w:tcW w:w="1311" w:type="dxa"/>
            <w:noWrap/>
            <w:hideMark/>
          </w:tcPr>
          <w:p w14:paraId="59E616D7"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800</w:t>
            </w:r>
          </w:p>
        </w:tc>
        <w:tc>
          <w:tcPr>
            <w:tcW w:w="1311" w:type="dxa"/>
            <w:noWrap/>
            <w:hideMark/>
          </w:tcPr>
          <w:p w14:paraId="6B070B72"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1,980</w:t>
            </w:r>
          </w:p>
        </w:tc>
        <w:tc>
          <w:tcPr>
            <w:tcW w:w="1312" w:type="dxa"/>
            <w:noWrap/>
            <w:hideMark/>
          </w:tcPr>
          <w:p w14:paraId="084F1059"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£28,790</w:t>
            </w:r>
          </w:p>
        </w:tc>
      </w:tr>
      <w:tr w:rsidR="00553FD5" w:rsidRPr="00023F68" w14:paraId="7058CA86"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85E8EE7" w14:textId="77777777" w:rsidR="00553FD5" w:rsidRPr="00023F68" w:rsidRDefault="00553FD5" w:rsidP="00C93734">
            <w:pPr>
              <w:spacing w:after="120"/>
              <w:jc w:val="both"/>
              <w:rPr>
                <w:color w:val="000000"/>
              </w:rPr>
            </w:pPr>
            <w:r w:rsidRPr="00023F68">
              <w:rPr>
                <w:color w:val="000000"/>
              </w:rPr>
              <w:t>Visitor Economy &amp; Retail</w:t>
            </w:r>
          </w:p>
        </w:tc>
        <w:tc>
          <w:tcPr>
            <w:tcW w:w="1418" w:type="dxa"/>
            <w:noWrap/>
            <w:hideMark/>
          </w:tcPr>
          <w:p w14:paraId="4E9D0AE9"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£66,804,300</w:t>
            </w:r>
          </w:p>
        </w:tc>
        <w:tc>
          <w:tcPr>
            <w:tcW w:w="1417" w:type="dxa"/>
            <w:noWrap/>
            <w:hideMark/>
          </w:tcPr>
          <w:p w14:paraId="79B8620F"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£43,575,700</w:t>
            </w:r>
          </w:p>
        </w:tc>
        <w:tc>
          <w:tcPr>
            <w:tcW w:w="1311" w:type="dxa"/>
            <w:noWrap/>
            <w:hideMark/>
          </w:tcPr>
          <w:p w14:paraId="3196DC5A"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1,570</w:t>
            </w:r>
          </w:p>
        </w:tc>
        <w:tc>
          <w:tcPr>
            <w:tcW w:w="1311" w:type="dxa"/>
            <w:noWrap/>
            <w:hideMark/>
          </w:tcPr>
          <w:p w14:paraId="039028C3"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1,210</w:t>
            </w:r>
          </w:p>
        </w:tc>
        <w:tc>
          <w:tcPr>
            <w:tcW w:w="1311" w:type="dxa"/>
            <w:noWrap/>
            <w:hideMark/>
          </w:tcPr>
          <w:p w14:paraId="4C787FEE"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1,080</w:t>
            </w:r>
          </w:p>
        </w:tc>
        <w:tc>
          <w:tcPr>
            <w:tcW w:w="1312" w:type="dxa"/>
            <w:noWrap/>
            <w:hideMark/>
          </w:tcPr>
          <w:p w14:paraId="45D0A50D"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£11,239</w:t>
            </w:r>
          </w:p>
        </w:tc>
      </w:tr>
      <w:tr w:rsidR="00AF18B5" w:rsidRPr="00023F68" w14:paraId="3EB7872A"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95E589D" w14:textId="77777777" w:rsidR="00AF18B5" w:rsidRPr="00023F68" w:rsidRDefault="00AF18B5" w:rsidP="00C93734">
            <w:pPr>
              <w:spacing w:after="120"/>
              <w:jc w:val="both"/>
              <w:rPr>
                <w:b/>
                <w:color w:val="000000"/>
              </w:rPr>
            </w:pPr>
            <w:r w:rsidRPr="00023F68">
              <w:rPr>
                <w:b/>
                <w:color w:val="000000"/>
              </w:rPr>
              <w:t>Total</w:t>
            </w:r>
          </w:p>
        </w:tc>
        <w:tc>
          <w:tcPr>
            <w:tcW w:w="1418" w:type="dxa"/>
            <w:noWrap/>
            <w:hideMark/>
          </w:tcPr>
          <w:p w14:paraId="537A4218" w14:textId="77777777" w:rsidR="00AF18B5" w:rsidRPr="00023F68" w:rsidRDefault="00AF18B5" w:rsidP="00C93734">
            <w:pPr>
              <w:spacing w:after="120"/>
              <w:jc w:val="both"/>
              <w:cnfStyle w:val="000000000000" w:firstRow="0" w:lastRow="0" w:firstColumn="0" w:lastColumn="0" w:oddVBand="0" w:evenVBand="0" w:oddHBand="0" w:evenHBand="0" w:firstRowFirstColumn="0" w:firstRowLastColumn="0" w:lastRowFirstColumn="0" w:lastRowLastColumn="0"/>
              <w:rPr>
                <w:b/>
                <w:color w:val="000000"/>
              </w:rPr>
            </w:pPr>
            <w:r w:rsidRPr="00023F68">
              <w:rPr>
                <w:b/>
                <w:color w:val="000000"/>
              </w:rPr>
              <w:t>£769,524,700</w:t>
            </w:r>
          </w:p>
        </w:tc>
        <w:tc>
          <w:tcPr>
            <w:tcW w:w="1417" w:type="dxa"/>
            <w:noWrap/>
            <w:hideMark/>
          </w:tcPr>
          <w:p w14:paraId="1446825D" w14:textId="77777777" w:rsidR="00AF18B5" w:rsidRPr="00023F68" w:rsidRDefault="00AF18B5" w:rsidP="00C93734">
            <w:pPr>
              <w:spacing w:after="120"/>
              <w:jc w:val="both"/>
              <w:cnfStyle w:val="000000000000" w:firstRow="0" w:lastRow="0" w:firstColumn="0" w:lastColumn="0" w:oddVBand="0" w:evenVBand="0" w:oddHBand="0" w:evenHBand="0" w:firstRowFirstColumn="0" w:firstRowLastColumn="0" w:lastRowFirstColumn="0" w:lastRowLastColumn="0"/>
              <w:rPr>
                <w:b/>
                <w:color w:val="000000"/>
              </w:rPr>
            </w:pPr>
            <w:r w:rsidRPr="00023F68">
              <w:rPr>
                <w:b/>
                <w:color w:val="000000"/>
              </w:rPr>
              <w:t>£515,186,000</w:t>
            </w:r>
          </w:p>
        </w:tc>
        <w:tc>
          <w:tcPr>
            <w:tcW w:w="1311" w:type="dxa"/>
            <w:noWrap/>
            <w:hideMark/>
          </w:tcPr>
          <w:p w14:paraId="7003F5FC" w14:textId="77777777" w:rsidR="00AF18B5" w:rsidRPr="00AF18B5" w:rsidRDefault="00AF18B5" w:rsidP="00C93734">
            <w:pPr>
              <w:spacing w:after="120"/>
              <w:jc w:val="both"/>
              <w:cnfStyle w:val="000000000000" w:firstRow="0" w:lastRow="0" w:firstColumn="0" w:lastColumn="0" w:oddVBand="0" w:evenVBand="0" w:oddHBand="0" w:evenHBand="0" w:firstRowFirstColumn="0" w:firstRowLastColumn="0" w:lastRowFirstColumn="0" w:lastRowLastColumn="0"/>
              <w:rPr>
                <w:b/>
                <w:color w:val="000000"/>
              </w:rPr>
            </w:pPr>
            <w:r w:rsidRPr="00AF18B5">
              <w:rPr>
                <w:b/>
                <w:color w:val="000000"/>
              </w:rPr>
              <w:t xml:space="preserve"> 6,730 </w:t>
            </w:r>
          </w:p>
        </w:tc>
        <w:tc>
          <w:tcPr>
            <w:tcW w:w="1311" w:type="dxa"/>
            <w:noWrap/>
            <w:hideMark/>
          </w:tcPr>
          <w:p w14:paraId="6300BA55" w14:textId="77777777" w:rsidR="00AF18B5" w:rsidRPr="00AF18B5" w:rsidRDefault="00AF18B5" w:rsidP="00C93734">
            <w:pPr>
              <w:spacing w:after="120"/>
              <w:jc w:val="both"/>
              <w:cnfStyle w:val="000000000000" w:firstRow="0" w:lastRow="0" w:firstColumn="0" w:lastColumn="0" w:oddVBand="0" w:evenVBand="0" w:oddHBand="0" w:evenHBand="0" w:firstRowFirstColumn="0" w:firstRowLastColumn="0" w:lastRowFirstColumn="0" w:lastRowLastColumn="0"/>
              <w:rPr>
                <w:b/>
                <w:color w:val="000000"/>
              </w:rPr>
            </w:pPr>
            <w:r w:rsidRPr="00AF18B5">
              <w:rPr>
                <w:b/>
                <w:color w:val="000000"/>
              </w:rPr>
              <w:t xml:space="preserve"> 4,630 </w:t>
            </w:r>
          </w:p>
        </w:tc>
        <w:tc>
          <w:tcPr>
            <w:tcW w:w="1311" w:type="dxa"/>
            <w:noWrap/>
            <w:hideMark/>
          </w:tcPr>
          <w:p w14:paraId="2DF93D66" w14:textId="77777777" w:rsidR="00AF18B5" w:rsidRPr="00AF18B5" w:rsidRDefault="00AF18B5" w:rsidP="00C93734">
            <w:pPr>
              <w:spacing w:after="120"/>
              <w:jc w:val="both"/>
              <w:cnfStyle w:val="000000000000" w:firstRow="0" w:lastRow="0" w:firstColumn="0" w:lastColumn="0" w:oddVBand="0" w:evenVBand="0" w:oddHBand="0" w:evenHBand="0" w:firstRowFirstColumn="0" w:firstRowLastColumn="0" w:lastRowFirstColumn="0" w:lastRowLastColumn="0"/>
              <w:rPr>
                <w:b/>
                <w:color w:val="000000"/>
              </w:rPr>
            </w:pPr>
            <w:r w:rsidRPr="00AF18B5">
              <w:rPr>
                <w:b/>
                <w:color w:val="000000"/>
              </w:rPr>
              <w:t xml:space="preserve"> 7,310 </w:t>
            </w:r>
          </w:p>
        </w:tc>
        <w:tc>
          <w:tcPr>
            <w:tcW w:w="1312" w:type="dxa"/>
            <w:vMerge w:val="restart"/>
            <w:shd w:val="clear" w:color="auto" w:fill="E6E4DE" w:themeFill="accent6"/>
            <w:noWrap/>
            <w:hideMark/>
          </w:tcPr>
          <w:p w14:paraId="4DB548D2" w14:textId="77777777" w:rsidR="00AF18B5" w:rsidRPr="00023F68" w:rsidRDefault="00AF18B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p>
        </w:tc>
      </w:tr>
      <w:tr w:rsidR="00553FD5" w:rsidRPr="00023F68" w14:paraId="1434ACD9" w14:textId="77777777" w:rsidTr="007A1492">
        <w:trPr>
          <w:trHeight w:val="255"/>
        </w:trPr>
        <w:tc>
          <w:tcPr>
            <w:cnfStyle w:val="001000000000" w:firstRow="0" w:lastRow="0" w:firstColumn="1" w:lastColumn="0" w:oddVBand="0" w:evenVBand="0" w:oddHBand="0" w:evenHBand="0" w:firstRowFirstColumn="0" w:firstRowLastColumn="0" w:lastRowFirstColumn="0" w:lastRowLastColumn="0"/>
            <w:tcW w:w="4536" w:type="dxa"/>
            <w:gridSpan w:val="3"/>
            <w:shd w:val="clear" w:color="auto" w:fill="E6E4DE" w:themeFill="accent6"/>
            <w:noWrap/>
            <w:hideMark/>
          </w:tcPr>
          <w:p w14:paraId="21C93F29" w14:textId="77777777" w:rsidR="00553FD5" w:rsidRPr="00023F68" w:rsidRDefault="00553FD5" w:rsidP="00C93734">
            <w:pPr>
              <w:jc w:val="both"/>
              <w:rPr>
                <w:b/>
                <w:color w:val="000000"/>
              </w:rPr>
            </w:pPr>
          </w:p>
        </w:tc>
        <w:tc>
          <w:tcPr>
            <w:tcW w:w="3933" w:type="dxa"/>
            <w:gridSpan w:val="3"/>
            <w:shd w:val="clear" w:color="auto" w:fill="E6E4DE" w:themeFill="accent6"/>
            <w:noWrap/>
            <w:hideMark/>
          </w:tcPr>
          <w:p w14:paraId="4088C6C2" w14:textId="77777777" w:rsidR="00553FD5" w:rsidRPr="00023F68" w:rsidRDefault="00AF18B5"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Pr>
                <w:b/>
                <w:color w:val="000000"/>
              </w:rPr>
              <w:t>Total Employment: 18</w:t>
            </w:r>
            <w:r w:rsidR="00553FD5" w:rsidRPr="00023F68">
              <w:rPr>
                <w:b/>
                <w:color w:val="000000"/>
              </w:rPr>
              <w:t>,</w:t>
            </w:r>
            <w:r>
              <w:rPr>
                <w:b/>
                <w:color w:val="000000"/>
              </w:rPr>
              <w:t>670</w:t>
            </w:r>
          </w:p>
        </w:tc>
        <w:tc>
          <w:tcPr>
            <w:tcW w:w="1312" w:type="dxa"/>
            <w:vMerge/>
            <w:shd w:val="clear" w:color="auto" w:fill="E6E4DE" w:themeFill="accent6"/>
            <w:noWrap/>
            <w:hideMark/>
          </w:tcPr>
          <w:p w14:paraId="5A3DE986" w14:textId="77777777" w:rsidR="00553FD5" w:rsidRPr="00023F68"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rPr>
            </w:pPr>
          </w:p>
        </w:tc>
      </w:tr>
    </w:tbl>
    <w:p w14:paraId="43D7BB47" w14:textId="77777777" w:rsidR="00553FD5" w:rsidRPr="002805F3" w:rsidRDefault="00553FD5" w:rsidP="00C93734">
      <w:pPr>
        <w:pStyle w:val="TableSource"/>
        <w:jc w:val="both"/>
      </w:pPr>
      <w:r w:rsidRPr="002805F3">
        <w:t>Source: Atkins 2013</w:t>
      </w:r>
      <w:r>
        <w:t xml:space="preserve"> and ASHE 2013</w:t>
      </w:r>
      <w:r w:rsidRPr="002805F3">
        <w:t xml:space="preserve"> Atkins Ref: Survey – A9/J65. Figures rounded.</w:t>
      </w:r>
    </w:p>
    <w:p w14:paraId="46386058" w14:textId="77777777" w:rsidR="00553FD5" w:rsidRPr="002805F3" w:rsidRDefault="00553FD5" w:rsidP="00C93734">
      <w:pPr>
        <w:pStyle w:val="BodyText"/>
        <w:jc w:val="both"/>
        <w:rPr>
          <w:b/>
          <w:i/>
        </w:rPr>
      </w:pPr>
      <w:r w:rsidRPr="002805F3">
        <w:rPr>
          <w:b/>
          <w:i/>
        </w:rPr>
        <w:t>Method 2: Turnover per Employee</w:t>
      </w:r>
    </w:p>
    <w:p w14:paraId="7BD4E9BB" w14:textId="77777777" w:rsidR="00553FD5" w:rsidRPr="002805F3" w:rsidRDefault="00553FD5" w:rsidP="00C93734">
      <w:pPr>
        <w:pStyle w:val="BodyText"/>
        <w:jc w:val="both"/>
      </w:pPr>
      <w:r w:rsidRPr="002805F3">
        <w:t>Our sample provides an estimate of the average turnover per employee for each sector (the figure for all key sectors</w:t>
      </w:r>
      <w:r w:rsidR="00C97ED5">
        <w:t xml:space="preserve"> aggregated</w:t>
      </w:r>
      <w:r w:rsidRPr="002805F3">
        <w:t xml:space="preserve"> is approximately £97,300). Given that earlier information from the survey provides us with the total amount the key sectors spend on their supply chain in the study area and elsewhere, we can estimate the number of employees by applying the turnover per employee estimate. </w:t>
      </w:r>
    </w:p>
    <w:p w14:paraId="32179C00" w14:textId="77777777" w:rsidR="00553FD5" w:rsidRDefault="00553FD5" w:rsidP="00C93734">
      <w:pPr>
        <w:pStyle w:val="Caption"/>
        <w:jc w:val="both"/>
      </w:pPr>
      <w:bookmarkStart w:id="639" w:name="_Toc383159709"/>
      <w:r>
        <w:t xml:space="preserve">Table </w:t>
      </w:r>
      <w:fldSimple w:instr=" STYLEREF 1 \s  \* MERGEFORMAT ">
        <w:r w:rsidR="00E95E1A">
          <w:rPr>
            <w:noProof/>
          </w:rPr>
          <w:t>0</w:t>
        </w:r>
      </w:fldSimple>
      <w:r>
        <w:t>-</w:t>
      </w:r>
      <w:fldSimple w:instr=" SEQ Table \* ARABIC \s 1  \* MERGEFORMAT ">
        <w:r w:rsidR="00E95E1A">
          <w:rPr>
            <w:noProof/>
          </w:rPr>
          <w:t>8</w:t>
        </w:r>
      </w:fldSimple>
      <w:r>
        <w:tab/>
        <w:t>Indirect Employees (First Round Supply Chain)</w:t>
      </w:r>
      <w:bookmarkEnd w:id="639"/>
    </w:p>
    <w:tbl>
      <w:tblPr>
        <w:tblStyle w:val="Atkins14pt"/>
        <w:tblW w:w="7212" w:type="dxa"/>
        <w:tblLook w:val="04A0" w:firstRow="1" w:lastRow="0" w:firstColumn="1" w:lastColumn="0" w:noHBand="0" w:noVBand="1"/>
      </w:tblPr>
      <w:tblGrid>
        <w:gridCol w:w="3119"/>
        <w:gridCol w:w="1549"/>
        <w:gridCol w:w="1387"/>
        <w:gridCol w:w="1157"/>
      </w:tblGrid>
      <w:tr w:rsidR="00553FD5" w:rsidRPr="00023F68" w14:paraId="39B0048C" w14:textId="77777777" w:rsidTr="007A1492">
        <w:trPr>
          <w:cnfStyle w:val="100000000000" w:firstRow="1" w:lastRow="0" w:firstColumn="0" w:lastColumn="0" w:oddVBand="0" w:evenVBand="0" w:oddHBand="0" w:evenHBand="0" w:firstRowFirstColumn="0" w:firstRowLastColumn="0" w:lastRowFirstColumn="0" w:lastRowLastColumn="0"/>
          <w:trHeight w:val="245"/>
        </w:trPr>
        <w:tc>
          <w:tcPr>
            <w:cnfStyle w:val="001000000100" w:firstRow="0" w:lastRow="0" w:firstColumn="1" w:lastColumn="0" w:oddVBand="0" w:evenVBand="0" w:oddHBand="0" w:evenHBand="0" w:firstRowFirstColumn="1" w:firstRowLastColumn="0" w:lastRowFirstColumn="0" w:lastRowLastColumn="0"/>
            <w:tcW w:w="3119" w:type="dxa"/>
            <w:noWrap/>
            <w:hideMark/>
          </w:tcPr>
          <w:p w14:paraId="4EC88996" w14:textId="77777777" w:rsidR="00553FD5" w:rsidRPr="00023F68" w:rsidRDefault="00553FD5" w:rsidP="00C93734">
            <w:pPr>
              <w:spacing w:after="120"/>
              <w:jc w:val="both"/>
              <w:rPr>
                <w:color w:val="000000"/>
              </w:rPr>
            </w:pPr>
            <w:r>
              <w:rPr>
                <w:color w:val="000000"/>
              </w:rPr>
              <w:t>Sector</w:t>
            </w:r>
          </w:p>
        </w:tc>
        <w:tc>
          <w:tcPr>
            <w:tcW w:w="1549" w:type="dxa"/>
            <w:noWrap/>
            <w:hideMark/>
          </w:tcPr>
          <w:p w14:paraId="7E53144F" w14:textId="77777777" w:rsidR="00553FD5" w:rsidRPr="00023F68"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rPr>
            </w:pPr>
            <w:r>
              <w:rPr>
                <w:color w:val="000000"/>
              </w:rPr>
              <w:t xml:space="preserve">N.&amp; N.E </w:t>
            </w:r>
            <w:r w:rsidRPr="002805F3">
              <w:rPr>
                <w:color w:val="000000"/>
              </w:rPr>
              <w:t xml:space="preserve">Lincolnshire </w:t>
            </w:r>
            <w:r>
              <w:rPr>
                <w:color w:val="000000"/>
              </w:rPr>
              <w:t>&amp;</w:t>
            </w:r>
            <w:r w:rsidRPr="002805F3">
              <w:rPr>
                <w:color w:val="000000"/>
              </w:rPr>
              <w:t xml:space="preserve"> Humber</w:t>
            </w:r>
          </w:p>
        </w:tc>
        <w:tc>
          <w:tcPr>
            <w:tcW w:w="1387" w:type="dxa"/>
            <w:noWrap/>
            <w:hideMark/>
          </w:tcPr>
          <w:p w14:paraId="543F0C37" w14:textId="77777777" w:rsidR="00553FD5" w:rsidRPr="00023F68"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rPr>
            </w:pPr>
            <w:r>
              <w:rPr>
                <w:color w:val="000000"/>
              </w:rPr>
              <w:t xml:space="preserve">Elsewhere in </w:t>
            </w:r>
            <w:r w:rsidRPr="00023F68">
              <w:rPr>
                <w:color w:val="000000"/>
              </w:rPr>
              <w:t>Yorkshire and Humber</w:t>
            </w:r>
          </w:p>
        </w:tc>
        <w:tc>
          <w:tcPr>
            <w:tcW w:w="1157" w:type="dxa"/>
            <w:noWrap/>
            <w:hideMark/>
          </w:tcPr>
          <w:p w14:paraId="11C47B04" w14:textId="77777777" w:rsidR="00553FD5" w:rsidRPr="00023F68"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rPr>
            </w:pPr>
            <w:r w:rsidRPr="00023F68">
              <w:rPr>
                <w:color w:val="000000"/>
              </w:rPr>
              <w:t>Outside Y&amp;H</w:t>
            </w:r>
          </w:p>
        </w:tc>
      </w:tr>
      <w:tr w:rsidR="00553FD5" w:rsidRPr="00023F68" w14:paraId="31FF0695" w14:textId="77777777" w:rsidTr="007A1492">
        <w:trPr>
          <w:trHeight w:val="24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0AB3C43" w14:textId="77777777" w:rsidR="00553FD5" w:rsidRPr="00023F68" w:rsidRDefault="00553FD5" w:rsidP="00C93734">
            <w:pPr>
              <w:spacing w:after="120"/>
              <w:jc w:val="both"/>
              <w:rPr>
                <w:color w:val="000000"/>
              </w:rPr>
            </w:pPr>
            <w:r w:rsidRPr="00023F68">
              <w:rPr>
                <w:color w:val="000000"/>
              </w:rPr>
              <w:t>Renewables</w:t>
            </w:r>
          </w:p>
        </w:tc>
        <w:tc>
          <w:tcPr>
            <w:tcW w:w="1549" w:type="dxa"/>
            <w:noWrap/>
            <w:hideMark/>
          </w:tcPr>
          <w:p w14:paraId="3433A22B"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300</w:t>
            </w:r>
          </w:p>
        </w:tc>
        <w:tc>
          <w:tcPr>
            <w:tcW w:w="1387" w:type="dxa"/>
            <w:noWrap/>
            <w:hideMark/>
          </w:tcPr>
          <w:p w14:paraId="3BE11E91"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200</w:t>
            </w:r>
          </w:p>
        </w:tc>
        <w:tc>
          <w:tcPr>
            <w:tcW w:w="1157" w:type="dxa"/>
            <w:noWrap/>
            <w:hideMark/>
          </w:tcPr>
          <w:p w14:paraId="465E7D70"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320</w:t>
            </w:r>
          </w:p>
        </w:tc>
      </w:tr>
      <w:tr w:rsidR="00553FD5" w:rsidRPr="002E37F5" w14:paraId="65558528" w14:textId="77777777" w:rsidTr="007A1492">
        <w:trPr>
          <w:trHeight w:val="24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FAC5441" w14:textId="77777777" w:rsidR="00553FD5" w:rsidRPr="002E37F5" w:rsidRDefault="00553FD5" w:rsidP="00C93734">
            <w:pPr>
              <w:spacing w:after="120"/>
              <w:jc w:val="both"/>
              <w:rPr>
                <w:color w:val="000000"/>
              </w:rPr>
            </w:pPr>
            <w:r w:rsidRPr="002E37F5">
              <w:rPr>
                <w:color w:val="000000"/>
              </w:rPr>
              <w:t>Ports &amp; Logistics</w:t>
            </w:r>
          </w:p>
        </w:tc>
        <w:tc>
          <w:tcPr>
            <w:tcW w:w="1549" w:type="dxa"/>
            <w:noWrap/>
            <w:hideMark/>
          </w:tcPr>
          <w:p w14:paraId="3128F816" w14:textId="77777777" w:rsidR="00553FD5" w:rsidRPr="002E37F5"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E37F5">
              <w:rPr>
                <w:color w:val="000000"/>
              </w:rPr>
              <w:t>400</w:t>
            </w:r>
          </w:p>
        </w:tc>
        <w:tc>
          <w:tcPr>
            <w:tcW w:w="1387" w:type="dxa"/>
            <w:noWrap/>
            <w:hideMark/>
          </w:tcPr>
          <w:p w14:paraId="0BC23FDC" w14:textId="77777777" w:rsidR="00553FD5" w:rsidRPr="002E37F5"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E37F5">
              <w:rPr>
                <w:color w:val="000000"/>
              </w:rPr>
              <w:t>280</w:t>
            </w:r>
          </w:p>
        </w:tc>
        <w:tc>
          <w:tcPr>
            <w:tcW w:w="1157" w:type="dxa"/>
            <w:noWrap/>
            <w:hideMark/>
          </w:tcPr>
          <w:p w14:paraId="3618828F" w14:textId="77777777" w:rsidR="00553FD5" w:rsidRPr="002E37F5"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E37F5">
              <w:rPr>
                <w:color w:val="000000"/>
              </w:rPr>
              <w:t>480</w:t>
            </w:r>
          </w:p>
        </w:tc>
      </w:tr>
      <w:tr w:rsidR="00553FD5" w:rsidRPr="002E37F5" w14:paraId="341B37CE" w14:textId="77777777" w:rsidTr="007A1492">
        <w:trPr>
          <w:trHeight w:val="24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CE24E3D" w14:textId="77777777" w:rsidR="00553FD5" w:rsidRPr="002E37F5" w:rsidRDefault="00553FD5" w:rsidP="00C93734">
            <w:pPr>
              <w:spacing w:after="120"/>
              <w:jc w:val="both"/>
              <w:rPr>
                <w:color w:val="000000"/>
              </w:rPr>
            </w:pPr>
            <w:r w:rsidRPr="002E37F5">
              <w:rPr>
                <w:color w:val="000000"/>
              </w:rPr>
              <w:t>Food manufacturing</w:t>
            </w:r>
          </w:p>
        </w:tc>
        <w:tc>
          <w:tcPr>
            <w:tcW w:w="1549" w:type="dxa"/>
            <w:noWrap/>
            <w:hideMark/>
          </w:tcPr>
          <w:p w14:paraId="30E0338E" w14:textId="77777777" w:rsidR="00553FD5" w:rsidRPr="002E37F5"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E37F5">
              <w:rPr>
                <w:color w:val="000000"/>
              </w:rPr>
              <w:t>270</w:t>
            </w:r>
          </w:p>
        </w:tc>
        <w:tc>
          <w:tcPr>
            <w:tcW w:w="1387" w:type="dxa"/>
            <w:noWrap/>
            <w:hideMark/>
          </w:tcPr>
          <w:p w14:paraId="2426ADAC" w14:textId="77777777" w:rsidR="00553FD5" w:rsidRPr="002E37F5"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E37F5">
              <w:rPr>
                <w:color w:val="000000"/>
              </w:rPr>
              <w:t>180</w:t>
            </w:r>
          </w:p>
        </w:tc>
        <w:tc>
          <w:tcPr>
            <w:tcW w:w="1157" w:type="dxa"/>
            <w:noWrap/>
            <w:hideMark/>
          </w:tcPr>
          <w:p w14:paraId="7AE16637" w14:textId="77777777" w:rsidR="00553FD5" w:rsidRPr="002E37F5"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E37F5">
              <w:rPr>
                <w:color w:val="000000"/>
              </w:rPr>
              <w:t>230</w:t>
            </w:r>
          </w:p>
        </w:tc>
      </w:tr>
      <w:tr w:rsidR="00553FD5" w:rsidRPr="002E37F5" w14:paraId="7782A133" w14:textId="77777777" w:rsidTr="007A1492">
        <w:trPr>
          <w:trHeight w:val="24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3389C00" w14:textId="77777777" w:rsidR="00553FD5" w:rsidRPr="002E37F5" w:rsidRDefault="00553FD5" w:rsidP="00C93734">
            <w:pPr>
              <w:spacing w:after="120"/>
              <w:jc w:val="both"/>
              <w:rPr>
                <w:color w:val="000000"/>
              </w:rPr>
            </w:pPr>
            <w:r w:rsidRPr="002E37F5">
              <w:rPr>
                <w:color w:val="000000"/>
              </w:rPr>
              <w:t>Chemicals &amp; process industries</w:t>
            </w:r>
          </w:p>
        </w:tc>
        <w:tc>
          <w:tcPr>
            <w:tcW w:w="1549" w:type="dxa"/>
            <w:noWrap/>
            <w:hideMark/>
          </w:tcPr>
          <w:p w14:paraId="7DC56E62" w14:textId="77777777" w:rsidR="00553FD5" w:rsidRPr="002E37F5"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E37F5">
              <w:rPr>
                <w:color w:val="000000"/>
              </w:rPr>
              <w:t>270</w:t>
            </w:r>
          </w:p>
        </w:tc>
        <w:tc>
          <w:tcPr>
            <w:tcW w:w="1387" w:type="dxa"/>
            <w:noWrap/>
            <w:hideMark/>
          </w:tcPr>
          <w:p w14:paraId="1A28A342" w14:textId="77777777" w:rsidR="00553FD5" w:rsidRPr="002E37F5"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E37F5">
              <w:rPr>
                <w:color w:val="000000"/>
              </w:rPr>
              <w:t>170</w:t>
            </w:r>
          </w:p>
        </w:tc>
        <w:tc>
          <w:tcPr>
            <w:tcW w:w="1157" w:type="dxa"/>
            <w:noWrap/>
            <w:hideMark/>
          </w:tcPr>
          <w:p w14:paraId="240BE5FB" w14:textId="77777777" w:rsidR="00553FD5" w:rsidRPr="002E37F5"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E37F5">
              <w:rPr>
                <w:color w:val="000000"/>
              </w:rPr>
              <w:t>410</w:t>
            </w:r>
          </w:p>
        </w:tc>
      </w:tr>
      <w:tr w:rsidR="00553FD5" w:rsidRPr="00023F68" w14:paraId="75BC7246" w14:textId="77777777" w:rsidTr="007A1492">
        <w:trPr>
          <w:trHeight w:val="24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96F2B9E" w14:textId="77777777" w:rsidR="00553FD5" w:rsidRPr="00023F68" w:rsidRDefault="00553FD5" w:rsidP="00C93734">
            <w:pPr>
              <w:spacing w:after="120"/>
              <w:jc w:val="both"/>
              <w:rPr>
                <w:color w:val="000000"/>
              </w:rPr>
            </w:pPr>
            <w:r w:rsidRPr="00023F68">
              <w:rPr>
                <w:color w:val="000000"/>
              </w:rPr>
              <w:t>Visitor Economy &amp; Retail</w:t>
            </w:r>
          </w:p>
        </w:tc>
        <w:tc>
          <w:tcPr>
            <w:tcW w:w="1549" w:type="dxa"/>
            <w:noWrap/>
            <w:hideMark/>
          </w:tcPr>
          <w:p w14:paraId="68E9439B"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470</w:t>
            </w:r>
          </w:p>
        </w:tc>
        <w:tc>
          <w:tcPr>
            <w:tcW w:w="1387" w:type="dxa"/>
            <w:noWrap/>
            <w:hideMark/>
          </w:tcPr>
          <w:p w14:paraId="57D39123"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360</w:t>
            </w:r>
          </w:p>
        </w:tc>
        <w:tc>
          <w:tcPr>
            <w:tcW w:w="1157" w:type="dxa"/>
            <w:noWrap/>
            <w:hideMark/>
          </w:tcPr>
          <w:p w14:paraId="6A73C0E8"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320</w:t>
            </w:r>
          </w:p>
        </w:tc>
      </w:tr>
      <w:tr w:rsidR="00553FD5" w:rsidRPr="00023F68" w14:paraId="20B079BE" w14:textId="77777777" w:rsidTr="007A1492">
        <w:trPr>
          <w:trHeight w:val="24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978DA25" w14:textId="77777777" w:rsidR="00553FD5" w:rsidRPr="00023F68" w:rsidRDefault="00553FD5" w:rsidP="00C93734">
            <w:pPr>
              <w:spacing w:after="120"/>
              <w:jc w:val="both"/>
              <w:rPr>
                <w:color w:val="000000"/>
              </w:rPr>
            </w:pPr>
            <w:r w:rsidRPr="00023F68">
              <w:rPr>
                <w:color w:val="000000"/>
              </w:rPr>
              <w:t>Total</w:t>
            </w:r>
          </w:p>
        </w:tc>
        <w:tc>
          <w:tcPr>
            <w:tcW w:w="1549" w:type="dxa"/>
            <w:noWrap/>
            <w:hideMark/>
          </w:tcPr>
          <w:p w14:paraId="0C559AE1"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1,710</w:t>
            </w:r>
          </w:p>
        </w:tc>
        <w:tc>
          <w:tcPr>
            <w:tcW w:w="1387" w:type="dxa"/>
            <w:noWrap/>
            <w:hideMark/>
          </w:tcPr>
          <w:p w14:paraId="4B23709F"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1,190</w:t>
            </w:r>
          </w:p>
        </w:tc>
        <w:tc>
          <w:tcPr>
            <w:tcW w:w="1157" w:type="dxa"/>
            <w:noWrap/>
            <w:hideMark/>
          </w:tcPr>
          <w:p w14:paraId="29A45729"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1,760</w:t>
            </w:r>
          </w:p>
        </w:tc>
      </w:tr>
      <w:tr w:rsidR="00553FD5" w:rsidRPr="00023F68" w14:paraId="51CE6E2B" w14:textId="77777777" w:rsidTr="007A1492">
        <w:trPr>
          <w:trHeight w:val="245"/>
        </w:trPr>
        <w:tc>
          <w:tcPr>
            <w:cnfStyle w:val="001000000000" w:firstRow="0" w:lastRow="0" w:firstColumn="1" w:lastColumn="0" w:oddVBand="0" w:evenVBand="0" w:oddHBand="0" w:evenHBand="0" w:firstRowFirstColumn="0" w:firstRowLastColumn="0" w:lastRowFirstColumn="0" w:lastRowLastColumn="0"/>
            <w:tcW w:w="7212" w:type="dxa"/>
            <w:gridSpan w:val="4"/>
            <w:shd w:val="clear" w:color="auto" w:fill="E6E4DE" w:themeFill="accent6"/>
            <w:noWrap/>
            <w:hideMark/>
          </w:tcPr>
          <w:p w14:paraId="2D3B2A31" w14:textId="77777777" w:rsidR="00553FD5" w:rsidRPr="00023F68" w:rsidRDefault="00553FD5" w:rsidP="00C93734">
            <w:pPr>
              <w:spacing w:after="120"/>
              <w:jc w:val="both"/>
              <w:rPr>
                <w:color w:val="000000"/>
              </w:rPr>
            </w:pPr>
            <w:r w:rsidRPr="00023F68">
              <w:rPr>
                <w:b/>
                <w:color w:val="000000"/>
              </w:rPr>
              <w:t>Total:   4,660</w:t>
            </w:r>
          </w:p>
        </w:tc>
      </w:tr>
    </w:tbl>
    <w:p w14:paraId="776555B0" w14:textId="77777777" w:rsidR="00553FD5" w:rsidRPr="002805F3" w:rsidRDefault="00553FD5" w:rsidP="00C93734">
      <w:pPr>
        <w:pStyle w:val="TableSource"/>
        <w:jc w:val="both"/>
        <w:rPr>
          <w:szCs w:val="18"/>
        </w:rPr>
      </w:pPr>
      <w:r w:rsidRPr="002805F3">
        <w:rPr>
          <w:szCs w:val="18"/>
        </w:rPr>
        <w:t>Source: Atkins 2013.</w:t>
      </w:r>
      <w:r w:rsidRPr="002805F3">
        <w:t xml:space="preserve"> Atkins Ref: Survey – A10/W33. Figures rounded.</w:t>
      </w:r>
    </w:p>
    <w:p w14:paraId="05953AA0" w14:textId="77777777" w:rsidR="00553FD5" w:rsidRPr="002805F3" w:rsidRDefault="00DF4291" w:rsidP="00C93734">
      <w:pPr>
        <w:pStyle w:val="BodyText"/>
        <w:jc w:val="both"/>
      </w:pPr>
      <w:r>
        <w:t xml:space="preserve">As shown in Table </w:t>
      </w:r>
      <w:r>
        <w:rPr>
          <w:noProof/>
        </w:rPr>
        <w:t>0</w:t>
      </w:r>
      <w:r>
        <w:t>-</w:t>
      </w:r>
      <w:r w:rsidR="007B2197">
        <w:rPr>
          <w:noProof/>
        </w:rPr>
        <w:t>8</w:t>
      </w:r>
      <w:r w:rsidR="00553FD5" w:rsidRPr="002805F3">
        <w:t>, by this method we estimate that there are 4,660 indirect jobs attributable to the key sectors of which the majority are in the economic study area.</w:t>
      </w:r>
    </w:p>
    <w:p w14:paraId="48F6BF00" w14:textId="77777777" w:rsidR="00553FD5" w:rsidRPr="002805F3" w:rsidRDefault="00553FD5" w:rsidP="00C93734">
      <w:pPr>
        <w:pStyle w:val="BodyText"/>
        <w:jc w:val="both"/>
        <w:rPr>
          <w:b/>
          <w:i/>
        </w:rPr>
      </w:pPr>
      <w:r w:rsidRPr="002805F3">
        <w:rPr>
          <w:b/>
          <w:i/>
        </w:rPr>
        <w:t>Method 3: Type 1 Employment Multiplier</w:t>
      </w:r>
    </w:p>
    <w:p w14:paraId="3D0A49A7" w14:textId="77777777" w:rsidR="00553FD5" w:rsidRPr="002805F3" w:rsidRDefault="00553FD5" w:rsidP="00C93734">
      <w:pPr>
        <w:pStyle w:val="BodyText"/>
        <w:jc w:val="both"/>
      </w:pPr>
      <w:r w:rsidRPr="002805F3">
        <w:t xml:space="preserve">Applying a range of simple Type 1 multipliers provided by the Scottish Executive (Scottish Executive Statistics Input-Output Multipliers) enables a third estimate to be made of indirect employment (see </w:t>
      </w:r>
      <w:r w:rsidR="00DF4291">
        <w:t xml:space="preserve">Table </w:t>
      </w:r>
      <w:r w:rsidR="00DF4291">
        <w:rPr>
          <w:noProof/>
        </w:rPr>
        <w:t>0</w:t>
      </w:r>
      <w:r w:rsidR="00DF4291">
        <w:t>-</w:t>
      </w:r>
      <w:r w:rsidR="00DF4291">
        <w:rPr>
          <w:noProof/>
        </w:rPr>
        <w:t>9</w:t>
      </w:r>
      <w:r w:rsidRPr="002805F3">
        <w:t xml:space="preserve">). </w:t>
      </w:r>
    </w:p>
    <w:p w14:paraId="4EB85FA9" w14:textId="77777777" w:rsidR="00553FD5" w:rsidRPr="002805F3" w:rsidRDefault="00553FD5" w:rsidP="00C93734">
      <w:pPr>
        <w:pStyle w:val="BodyText"/>
        <w:jc w:val="both"/>
      </w:pPr>
      <w:r w:rsidRPr="002805F3">
        <w:t>When applying this method, it is important to highlight that multipliers vary depending on the size of the study / impact area. Typically, the larger the area, the greater the multiplier will be as a higher proportion of supply expenditure is retained / recycled within the defined economy. Whilst the multipliers used are based on the Scottish economy, they provide one of the few reliable sources of detailed sector-based multipliers at the sub-national level (from input</w:t>
      </w:r>
      <w:r w:rsidR="007B2197">
        <w:t>-</w:t>
      </w:r>
      <w:r w:rsidRPr="002805F3">
        <w:t>output tables). Whilst the Scottish economy is larger than the North East Lincolnshire economy, the data presented by the analysis suggest that the multipliers used can be reasonably applied for the purposes of this study.</w:t>
      </w:r>
    </w:p>
    <w:p w14:paraId="123AC7FD" w14:textId="77777777" w:rsidR="00553FD5" w:rsidRPr="002805F3" w:rsidRDefault="00553FD5" w:rsidP="00C93734">
      <w:pPr>
        <w:pStyle w:val="BodyText"/>
        <w:jc w:val="both"/>
      </w:pPr>
      <w:r w:rsidRPr="002805F3">
        <w:t>Based on this method the number of new indirect jobs driven by the key sectors within the study area equates to 24,020.</w:t>
      </w:r>
    </w:p>
    <w:p w14:paraId="7416F678" w14:textId="77777777" w:rsidR="00553FD5" w:rsidRDefault="00553FD5" w:rsidP="00C93734">
      <w:pPr>
        <w:pStyle w:val="Caption"/>
        <w:jc w:val="both"/>
      </w:pPr>
      <w:bookmarkStart w:id="640" w:name="_Ref391920905"/>
      <w:bookmarkStart w:id="641" w:name="_Toc383159710"/>
      <w:r>
        <w:t xml:space="preserve">Table </w:t>
      </w:r>
      <w:fldSimple w:instr=" STYLEREF 1 \s  \* MERGEFORMAT ">
        <w:r w:rsidR="00E95E1A">
          <w:rPr>
            <w:noProof/>
          </w:rPr>
          <w:t>0</w:t>
        </w:r>
      </w:fldSimple>
      <w:r>
        <w:t>-</w:t>
      </w:r>
      <w:fldSimple w:instr=" SEQ Table \* ARABIC \s 1  \* MERGEFORMAT ">
        <w:r w:rsidR="00E95E1A">
          <w:rPr>
            <w:noProof/>
          </w:rPr>
          <w:t>9</w:t>
        </w:r>
      </w:fldSimple>
      <w:bookmarkEnd w:id="640"/>
      <w:r>
        <w:tab/>
        <w:t>Indirect Employees (First Round Supply Chain)</w:t>
      </w:r>
      <w:bookmarkEnd w:id="641"/>
    </w:p>
    <w:tbl>
      <w:tblPr>
        <w:tblStyle w:val="Atkins14pt"/>
        <w:tblW w:w="7938" w:type="dxa"/>
        <w:tblLayout w:type="fixed"/>
        <w:tblLook w:val="04A0" w:firstRow="1" w:lastRow="0" w:firstColumn="1" w:lastColumn="0" w:noHBand="0" w:noVBand="1"/>
      </w:tblPr>
      <w:tblGrid>
        <w:gridCol w:w="3119"/>
        <w:gridCol w:w="1606"/>
        <w:gridCol w:w="1606"/>
        <w:gridCol w:w="1607"/>
      </w:tblGrid>
      <w:tr w:rsidR="00553FD5" w:rsidRPr="00023F68" w14:paraId="71358F78" w14:textId="77777777" w:rsidTr="007A1492">
        <w:trPr>
          <w:cnfStyle w:val="100000000000" w:firstRow="1" w:lastRow="0" w:firstColumn="0" w:lastColumn="0" w:oddVBand="0" w:evenVBand="0" w:oddHBand="0" w:evenHBand="0" w:firstRowFirstColumn="0" w:firstRowLastColumn="0" w:lastRowFirstColumn="0" w:lastRowLastColumn="0"/>
          <w:trHeight w:val="525"/>
        </w:trPr>
        <w:tc>
          <w:tcPr>
            <w:cnfStyle w:val="001000000100" w:firstRow="0" w:lastRow="0" w:firstColumn="1" w:lastColumn="0" w:oddVBand="0" w:evenVBand="0" w:oddHBand="0" w:evenHBand="0" w:firstRowFirstColumn="1" w:firstRowLastColumn="0" w:lastRowFirstColumn="0" w:lastRowLastColumn="0"/>
            <w:tcW w:w="3119" w:type="dxa"/>
            <w:noWrap/>
            <w:hideMark/>
          </w:tcPr>
          <w:p w14:paraId="2FFA5753" w14:textId="77777777" w:rsidR="00553FD5" w:rsidRPr="00023F68" w:rsidRDefault="00553FD5" w:rsidP="00C93734">
            <w:pPr>
              <w:spacing w:after="120"/>
              <w:jc w:val="both"/>
              <w:rPr>
                <w:color w:val="000000"/>
              </w:rPr>
            </w:pPr>
            <w:r w:rsidRPr="00023F68">
              <w:rPr>
                <w:color w:val="000000"/>
              </w:rPr>
              <w:t> Sector</w:t>
            </w:r>
          </w:p>
        </w:tc>
        <w:tc>
          <w:tcPr>
            <w:tcW w:w="1606" w:type="dxa"/>
            <w:hideMark/>
          </w:tcPr>
          <w:p w14:paraId="31F4DD33" w14:textId="77777777" w:rsidR="00553FD5" w:rsidRPr="00023F68" w:rsidRDefault="009D5E00"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rPr>
            </w:pPr>
            <w:r>
              <w:rPr>
                <w:color w:val="000000"/>
              </w:rPr>
              <w:t>Direct Jobs</w:t>
            </w:r>
          </w:p>
        </w:tc>
        <w:tc>
          <w:tcPr>
            <w:tcW w:w="1606" w:type="dxa"/>
            <w:noWrap/>
            <w:hideMark/>
          </w:tcPr>
          <w:p w14:paraId="19D6C366" w14:textId="77777777" w:rsidR="00553FD5" w:rsidRPr="00023F68"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rPr>
            </w:pPr>
            <w:r w:rsidRPr="00023F68">
              <w:rPr>
                <w:color w:val="000000"/>
              </w:rPr>
              <w:t>Employment multiplier</w:t>
            </w:r>
          </w:p>
        </w:tc>
        <w:tc>
          <w:tcPr>
            <w:tcW w:w="1607" w:type="dxa"/>
            <w:noWrap/>
            <w:hideMark/>
          </w:tcPr>
          <w:p w14:paraId="5F12D9AC" w14:textId="77777777" w:rsidR="00553FD5" w:rsidRPr="00023F68" w:rsidRDefault="00553FD5"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rPr>
            </w:pPr>
            <w:r w:rsidRPr="00023F68">
              <w:rPr>
                <w:color w:val="000000"/>
              </w:rPr>
              <w:t>Implied new Jobs</w:t>
            </w:r>
          </w:p>
        </w:tc>
      </w:tr>
      <w:tr w:rsidR="00553FD5" w:rsidRPr="00023F68" w14:paraId="76220D64" w14:textId="77777777" w:rsidTr="007A1492">
        <w:trPr>
          <w:trHeight w:val="270"/>
        </w:trPr>
        <w:tc>
          <w:tcPr>
            <w:cnfStyle w:val="001000000000" w:firstRow="0" w:lastRow="0" w:firstColumn="1" w:lastColumn="0" w:oddVBand="0" w:evenVBand="0" w:oddHBand="0" w:evenHBand="0" w:firstRowFirstColumn="0" w:firstRowLastColumn="0" w:lastRowFirstColumn="0" w:lastRowLastColumn="0"/>
            <w:tcW w:w="3119" w:type="dxa"/>
            <w:noWrap/>
            <w:vAlign w:val="bottom"/>
            <w:hideMark/>
          </w:tcPr>
          <w:p w14:paraId="2ECDF5B1" w14:textId="77777777" w:rsidR="00553FD5" w:rsidRPr="00023F68" w:rsidRDefault="00553FD5" w:rsidP="00C93734">
            <w:pPr>
              <w:spacing w:after="120"/>
              <w:jc w:val="both"/>
              <w:rPr>
                <w:color w:val="000000"/>
              </w:rPr>
            </w:pPr>
            <w:r w:rsidRPr="00023F68">
              <w:rPr>
                <w:color w:val="000000"/>
              </w:rPr>
              <w:t>Renewables</w:t>
            </w:r>
          </w:p>
        </w:tc>
        <w:tc>
          <w:tcPr>
            <w:tcW w:w="1606" w:type="dxa"/>
            <w:vAlign w:val="bottom"/>
            <w:hideMark/>
          </w:tcPr>
          <w:p w14:paraId="2E574DF6"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3,250</w:t>
            </w:r>
          </w:p>
        </w:tc>
        <w:tc>
          <w:tcPr>
            <w:tcW w:w="1606" w:type="dxa"/>
            <w:noWrap/>
            <w:vAlign w:val="bottom"/>
            <w:hideMark/>
          </w:tcPr>
          <w:p w14:paraId="665694DB" w14:textId="77777777" w:rsidR="00553FD5" w:rsidRPr="00023F68" w:rsidRDefault="00553FD5" w:rsidP="00C93734">
            <w:pPr>
              <w:spacing w:after="120"/>
              <w:ind w:right="39"/>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1.6</w:t>
            </w:r>
          </w:p>
        </w:tc>
        <w:tc>
          <w:tcPr>
            <w:tcW w:w="1607" w:type="dxa"/>
            <w:noWrap/>
            <w:vAlign w:val="bottom"/>
            <w:hideMark/>
          </w:tcPr>
          <w:p w14:paraId="22998222" w14:textId="77777777" w:rsidR="00553FD5" w:rsidRPr="00023F68" w:rsidRDefault="00553FD5" w:rsidP="00C93734">
            <w:pPr>
              <w:spacing w:after="120"/>
              <w:ind w:right="39"/>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 xml:space="preserve">                 1,950 </w:t>
            </w:r>
          </w:p>
        </w:tc>
      </w:tr>
      <w:tr w:rsidR="00553FD5" w:rsidRPr="00023F68" w14:paraId="14DFC007" w14:textId="77777777" w:rsidTr="007A1492">
        <w:trPr>
          <w:trHeight w:val="270"/>
        </w:trPr>
        <w:tc>
          <w:tcPr>
            <w:cnfStyle w:val="001000000000" w:firstRow="0" w:lastRow="0" w:firstColumn="1" w:lastColumn="0" w:oddVBand="0" w:evenVBand="0" w:oddHBand="0" w:evenHBand="0" w:firstRowFirstColumn="0" w:firstRowLastColumn="0" w:lastRowFirstColumn="0" w:lastRowLastColumn="0"/>
            <w:tcW w:w="3119" w:type="dxa"/>
            <w:noWrap/>
            <w:vAlign w:val="bottom"/>
            <w:hideMark/>
          </w:tcPr>
          <w:p w14:paraId="1368BAA1" w14:textId="77777777" w:rsidR="00553FD5" w:rsidRPr="00023F68" w:rsidRDefault="00553FD5" w:rsidP="00C93734">
            <w:pPr>
              <w:spacing w:after="120"/>
              <w:jc w:val="both"/>
              <w:rPr>
                <w:color w:val="000000"/>
              </w:rPr>
            </w:pPr>
            <w:r w:rsidRPr="00023F68">
              <w:rPr>
                <w:color w:val="000000"/>
              </w:rPr>
              <w:t>Ports &amp; Logistics</w:t>
            </w:r>
          </w:p>
        </w:tc>
        <w:tc>
          <w:tcPr>
            <w:tcW w:w="1606" w:type="dxa"/>
            <w:vAlign w:val="bottom"/>
            <w:hideMark/>
          </w:tcPr>
          <w:p w14:paraId="33CC6B5C"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4,820</w:t>
            </w:r>
          </w:p>
        </w:tc>
        <w:tc>
          <w:tcPr>
            <w:tcW w:w="1606" w:type="dxa"/>
            <w:noWrap/>
            <w:vAlign w:val="bottom"/>
            <w:hideMark/>
          </w:tcPr>
          <w:p w14:paraId="443F7D17" w14:textId="77777777" w:rsidR="00553FD5" w:rsidRPr="00023F68" w:rsidRDefault="00553FD5" w:rsidP="00C93734">
            <w:pPr>
              <w:spacing w:after="120"/>
              <w:ind w:right="39"/>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2.3</w:t>
            </w:r>
          </w:p>
        </w:tc>
        <w:tc>
          <w:tcPr>
            <w:tcW w:w="1607" w:type="dxa"/>
            <w:noWrap/>
            <w:vAlign w:val="bottom"/>
            <w:hideMark/>
          </w:tcPr>
          <w:p w14:paraId="52AEBEEF" w14:textId="77777777" w:rsidR="00553FD5" w:rsidRPr="00023F68" w:rsidRDefault="00553FD5" w:rsidP="00C93734">
            <w:pPr>
              <w:spacing w:after="120"/>
              <w:ind w:right="39"/>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 xml:space="preserve">                 6,270 </w:t>
            </w:r>
          </w:p>
        </w:tc>
      </w:tr>
      <w:tr w:rsidR="00553FD5" w:rsidRPr="00023F68" w14:paraId="2D9EEE36" w14:textId="77777777" w:rsidTr="007A1492">
        <w:trPr>
          <w:trHeight w:val="270"/>
        </w:trPr>
        <w:tc>
          <w:tcPr>
            <w:cnfStyle w:val="001000000000" w:firstRow="0" w:lastRow="0" w:firstColumn="1" w:lastColumn="0" w:oddVBand="0" w:evenVBand="0" w:oddHBand="0" w:evenHBand="0" w:firstRowFirstColumn="0" w:firstRowLastColumn="0" w:lastRowFirstColumn="0" w:lastRowLastColumn="0"/>
            <w:tcW w:w="3119" w:type="dxa"/>
            <w:noWrap/>
            <w:vAlign w:val="bottom"/>
            <w:hideMark/>
          </w:tcPr>
          <w:p w14:paraId="66D680EA" w14:textId="77777777" w:rsidR="00553FD5" w:rsidRPr="00023F68" w:rsidRDefault="00553FD5" w:rsidP="00C93734">
            <w:pPr>
              <w:spacing w:after="120"/>
              <w:jc w:val="both"/>
              <w:rPr>
                <w:color w:val="000000"/>
              </w:rPr>
            </w:pPr>
            <w:r w:rsidRPr="00023F68">
              <w:rPr>
                <w:color w:val="000000"/>
              </w:rPr>
              <w:t>Food manufacturing</w:t>
            </w:r>
          </w:p>
        </w:tc>
        <w:tc>
          <w:tcPr>
            <w:tcW w:w="1606" w:type="dxa"/>
            <w:vAlign w:val="bottom"/>
            <w:hideMark/>
          </w:tcPr>
          <w:p w14:paraId="4E1C8FF0"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4,100</w:t>
            </w:r>
          </w:p>
        </w:tc>
        <w:tc>
          <w:tcPr>
            <w:tcW w:w="1606" w:type="dxa"/>
            <w:noWrap/>
            <w:vAlign w:val="bottom"/>
            <w:hideMark/>
          </w:tcPr>
          <w:p w14:paraId="38CAB87D" w14:textId="77777777" w:rsidR="00553FD5" w:rsidRPr="00023F68" w:rsidRDefault="00553FD5" w:rsidP="00C93734">
            <w:pPr>
              <w:spacing w:after="120"/>
              <w:ind w:right="39"/>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2</w:t>
            </w:r>
          </w:p>
        </w:tc>
        <w:tc>
          <w:tcPr>
            <w:tcW w:w="1607" w:type="dxa"/>
            <w:noWrap/>
            <w:vAlign w:val="bottom"/>
            <w:hideMark/>
          </w:tcPr>
          <w:p w14:paraId="54146621" w14:textId="77777777" w:rsidR="00553FD5" w:rsidRPr="00023F68" w:rsidRDefault="00553FD5" w:rsidP="00C93734">
            <w:pPr>
              <w:spacing w:after="120"/>
              <w:ind w:right="39"/>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 xml:space="preserve">                 4,100 </w:t>
            </w:r>
          </w:p>
        </w:tc>
      </w:tr>
      <w:tr w:rsidR="00553FD5" w:rsidRPr="00023F68" w14:paraId="102264D3" w14:textId="77777777" w:rsidTr="007A1492">
        <w:trPr>
          <w:trHeight w:val="270"/>
        </w:trPr>
        <w:tc>
          <w:tcPr>
            <w:cnfStyle w:val="001000000000" w:firstRow="0" w:lastRow="0" w:firstColumn="1" w:lastColumn="0" w:oddVBand="0" w:evenVBand="0" w:oddHBand="0" w:evenHBand="0" w:firstRowFirstColumn="0" w:firstRowLastColumn="0" w:lastRowFirstColumn="0" w:lastRowLastColumn="0"/>
            <w:tcW w:w="3119" w:type="dxa"/>
            <w:noWrap/>
            <w:vAlign w:val="bottom"/>
            <w:hideMark/>
          </w:tcPr>
          <w:p w14:paraId="45254883" w14:textId="77777777" w:rsidR="00553FD5" w:rsidRPr="00023F68" w:rsidRDefault="00553FD5" w:rsidP="00C93734">
            <w:pPr>
              <w:spacing w:after="120"/>
              <w:jc w:val="both"/>
              <w:rPr>
                <w:color w:val="000000"/>
              </w:rPr>
            </w:pPr>
            <w:r w:rsidRPr="00023F68">
              <w:rPr>
                <w:color w:val="000000"/>
              </w:rPr>
              <w:t>Chemicals &amp; process industries</w:t>
            </w:r>
          </w:p>
        </w:tc>
        <w:tc>
          <w:tcPr>
            <w:tcW w:w="1606" w:type="dxa"/>
            <w:vAlign w:val="bottom"/>
            <w:hideMark/>
          </w:tcPr>
          <w:p w14:paraId="425B9A96"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2,230</w:t>
            </w:r>
          </w:p>
        </w:tc>
        <w:tc>
          <w:tcPr>
            <w:tcW w:w="1606" w:type="dxa"/>
            <w:noWrap/>
            <w:vAlign w:val="bottom"/>
            <w:hideMark/>
          </w:tcPr>
          <w:p w14:paraId="4F4653E5" w14:textId="77777777" w:rsidR="00553FD5" w:rsidRPr="00023F68" w:rsidRDefault="00553FD5" w:rsidP="00C93734">
            <w:pPr>
              <w:spacing w:after="120"/>
              <w:ind w:right="39"/>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4.3</w:t>
            </w:r>
          </w:p>
        </w:tc>
        <w:tc>
          <w:tcPr>
            <w:tcW w:w="1607" w:type="dxa"/>
            <w:noWrap/>
            <w:vAlign w:val="bottom"/>
            <w:hideMark/>
          </w:tcPr>
          <w:p w14:paraId="580D4524" w14:textId="77777777" w:rsidR="00553FD5" w:rsidRPr="00023F68" w:rsidRDefault="00553FD5" w:rsidP="00C93734">
            <w:pPr>
              <w:spacing w:after="120"/>
              <w:ind w:right="39"/>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 xml:space="preserve">                 7,360 </w:t>
            </w:r>
          </w:p>
        </w:tc>
      </w:tr>
      <w:tr w:rsidR="00553FD5" w:rsidRPr="00023F68" w14:paraId="63FD709C" w14:textId="77777777" w:rsidTr="007A1492">
        <w:trPr>
          <w:trHeight w:val="270"/>
        </w:trPr>
        <w:tc>
          <w:tcPr>
            <w:cnfStyle w:val="001000000000" w:firstRow="0" w:lastRow="0" w:firstColumn="1" w:lastColumn="0" w:oddVBand="0" w:evenVBand="0" w:oddHBand="0" w:evenHBand="0" w:firstRowFirstColumn="0" w:firstRowLastColumn="0" w:lastRowFirstColumn="0" w:lastRowLastColumn="0"/>
            <w:tcW w:w="3119" w:type="dxa"/>
            <w:noWrap/>
            <w:vAlign w:val="bottom"/>
            <w:hideMark/>
          </w:tcPr>
          <w:p w14:paraId="1282B7F7" w14:textId="77777777" w:rsidR="00553FD5" w:rsidRPr="00023F68" w:rsidRDefault="00553FD5" w:rsidP="00C93734">
            <w:pPr>
              <w:spacing w:after="120"/>
              <w:jc w:val="both"/>
              <w:rPr>
                <w:color w:val="000000"/>
              </w:rPr>
            </w:pPr>
            <w:r w:rsidRPr="00023F68">
              <w:rPr>
                <w:color w:val="000000"/>
              </w:rPr>
              <w:t>Visitor Economy &amp; Retail</w:t>
            </w:r>
          </w:p>
        </w:tc>
        <w:tc>
          <w:tcPr>
            <w:tcW w:w="1606" w:type="dxa"/>
            <w:vAlign w:val="bottom"/>
            <w:hideMark/>
          </w:tcPr>
          <w:p w14:paraId="3BD832E2"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4,830</w:t>
            </w:r>
          </w:p>
        </w:tc>
        <w:tc>
          <w:tcPr>
            <w:tcW w:w="1606" w:type="dxa"/>
            <w:noWrap/>
            <w:vAlign w:val="bottom"/>
            <w:hideMark/>
          </w:tcPr>
          <w:p w14:paraId="7024CBC2" w14:textId="77777777" w:rsidR="00553FD5" w:rsidRPr="00023F68" w:rsidRDefault="00553FD5" w:rsidP="00C93734">
            <w:pPr>
              <w:spacing w:after="120"/>
              <w:ind w:right="39"/>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1.9</w:t>
            </w:r>
          </w:p>
        </w:tc>
        <w:tc>
          <w:tcPr>
            <w:tcW w:w="1607" w:type="dxa"/>
            <w:noWrap/>
            <w:vAlign w:val="bottom"/>
            <w:hideMark/>
          </w:tcPr>
          <w:p w14:paraId="4EA9D281" w14:textId="77777777" w:rsidR="00553FD5" w:rsidRPr="00023F68" w:rsidRDefault="00553FD5" w:rsidP="00C93734">
            <w:pPr>
              <w:spacing w:after="120"/>
              <w:ind w:right="39"/>
              <w:jc w:val="both"/>
              <w:cnfStyle w:val="000000000000" w:firstRow="0" w:lastRow="0" w:firstColumn="0" w:lastColumn="0" w:oddVBand="0" w:evenVBand="0" w:oddHBand="0" w:evenHBand="0" w:firstRowFirstColumn="0" w:firstRowLastColumn="0" w:lastRowFirstColumn="0" w:lastRowLastColumn="0"/>
              <w:rPr>
                <w:color w:val="000000"/>
              </w:rPr>
            </w:pPr>
            <w:r w:rsidRPr="00023F68">
              <w:rPr>
                <w:color w:val="000000"/>
              </w:rPr>
              <w:t xml:space="preserve">                 4,350 </w:t>
            </w:r>
          </w:p>
        </w:tc>
      </w:tr>
      <w:tr w:rsidR="00553FD5" w:rsidRPr="00023F68" w14:paraId="46DCA9C0" w14:textId="77777777" w:rsidTr="007A1492">
        <w:trPr>
          <w:trHeight w:val="270"/>
        </w:trPr>
        <w:tc>
          <w:tcPr>
            <w:cnfStyle w:val="001000000000" w:firstRow="0" w:lastRow="0" w:firstColumn="1" w:lastColumn="0" w:oddVBand="0" w:evenVBand="0" w:oddHBand="0" w:evenHBand="0" w:firstRowFirstColumn="0" w:firstRowLastColumn="0" w:lastRowFirstColumn="0" w:lastRowLastColumn="0"/>
            <w:tcW w:w="3119" w:type="dxa"/>
            <w:noWrap/>
            <w:vAlign w:val="bottom"/>
            <w:hideMark/>
          </w:tcPr>
          <w:p w14:paraId="0CD5F108" w14:textId="77777777" w:rsidR="00553FD5" w:rsidRPr="00023F68" w:rsidRDefault="00553FD5" w:rsidP="00C93734">
            <w:pPr>
              <w:spacing w:after="120"/>
              <w:jc w:val="both"/>
              <w:rPr>
                <w:color w:val="000000"/>
              </w:rPr>
            </w:pPr>
          </w:p>
        </w:tc>
        <w:tc>
          <w:tcPr>
            <w:tcW w:w="1606" w:type="dxa"/>
            <w:vAlign w:val="bottom"/>
            <w:hideMark/>
          </w:tcPr>
          <w:p w14:paraId="068C8A04"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p>
        </w:tc>
        <w:tc>
          <w:tcPr>
            <w:tcW w:w="1606" w:type="dxa"/>
            <w:noWrap/>
            <w:vAlign w:val="bottom"/>
            <w:hideMark/>
          </w:tcPr>
          <w:p w14:paraId="58976137" w14:textId="77777777" w:rsidR="00553FD5" w:rsidRPr="00023F68" w:rsidRDefault="00553FD5" w:rsidP="00C93734">
            <w:pPr>
              <w:spacing w:after="120"/>
              <w:ind w:right="39"/>
              <w:jc w:val="both"/>
              <w:cnfStyle w:val="000000000000" w:firstRow="0" w:lastRow="0" w:firstColumn="0" w:lastColumn="0" w:oddVBand="0" w:evenVBand="0" w:oddHBand="0" w:evenHBand="0" w:firstRowFirstColumn="0" w:firstRowLastColumn="0" w:lastRowFirstColumn="0" w:lastRowLastColumn="0"/>
              <w:rPr>
                <w:color w:val="000000"/>
              </w:rPr>
            </w:pPr>
          </w:p>
        </w:tc>
        <w:tc>
          <w:tcPr>
            <w:tcW w:w="1607" w:type="dxa"/>
            <w:noWrap/>
            <w:vAlign w:val="bottom"/>
            <w:hideMark/>
          </w:tcPr>
          <w:p w14:paraId="427969CD" w14:textId="77777777" w:rsidR="00553FD5" w:rsidRPr="00023F68" w:rsidRDefault="00553FD5" w:rsidP="00C93734">
            <w:pPr>
              <w:spacing w:after="120"/>
              <w:ind w:right="39"/>
              <w:jc w:val="both"/>
              <w:cnfStyle w:val="000000000000" w:firstRow="0" w:lastRow="0" w:firstColumn="0" w:lastColumn="0" w:oddVBand="0" w:evenVBand="0" w:oddHBand="0" w:evenHBand="0" w:firstRowFirstColumn="0" w:firstRowLastColumn="0" w:lastRowFirstColumn="0" w:lastRowLastColumn="0"/>
              <w:rPr>
                <w:color w:val="000000"/>
              </w:rPr>
            </w:pPr>
          </w:p>
        </w:tc>
      </w:tr>
      <w:tr w:rsidR="00553FD5" w:rsidRPr="00023F68" w14:paraId="46631C00" w14:textId="77777777" w:rsidTr="007A1492">
        <w:trPr>
          <w:trHeight w:val="270"/>
        </w:trPr>
        <w:tc>
          <w:tcPr>
            <w:cnfStyle w:val="001000000000" w:firstRow="0" w:lastRow="0" w:firstColumn="1" w:lastColumn="0" w:oddVBand="0" w:evenVBand="0" w:oddHBand="0" w:evenHBand="0" w:firstRowFirstColumn="0" w:firstRowLastColumn="0" w:lastRowFirstColumn="0" w:lastRowLastColumn="0"/>
            <w:tcW w:w="3119" w:type="dxa"/>
            <w:noWrap/>
            <w:vAlign w:val="bottom"/>
            <w:hideMark/>
          </w:tcPr>
          <w:p w14:paraId="1A690125" w14:textId="77777777" w:rsidR="00553FD5" w:rsidRPr="00023F68" w:rsidRDefault="00553FD5" w:rsidP="00C93734">
            <w:pPr>
              <w:spacing w:after="120"/>
              <w:jc w:val="both"/>
              <w:rPr>
                <w:b/>
                <w:color w:val="000000"/>
              </w:rPr>
            </w:pPr>
            <w:r w:rsidRPr="00023F68">
              <w:rPr>
                <w:b/>
                <w:color w:val="000000"/>
              </w:rPr>
              <w:t>Total</w:t>
            </w:r>
          </w:p>
        </w:tc>
        <w:tc>
          <w:tcPr>
            <w:tcW w:w="1606" w:type="dxa"/>
            <w:vAlign w:val="bottom"/>
            <w:hideMark/>
          </w:tcPr>
          <w:p w14:paraId="495DAC7A" w14:textId="77777777" w:rsidR="00553FD5" w:rsidRPr="00023F68"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b/>
                <w:color w:val="000000"/>
              </w:rPr>
            </w:pPr>
            <w:r w:rsidRPr="00023F68">
              <w:rPr>
                <w:b/>
                <w:color w:val="000000"/>
              </w:rPr>
              <w:t>19,230</w:t>
            </w:r>
          </w:p>
        </w:tc>
        <w:tc>
          <w:tcPr>
            <w:tcW w:w="1606" w:type="dxa"/>
            <w:noWrap/>
            <w:vAlign w:val="bottom"/>
            <w:hideMark/>
          </w:tcPr>
          <w:p w14:paraId="29AE9B77" w14:textId="77777777" w:rsidR="00553FD5" w:rsidRPr="00023F68" w:rsidRDefault="00553FD5" w:rsidP="00C93734">
            <w:pPr>
              <w:spacing w:after="120"/>
              <w:ind w:right="39"/>
              <w:jc w:val="both"/>
              <w:cnfStyle w:val="000000000000" w:firstRow="0" w:lastRow="0" w:firstColumn="0" w:lastColumn="0" w:oddVBand="0" w:evenVBand="0" w:oddHBand="0" w:evenHBand="0" w:firstRowFirstColumn="0" w:firstRowLastColumn="0" w:lastRowFirstColumn="0" w:lastRowLastColumn="0"/>
              <w:rPr>
                <w:b/>
                <w:color w:val="000000"/>
              </w:rPr>
            </w:pPr>
          </w:p>
        </w:tc>
        <w:tc>
          <w:tcPr>
            <w:tcW w:w="1607" w:type="dxa"/>
            <w:noWrap/>
            <w:vAlign w:val="bottom"/>
            <w:hideMark/>
          </w:tcPr>
          <w:p w14:paraId="2A8EE139" w14:textId="77777777" w:rsidR="00553FD5" w:rsidRPr="00023F68" w:rsidRDefault="00553FD5" w:rsidP="00C93734">
            <w:pPr>
              <w:spacing w:after="120"/>
              <w:ind w:right="39"/>
              <w:jc w:val="both"/>
              <w:cnfStyle w:val="000000000000" w:firstRow="0" w:lastRow="0" w:firstColumn="0" w:lastColumn="0" w:oddVBand="0" w:evenVBand="0" w:oddHBand="0" w:evenHBand="0" w:firstRowFirstColumn="0" w:firstRowLastColumn="0" w:lastRowFirstColumn="0" w:lastRowLastColumn="0"/>
              <w:rPr>
                <w:b/>
                <w:color w:val="000000"/>
              </w:rPr>
            </w:pPr>
            <w:r w:rsidRPr="00023F68">
              <w:rPr>
                <w:b/>
                <w:color w:val="000000"/>
              </w:rPr>
              <w:t xml:space="preserve">                24,020 </w:t>
            </w:r>
          </w:p>
        </w:tc>
      </w:tr>
    </w:tbl>
    <w:p w14:paraId="63361319" w14:textId="77777777" w:rsidR="00553FD5" w:rsidRPr="002805F3" w:rsidRDefault="00553FD5" w:rsidP="00C93734">
      <w:pPr>
        <w:pStyle w:val="TableSource"/>
        <w:jc w:val="both"/>
      </w:pPr>
      <w:r w:rsidRPr="002805F3">
        <w:t>Source: Atkins 2013. Atkins Ref: Survey – A11/E1. Figures rounded.</w:t>
      </w:r>
    </w:p>
    <w:p w14:paraId="2C87A3E3" w14:textId="77777777" w:rsidR="00553FD5" w:rsidRPr="002805F3" w:rsidRDefault="00553FD5" w:rsidP="00C93734">
      <w:pPr>
        <w:pStyle w:val="BodyText"/>
        <w:jc w:val="both"/>
      </w:pPr>
      <w:r w:rsidRPr="002805F3">
        <w:t xml:space="preserve">Reflecting on the three approaches, estimates of indirect employment supported by the key sectors within the economic study area varies from 4,600 to 24,020. Consequently, we consider that a reasonable estimate of around 20,490 should be adopted for the purposes of this study. Therefore, the estimates provided by method 1 (wage-driven assessment) </w:t>
      </w:r>
      <w:r w:rsidR="00405A9B">
        <w:t>are</w:t>
      </w:r>
      <w:r w:rsidR="00405A9B" w:rsidRPr="002805F3">
        <w:t xml:space="preserve"> </w:t>
      </w:r>
      <w:r w:rsidRPr="002805F3">
        <w:t>taken forward in this study.</w:t>
      </w:r>
    </w:p>
    <w:p w14:paraId="6AA71454" w14:textId="77777777" w:rsidR="00553FD5" w:rsidRPr="002805F3" w:rsidRDefault="00553FD5" w:rsidP="00C93734">
      <w:pPr>
        <w:pStyle w:val="Heading7"/>
        <w:jc w:val="both"/>
      </w:pPr>
      <w:bookmarkStart w:id="642" w:name="_Toc395103942"/>
      <w:r w:rsidRPr="002805F3">
        <w:t>Induced Employment</w:t>
      </w:r>
      <w:bookmarkEnd w:id="642"/>
    </w:p>
    <w:p w14:paraId="26C3C4B1" w14:textId="77777777" w:rsidR="00553FD5" w:rsidRPr="002805F3" w:rsidRDefault="00553FD5" w:rsidP="00C93734">
      <w:pPr>
        <w:pStyle w:val="BodyText"/>
        <w:jc w:val="both"/>
      </w:pPr>
      <w:r w:rsidRPr="002805F3">
        <w:t>In addition to indirect employment supported by the key sectors there will be a further level of induced employment, derived by income spent by direct and indirect employees within and outside the economic study area.</w:t>
      </w:r>
    </w:p>
    <w:p w14:paraId="3F5D7C8A" w14:textId="77777777" w:rsidR="00553FD5" w:rsidRPr="002805F3" w:rsidRDefault="00553FD5" w:rsidP="00C93734">
      <w:pPr>
        <w:pStyle w:val="BodyText"/>
        <w:jc w:val="both"/>
      </w:pPr>
      <w:r w:rsidRPr="002805F3">
        <w:t xml:space="preserve">To estimate induced employment, we have applied Type II employment multipliers by key sectors (Type II multipliers estimate the ratio between direct employment and indirect </w:t>
      </w:r>
      <w:r w:rsidR="00405A9B">
        <w:t>and</w:t>
      </w:r>
      <w:r w:rsidR="00405A9B" w:rsidRPr="002805F3">
        <w:t xml:space="preserve"> </w:t>
      </w:r>
      <w:r w:rsidRPr="002805F3">
        <w:t xml:space="preserve">induced employment </w:t>
      </w:r>
      <w:r w:rsidR="00405A9B">
        <w:t>(</w:t>
      </w:r>
      <w:r w:rsidRPr="002805F3">
        <w:t>source: Scottish Executive</w:t>
      </w:r>
      <w:r w:rsidR="00405A9B">
        <w:t>)</w:t>
      </w:r>
      <w:r w:rsidRPr="002805F3">
        <w:t>). Given that Type II multipliers provide estimates of indirect and induced employment combined, we have calculated the induced element by subtracting the Type I results (indirect only) from the Type II res</w:t>
      </w:r>
      <w:r w:rsidR="00DF4291">
        <w:t xml:space="preserve">ults (indirect + induced).  Table </w:t>
      </w:r>
      <w:r w:rsidR="00DF4291">
        <w:rPr>
          <w:noProof/>
        </w:rPr>
        <w:t>0</w:t>
      </w:r>
      <w:r w:rsidR="00DF4291">
        <w:t>-</w:t>
      </w:r>
      <w:r w:rsidR="00DF4291">
        <w:rPr>
          <w:noProof/>
        </w:rPr>
        <w:t>10</w:t>
      </w:r>
      <w:r w:rsidR="00DF4291">
        <w:t xml:space="preserve"> </w:t>
      </w:r>
      <w:r w:rsidRPr="002805F3">
        <w:t xml:space="preserve">indicates that the induced effect of key sector activities amounts to over 9,160 jobs. </w:t>
      </w:r>
    </w:p>
    <w:p w14:paraId="007F837E" w14:textId="77777777" w:rsidR="00E113F0" w:rsidRDefault="00E113F0">
      <w:pPr>
        <w:spacing w:after="200" w:line="276" w:lineRule="auto"/>
        <w:rPr>
          <w:b/>
          <w:bCs/>
          <w:szCs w:val="18"/>
        </w:rPr>
      </w:pPr>
      <w:bookmarkStart w:id="643" w:name="_Ref391920930"/>
      <w:bookmarkStart w:id="644" w:name="_Toc383159711"/>
      <w:r>
        <w:br w:type="page"/>
      </w:r>
    </w:p>
    <w:p w14:paraId="36E42595" w14:textId="77777777" w:rsidR="00553FD5" w:rsidRDefault="00553FD5" w:rsidP="00C93734">
      <w:pPr>
        <w:pStyle w:val="Caption"/>
        <w:jc w:val="both"/>
      </w:pPr>
      <w:r>
        <w:t xml:space="preserve">Table </w:t>
      </w:r>
      <w:fldSimple w:instr=" STYLEREF 1 \s  \* MERGEFORMAT ">
        <w:r w:rsidR="00E95E1A">
          <w:rPr>
            <w:noProof/>
          </w:rPr>
          <w:t>0</w:t>
        </w:r>
      </w:fldSimple>
      <w:r>
        <w:t>-</w:t>
      </w:r>
      <w:fldSimple w:instr=" SEQ Table \* ARABIC \s 1  \* MERGEFORMAT ">
        <w:r w:rsidR="00E95E1A">
          <w:rPr>
            <w:noProof/>
          </w:rPr>
          <w:t>10</w:t>
        </w:r>
      </w:fldSimple>
      <w:bookmarkEnd w:id="643"/>
      <w:r>
        <w:tab/>
        <w:t xml:space="preserve"> Induced Employees</w:t>
      </w:r>
      <w:bookmarkEnd w:id="644"/>
    </w:p>
    <w:tbl>
      <w:tblPr>
        <w:tblStyle w:val="Atkins14pt"/>
        <w:tblW w:w="6657" w:type="dxa"/>
        <w:tblLook w:val="04A0" w:firstRow="1" w:lastRow="0" w:firstColumn="1" w:lastColumn="0" w:noHBand="0" w:noVBand="1"/>
      </w:tblPr>
      <w:tblGrid>
        <w:gridCol w:w="3544"/>
        <w:gridCol w:w="1025"/>
        <w:gridCol w:w="1063"/>
        <w:gridCol w:w="1025"/>
      </w:tblGrid>
      <w:tr w:rsidR="00553FD5" w:rsidRPr="002805F3" w14:paraId="5FA6989B" w14:textId="77777777" w:rsidTr="007A1492">
        <w:trPr>
          <w:cnfStyle w:val="100000000000" w:firstRow="1" w:lastRow="0" w:firstColumn="0" w:lastColumn="0" w:oddVBand="0" w:evenVBand="0" w:oddHBand="0" w:evenHBand="0" w:firstRowFirstColumn="0" w:firstRowLastColumn="0" w:lastRowFirstColumn="0" w:lastRowLastColumn="0"/>
          <w:trHeight w:val="487"/>
        </w:trPr>
        <w:tc>
          <w:tcPr>
            <w:cnfStyle w:val="001000000100" w:firstRow="0" w:lastRow="0" w:firstColumn="1" w:lastColumn="0" w:oddVBand="0" w:evenVBand="0" w:oddHBand="0" w:evenHBand="0" w:firstRowFirstColumn="1" w:firstRowLastColumn="0" w:lastRowFirstColumn="0" w:lastRowLastColumn="0"/>
            <w:tcW w:w="3544" w:type="dxa"/>
            <w:noWrap/>
            <w:hideMark/>
          </w:tcPr>
          <w:p w14:paraId="6982906E" w14:textId="77777777" w:rsidR="00553FD5" w:rsidRPr="002805F3" w:rsidRDefault="00553FD5" w:rsidP="00C93734">
            <w:pPr>
              <w:spacing w:after="120"/>
              <w:jc w:val="both"/>
              <w:rPr>
                <w:color w:val="000000"/>
              </w:rPr>
            </w:pPr>
            <w:r w:rsidRPr="002805F3">
              <w:rPr>
                <w:color w:val="000000"/>
              </w:rPr>
              <w:t>Sector</w:t>
            </w:r>
          </w:p>
        </w:tc>
        <w:tc>
          <w:tcPr>
            <w:tcW w:w="1025" w:type="dxa"/>
            <w:noWrap/>
            <w:hideMark/>
          </w:tcPr>
          <w:p w14:paraId="50EBC651" w14:textId="77777777" w:rsidR="00553FD5" w:rsidRPr="002805F3" w:rsidRDefault="009D5E00"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rPr>
            </w:pPr>
            <w:r>
              <w:rPr>
                <w:color w:val="000000"/>
              </w:rPr>
              <w:t>Direct</w:t>
            </w:r>
            <w:r w:rsidRPr="002805F3">
              <w:rPr>
                <w:color w:val="000000"/>
              </w:rPr>
              <w:t xml:space="preserve"> </w:t>
            </w:r>
            <w:r w:rsidR="00553FD5" w:rsidRPr="002805F3">
              <w:rPr>
                <w:color w:val="000000"/>
              </w:rPr>
              <w:t>Jobs</w:t>
            </w:r>
          </w:p>
        </w:tc>
        <w:tc>
          <w:tcPr>
            <w:tcW w:w="1063" w:type="dxa"/>
            <w:noWrap/>
            <w:hideMark/>
          </w:tcPr>
          <w:p w14:paraId="00240305" w14:textId="77777777" w:rsidR="00553FD5" w:rsidRPr="002805F3" w:rsidRDefault="009D5E00" w:rsidP="009D5E00">
            <w:pPr>
              <w:spacing w:after="120"/>
              <w:jc w:val="both"/>
              <w:cnfStyle w:val="100000000000" w:firstRow="1" w:lastRow="0" w:firstColumn="0" w:lastColumn="0" w:oddVBand="0" w:evenVBand="0" w:oddHBand="0" w:evenHBand="0" w:firstRowFirstColumn="0" w:firstRowLastColumn="0" w:lastRowFirstColumn="0" w:lastRowLastColumn="0"/>
              <w:rPr>
                <w:color w:val="000000"/>
              </w:rPr>
            </w:pPr>
            <w:r>
              <w:rPr>
                <w:color w:val="000000"/>
              </w:rPr>
              <w:t>T</w:t>
            </w:r>
            <w:r w:rsidR="00553FD5" w:rsidRPr="002805F3">
              <w:rPr>
                <w:color w:val="000000"/>
              </w:rPr>
              <w:t xml:space="preserve">ype </w:t>
            </w:r>
            <w:r>
              <w:rPr>
                <w:color w:val="000000"/>
              </w:rPr>
              <w:t>II</w:t>
            </w:r>
            <w:r w:rsidRPr="002805F3">
              <w:rPr>
                <w:color w:val="000000"/>
              </w:rPr>
              <w:t xml:space="preserve"> </w:t>
            </w:r>
            <w:r w:rsidR="00553FD5" w:rsidRPr="002805F3">
              <w:rPr>
                <w:color w:val="000000"/>
              </w:rPr>
              <w:t>multiplier</w:t>
            </w:r>
          </w:p>
        </w:tc>
        <w:tc>
          <w:tcPr>
            <w:tcW w:w="1025" w:type="dxa"/>
            <w:noWrap/>
            <w:hideMark/>
          </w:tcPr>
          <w:p w14:paraId="00949862" w14:textId="77777777" w:rsidR="00553FD5" w:rsidRPr="002805F3" w:rsidRDefault="00553FD5" w:rsidP="009D5E00">
            <w:pPr>
              <w:spacing w:after="120"/>
              <w:jc w:val="both"/>
              <w:cnfStyle w:val="100000000000" w:firstRow="1" w:lastRow="0" w:firstColumn="0" w:lastColumn="0" w:oddVBand="0" w:evenVBand="0" w:oddHBand="0" w:evenHBand="0" w:firstRowFirstColumn="0" w:firstRowLastColumn="0" w:lastRowFirstColumn="0" w:lastRowLastColumn="0"/>
              <w:rPr>
                <w:color w:val="000000"/>
              </w:rPr>
            </w:pPr>
            <w:r w:rsidRPr="002805F3">
              <w:rPr>
                <w:color w:val="000000"/>
              </w:rPr>
              <w:t xml:space="preserve">Induced (Type </w:t>
            </w:r>
            <w:r w:rsidR="009D5E00">
              <w:rPr>
                <w:color w:val="000000"/>
              </w:rPr>
              <w:t>II</w:t>
            </w:r>
            <w:r w:rsidR="009D5E00" w:rsidRPr="002805F3">
              <w:rPr>
                <w:color w:val="000000"/>
              </w:rPr>
              <w:t xml:space="preserve"> </w:t>
            </w:r>
            <w:r w:rsidRPr="002805F3">
              <w:rPr>
                <w:color w:val="000000"/>
              </w:rPr>
              <w:t xml:space="preserve">– Type </w:t>
            </w:r>
            <w:r w:rsidR="009D5E00">
              <w:rPr>
                <w:color w:val="000000"/>
              </w:rPr>
              <w:t>I</w:t>
            </w:r>
            <w:r w:rsidRPr="002805F3">
              <w:rPr>
                <w:color w:val="000000"/>
              </w:rPr>
              <w:t>)</w:t>
            </w:r>
          </w:p>
        </w:tc>
      </w:tr>
      <w:tr w:rsidR="00553FD5" w:rsidRPr="002805F3" w14:paraId="24564730" w14:textId="77777777" w:rsidTr="007A1492">
        <w:trPr>
          <w:trHeight w:val="25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15395295" w14:textId="77777777" w:rsidR="00553FD5" w:rsidRPr="00332466" w:rsidRDefault="00553FD5" w:rsidP="00C93734">
            <w:pPr>
              <w:spacing w:after="120"/>
              <w:ind w:right="86"/>
              <w:jc w:val="both"/>
              <w:rPr>
                <w:color w:val="000000"/>
              </w:rPr>
            </w:pPr>
            <w:r w:rsidRPr="00332466">
              <w:rPr>
                <w:color w:val="000000"/>
              </w:rPr>
              <w:t>Renewables</w:t>
            </w:r>
          </w:p>
        </w:tc>
        <w:tc>
          <w:tcPr>
            <w:tcW w:w="1025" w:type="dxa"/>
            <w:noWrap/>
            <w:hideMark/>
          </w:tcPr>
          <w:p w14:paraId="5321D5E0" w14:textId="77777777" w:rsidR="00553FD5" w:rsidRPr="002805F3" w:rsidRDefault="00553FD5" w:rsidP="00C93734">
            <w:pPr>
              <w:spacing w:after="120"/>
              <w:ind w:right="86"/>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 xml:space="preserve">      3,250 </w:t>
            </w:r>
          </w:p>
        </w:tc>
        <w:tc>
          <w:tcPr>
            <w:tcW w:w="1063" w:type="dxa"/>
            <w:noWrap/>
            <w:hideMark/>
          </w:tcPr>
          <w:p w14:paraId="5416D19C" w14:textId="77777777" w:rsidR="00553FD5" w:rsidRPr="002805F3" w:rsidRDefault="00553FD5" w:rsidP="00C93734">
            <w:pPr>
              <w:spacing w:after="120"/>
              <w:ind w:right="86"/>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2.2</w:t>
            </w:r>
          </w:p>
        </w:tc>
        <w:tc>
          <w:tcPr>
            <w:tcW w:w="1025" w:type="dxa"/>
            <w:noWrap/>
            <w:hideMark/>
          </w:tcPr>
          <w:p w14:paraId="0A742258" w14:textId="77777777" w:rsidR="00553FD5" w:rsidRPr="002805F3" w:rsidRDefault="00553FD5" w:rsidP="00C93734">
            <w:pPr>
              <w:spacing w:after="120"/>
              <w:ind w:right="86"/>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 xml:space="preserve">      1,950 </w:t>
            </w:r>
          </w:p>
        </w:tc>
      </w:tr>
      <w:tr w:rsidR="00553FD5" w:rsidRPr="002805F3" w14:paraId="4FBC8961" w14:textId="77777777" w:rsidTr="007A1492">
        <w:trPr>
          <w:trHeight w:val="25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1CF5BF47" w14:textId="77777777" w:rsidR="00553FD5" w:rsidRPr="00332466" w:rsidRDefault="00553FD5" w:rsidP="00C93734">
            <w:pPr>
              <w:spacing w:after="120"/>
              <w:ind w:right="86"/>
              <w:jc w:val="both"/>
              <w:rPr>
                <w:color w:val="000000"/>
              </w:rPr>
            </w:pPr>
            <w:r w:rsidRPr="00332466">
              <w:rPr>
                <w:color w:val="000000"/>
              </w:rPr>
              <w:t>Ports &amp; Logistics</w:t>
            </w:r>
          </w:p>
        </w:tc>
        <w:tc>
          <w:tcPr>
            <w:tcW w:w="1025" w:type="dxa"/>
            <w:noWrap/>
            <w:hideMark/>
          </w:tcPr>
          <w:p w14:paraId="1AB7BB2C" w14:textId="77777777" w:rsidR="00553FD5" w:rsidRPr="002805F3" w:rsidRDefault="00553FD5" w:rsidP="00C93734">
            <w:pPr>
              <w:spacing w:after="120"/>
              <w:ind w:right="86"/>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 xml:space="preserve">      4,820 </w:t>
            </w:r>
          </w:p>
        </w:tc>
        <w:tc>
          <w:tcPr>
            <w:tcW w:w="1063" w:type="dxa"/>
            <w:noWrap/>
            <w:hideMark/>
          </w:tcPr>
          <w:p w14:paraId="15943930" w14:textId="77777777" w:rsidR="00553FD5" w:rsidRPr="002805F3" w:rsidRDefault="00553FD5" w:rsidP="00C93734">
            <w:pPr>
              <w:spacing w:after="120"/>
              <w:ind w:right="86"/>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2.9</w:t>
            </w:r>
          </w:p>
        </w:tc>
        <w:tc>
          <w:tcPr>
            <w:tcW w:w="1025" w:type="dxa"/>
            <w:noWrap/>
            <w:hideMark/>
          </w:tcPr>
          <w:p w14:paraId="7262B4BC" w14:textId="77777777" w:rsidR="00553FD5" w:rsidRPr="002805F3" w:rsidRDefault="00553FD5" w:rsidP="00C93734">
            <w:pPr>
              <w:spacing w:after="120"/>
              <w:ind w:right="86"/>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 xml:space="preserve">      2,890 </w:t>
            </w:r>
          </w:p>
        </w:tc>
      </w:tr>
      <w:tr w:rsidR="00553FD5" w:rsidRPr="002805F3" w14:paraId="0218E766" w14:textId="77777777" w:rsidTr="007A1492">
        <w:trPr>
          <w:trHeight w:val="25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0EEF3C76" w14:textId="77777777" w:rsidR="00553FD5" w:rsidRPr="00332466" w:rsidRDefault="00553FD5" w:rsidP="00C93734">
            <w:pPr>
              <w:spacing w:after="120"/>
              <w:ind w:right="86"/>
              <w:jc w:val="both"/>
              <w:rPr>
                <w:color w:val="000000"/>
              </w:rPr>
            </w:pPr>
            <w:r w:rsidRPr="00332466">
              <w:rPr>
                <w:color w:val="000000"/>
              </w:rPr>
              <w:t>Food manufacturing</w:t>
            </w:r>
          </w:p>
        </w:tc>
        <w:tc>
          <w:tcPr>
            <w:tcW w:w="1025" w:type="dxa"/>
            <w:noWrap/>
            <w:hideMark/>
          </w:tcPr>
          <w:p w14:paraId="0AEF35C4" w14:textId="77777777" w:rsidR="00553FD5" w:rsidRPr="002805F3" w:rsidRDefault="00553FD5" w:rsidP="00C93734">
            <w:pPr>
              <w:spacing w:after="120"/>
              <w:ind w:right="86"/>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 xml:space="preserve">      4,100 </w:t>
            </w:r>
          </w:p>
        </w:tc>
        <w:tc>
          <w:tcPr>
            <w:tcW w:w="1063" w:type="dxa"/>
            <w:noWrap/>
            <w:hideMark/>
          </w:tcPr>
          <w:p w14:paraId="15EE4AD7" w14:textId="77777777" w:rsidR="00553FD5" w:rsidRPr="002805F3" w:rsidRDefault="00553FD5" w:rsidP="00C93734">
            <w:pPr>
              <w:spacing w:after="120"/>
              <w:ind w:right="86"/>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2.1</w:t>
            </w:r>
          </w:p>
        </w:tc>
        <w:tc>
          <w:tcPr>
            <w:tcW w:w="1025" w:type="dxa"/>
            <w:noWrap/>
            <w:hideMark/>
          </w:tcPr>
          <w:p w14:paraId="71B9DB24" w14:textId="77777777" w:rsidR="00553FD5" w:rsidRPr="002805F3" w:rsidRDefault="00553FD5" w:rsidP="00C93734">
            <w:pPr>
              <w:spacing w:after="120"/>
              <w:ind w:right="86"/>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 xml:space="preserve">        410 </w:t>
            </w:r>
          </w:p>
        </w:tc>
      </w:tr>
      <w:tr w:rsidR="00553FD5" w:rsidRPr="002805F3" w14:paraId="1327DB8F" w14:textId="77777777" w:rsidTr="007A1492">
        <w:trPr>
          <w:trHeight w:val="25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1071D626" w14:textId="77777777" w:rsidR="00553FD5" w:rsidRPr="00332466" w:rsidRDefault="00553FD5" w:rsidP="00C93734">
            <w:pPr>
              <w:spacing w:after="120"/>
              <w:ind w:right="86"/>
              <w:jc w:val="both"/>
              <w:rPr>
                <w:color w:val="000000"/>
              </w:rPr>
            </w:pPr>
            <w:r w:rsidRPr="00332466">
              <w:rPr>
                <w:color w:val="000000"/>
              </w:rPr>
              <w:t>Chemicals &amp; process industries</w:t>
            </w:r>
          </w:p>
        </w:tc>
        <w:tc>
          <w:tcPr>
            <w:tcW w:w="1025" w:type="dxa"/>
            <w:noWrap/>
            <w:hideMark/>
          </w:tcPr>
          <w:p w14:paraId="7A313C15" w14:textId="77777777" w:rsidR="00553FD5" w:rsidRPr="002805F3" w:rsidRDefault="00553FD5" w:rsidP="00C93734">
            <w:pPr>
              <w:spacing w:after="120"/>
              <w:ind w:right="86"/>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 xml:space="preserve">      2,230 </w:t>
            </w:r>
          </w:p>
        </w:tc>
        <w:tc>
          <w:tcPr>
            <w:tcW w:w="1063" w:type="dxa"/>
            <w:noWrap/>
            <w:hideMark/>
          </w:tcPr>
          <w:p w14:paraId="4DDADF06" w14:textId="77777777" w:rsidR="00553FD5" w:rsidRPr="002805F3" w:rsidRDefault="00553FD5" w:rsidP="00C93734">
            <w:pPr>
              <w:spacing w:after="120"/>
              <w:ind w:right="86"/>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5.4</w:t>
            </w:r>
          </w:p>
        </w:tc>
        <w:tc>
          <w:tcPr>
            <w:tcW w:w="1025" w:type="dxa"/>
            <w:noWrap/>
            <w:hideMark/>
          </w:tcPr>
          <w:p w14:paraId="60AACA83" w14:textId="77777777" w:rsidR="00553FD5" w:rsidRPr="002805F3" w:rsidRDefault="00553FD5" w:rsidP="00C93734">
            <w:pPr>
              <w:spacing w:after="120"/>
              <w:ind w:right="86"/>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 xml:space="preserve">      2,450 </w:t>
            </w:r>
          </w:p>
        </w:tc>
      </w:tr>
      <w:tr w:rsidR="00553FD5" w:rsidRPr="002805F3" w14:paraId="3CA8332E" w14:textId="77777777" w:rsidTr="007A1492">
        <w:trPr>
          <w:trHeight w:val="25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7B1EB9DD" w14:textId="77777777" w:rsidR="00553FD5" w:rsidRPr="00332466" w:rsidRDefault="00553FD5" w:rsidP="00C93734">
            <w:pPr>
              <w:spacing w:after="120"/>
              <w:ind w:right="86"/>
              <w:jc w:val="both"/>
              <w:rPr>
                <w:color w:val="000000"/>
              </w:rPr>
            </w:pPr>
            <w:r w:rsidRPr="00332466">
              <w:rPr>
                <w:color w:val="000000"/>
              </w:rPr>
              <w:t>Visitor Economy &amp; Retail</w:t>
            </w:r>
          </w:p>
        </w:tc>
        <w:tc>
          <w:tcPr>
            <w:tcW w:w="1025" w:type="dxa"/>
            <w:noWrap/>
            <w:hideMark/>
          </w:tcPr>
          <w:p w14:paraId="64CD46F9" w14:textId="77777777" w:rsidR="00553FD5" w:rsidRPr="002805F3" w:rsidRDefault="00553FD5" w:rsidP="00C93734">
            <w:pPr>
              <w:spacing w:after="120"/>
              <w:ind w:right="86"/>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 xml:space="preserve">      4,830 </w:t>
            </w:r>
          </w:p>
        </w:tc>
        <w:tc>
          <w:tcPr>
            <w:tcW w:w="1063" w:type="dxa"/>
            <w:noWrap/>
            <w:hideMark/>
          </w:tcPr>
          <w:p w14:paraId="3228A9AE" w14:textId="77777777" w:rsidR="00553FD5" w:rsidRPr="002805F3" w:rsidRDefault="00553FD5" w:rsidP="00C93734">
            <w:pPr>
              <w:spacing w:after="120"/>
              <w:ind w:right="86"/>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2.2</w:t>
            </w:r>
          </w:p>
        </w:tc>
        <w:tc>
          <w:tcPr>
            <w:tcW w:w="1025" w:type="dxa"/>
            <w:noWrap/>
            <w:hideMark/>
          </w:tcPr>
          <w:p w14:paraId="5D024F47" w14:textId="77777777" w:rsidR="00553FD5" w:rsidRPr="002805F3" w:rsidRDefault="00553FD5" w:rsidP="00C93734">
            <w:pPr>
              <w:spacing w:after="120"/>
              <w:ind w:right="86"/>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 xml:space="preserve">      1,450 </w:t>
            </w:r>
          </w:p>
        </w:tc>
      </w:tr>
      <w:tr w:rsidR="00553FD5" w:rsidRPr="002805F3" w14:paraId="5678D5CD" w14:textId="77777777" w:rsidTr="007A1492">
        <w:trPr>
          <w:trHeight w:val="484"/>
        </w:trPr>
        <w:tc>
          <w:tcPr>
            <w:cnfStyle w:val="001000000000" w:firstRow="0" w:lastRow="0" w:firstColumn="1" w:lastColumn="0" w:oddVBand="0" w:evenVBand="0" w:oddHBand="0" w:evenHBand="0" w:firstRowFirstColumn="0" w:firstRowLastColumn="0" w:lastRowFirstColumn="0" w:lastRowLastColumn="0"/>
            <w:tcW w:w="3544" w:type="dxa"/>
            <w:noWrap/>
            <w:hideMark/>
          </w:tcPr>
          <w:p w14:paraId="1BC04421" w14:textId="77777777" w:rsidR="00553FD5" w:rsidRPr="00332466" w:rsidRDefault="00553FD5" w:rsidP="00C93734">
            <w:pPr>
              <w:spacing w:after="120"/>
              <w:ind w:right="86"/>
              <w:jc w:val="both"/>
              <w:rPr>
                <w:b/>
                <w:color w:val="000000"/>
              </w:rPr>
            </w:pPr>
            <w:r w:rsidRPr="00332466">
              <w:rPr>
                <w:b/>
                <w:color w:val="000000"/>
              </w:rPr>
              <w:t>Total</w:t>
            </w:r>
          </w:p>
        </w:tc>
        <w:tc>
          <w:tcPr>
            <w:tcW w:w="1025" w:type="dxa"/>
            <w:noWrap/>
            <w:hideMark/>
          </w:tcPr>
          <w:p w14:paraId="3A02665A" w14:textId="77777777" w:rsidR="00553FD5" w:rsidRPr="00332466" w:rsidRDefault="00553FD5" w:rsidP="00C93734">
            <w:pPr>
              <w:spacing w:after="120"/>
              <w:ind w:right="86"/>
              <w:jc w:val="both"/>
              <w:cnfStyle w:val="000000000000" w:firstRow="0" w:lastRow="0" w:firstColumn="0" w:lastColumn="0" w:oddVBand="0" w:evenVBand="0" w:oddHBand="0" w:evenHBand="0" w:firstRowFirstColumn="0" w:firstRowLastColumn="0" w:lastRowFirstColumn="0" w:lastRowLastColumn="0"/>
              <w:rPr>
                <w:b/>
                <w:color w:val="000000"/>
              </w:rPr>
            </w:pPr>
            <w:r w:rsidRPr="00332466">
              <w:rPr>
                <w:b/>
                <w:color w:val="000000"/>
              </w:rPr>
              <w:t xml:space="preserve">    19,230 </w:t>
            </w:r>
          </w:p>
        </w:tc>
        <w:tc>
          <w:tcPr>
            <w:tcW w:w="1063" w:type="dxa"/>
            <w:noWrap/>
            <w:hideMark/>
          </w:tcPr>
          <w:p w14:paraId="091D65A9" w14:textId="77777777" w:rsidR="00553FD5" w:rsidRPr="00332466" w:rsidRDefault="00553FD5" w:rsidP="00C93734">
            <w:pPr>
              <w:spacing w:after="120"/>
              <w:ind w:right="86"/>
              <w:jc w:val="both"/>
              <w:cnfStyle w:val="000000000000" w:firstRow="0" w:lastRow="0" w:firstColumn="0" w:lastColumn="0" w:oddVBand="0" w:evenVBand="0" w:oddHBand="0" w:evenHBand="0" w:firstRowFirstColumn="0" w:firstRowLastColumn="0" w:lastRowFirstColumn="0" w:lastRowLastColumn="0"/>
              <w:rPr>
                <w:b/>
                <w:color w:val="000000"/>
              </w:rPr>
            </w:pPr>
          </w:p>
        </w:tc>
        <w:tc>
          <w:tcPr>
            <w:tcW w:w="1025" w:type="dxa"/>
            <w:noWrap/>
            <w:hideMark/>
          </w:tcPr>
          <w:p w14:paraId="47D1CB80" w14:textId="77777777" w:rsidR="00553FD5" w:rsidRPr="00332466" w:rsidRDefault="00553FD5" w:rsidP="00C93734">
            <w:pPr>
              <w:spacing w:after="120"/>
              <w:ind w:right="86"/>
              <w:jc w:val="both"/>
              <w:cnfStyle w:val="000000000000" w:firstRow="0" w:lastRow="0" w:firstColumn="0" w:lastColumn="0" w:oddVBand="0" w:evenVBand="0" w:oddHBand="0" w:evenHBand="0" w:firstRowFirstColumn="0" w:firstRowLastColumn="0" w:lastRowFirstColumn="0" w:lastRowLastColumn="0"/>
              <w:rPr>
                <w:b/>
                <w:color w:val="000000"/>
              </w:rPr>
            </w:pPr>
            <w:r w:rsidRPr="00332466">
              <w:rPr>
                <w:b/>
                <w:color w:val="000000"/>
              </w:rPr>
              <w:t xml:space="preserve">      9,150 </w:t>
            </w:r>
          </w:p>
        </w:tc>
      </w:tr>
    </w:tbl>
    <w:p w14:paraId="74AEED51" w14:textId="77777777" w:rsidR="00553FD5" w:rsidRPr="002805F3" w:rsidRDefault="00553FD5" w:rsidP="00C93734">
      <w:pPr>
        <w:pStyle w:val="TableSource"/>
        <w:jc w:val="both"/>
      </w:pPr>
      <w:r w:rsidRPr="002805F3">
        <w:t>Source: Atkins 2013. Atkins Ref: Survey – A11/M1. Figures rounded.</w:t>
      </w:r>
    </w:p>
    <w:p w14:paraId="75D32014" w14:textId="77777777" w:rsidR="00553FD5" w:rsidRPr="002805F3" w:rsidRDefault="00DF4291" w:rsidP="00C93734">
      <w:pPr>
        <w:pStyle w:val="BodyText"/>
        <w:jc w:val="both"/>
      </w:pPr>
      <w:r>
        <w:t xml:space="preserve">Table </w:t>
      </w:r>
      <w:r>
        <w:rPr>
          <w:noProof/>
        </w:rPr>
        <w:t>0</w:t>
      </w:r>
      <w:r>
        <w:t>-</w:t>
      </w:r>
      <w:r>
        <w:rPr>
          <w:noProof/>
        </w:rPr>
        <w:t>11</w:t>
      </w:r>
      <w:r>
        <w:t xml:space="preserve"> </w:t>
      </w:r>
      <w:r w:rsidR="00553FD5" w:rsidRPr="002805F3">
        <w:t xml:space="preserve">summarises the total employment impact of the key sector activities. This shows that the key sectors support a total of </w:t>
      </w:r>
      <w:r w:rsidR="00553FD5">
        <w:t>48</w:t>
      </w:r>
      <w:r w:rsidR="00553FD5" w:rsidRPr="002805F3">
        <w:t>,</w:t>
      </w:r>
      <w:r w:rsidR="00553FD5">
        <w:t>860</w:t>
      </w:r>
      <w:r w:rsidR="00553FD5" w:rsidRPr="002805F3">
        <w:t xml:space="preserve"> jobs of which </w:t>
      </w:r>
      <w:r w:rsidR="00553FD5">
        <w:t>39.4</w:t>
      </w:r>
      <w:r w:rsidR="00553FD5" w:rsidRPr="002805F3">
        <w:t xml:space="preserve">% are direct jobs within North East Lincolnshire (65.9% are in the Yorkshire &amp; Humber Area). However, it is critical to highlight that this excludes employment at relevant public sector organisations. Including these activities, total employment reliant on the key sector is likely to be higher. </w:t>
      </w:r>
    </w:p>
    <w:p w14:paraId="3F828F95" w14:textId="77777777" w:rsidR="00553FD5" w:rsidRPr="002805F3" w:rsidRDefault="00553FD5" w:rsidP="00C93734">
      <w:pPr>
        <w:pStyle w:val="BodyText"/>
        <w:jc w:val="both"/>
        <w:rPr>
          <w:color w:val="FF0000"/>
          <w:sz w:val="22"/>
        </w:rPr>
      </w:pPr>
      <w:r w:rsidRPr="002805F3">
        <w:t>Importantly, the analysis of employment and GDP impact demonstrates that the key sectors relatively high value activity should be harnessed as part of future policy making and these sectors should form the basis for future economic growth.</w:t>
      </w:r>
    </w:p>
    <w:p w14:paraId="0ECB2BC3" w14:textId="77777777" w:rsidR="00553FD5" w:rsidRDefault="00553FD5" w:rsidP="00C93734">
      <w:pPr>
        <w:pStyle w:val="Caption"/>
        <w:jc w:val="both"/>
      </w:pPr>
      <w:bookmarkStart w:id="645" w:name="_Ref391920947"/>
      <w:bookmarkStart w:id="646" w:name="_Toc383159712"/>
      <w:r>
        <w:t xml:space="preserve">Table </w:t>
      </w:r>
      <w:fldSimple w:instr=" STYLEREF 1 \s  \* MERGEFORMAT ">
        <w:r w:rsidR="00E95E1A">
          <w:rPr>
            <w:noProof/>
          </w:rPr>
          <w:t>0</w:t>
        </w:r>
      </w:fldSimple>
      <w:r>
        <w:t>-</w:t>
      </w:r>
      <w:fldSimple w:instr=" SEQ Table \* ARABIC \s 1  \* MERGEFORMAT ">
        <w:r w:rsidR="00E95E1A">
          <w:rPr>
            <w:noProof/>
          </w:rPr>
          <w:t>11</w:t>
        </w:r>
      </w:fldSimple>
      <w:bookmarkEnd w:id="645"/>
      <w:r>
        <w:tab/>
        <w:t>Key Sector Employment Summary</w:t>
      </w:r>
      <w:bookmarkEnd w:id="646"/>
    </w:p>
    <w:tbl>
      <w:tblPr>
        <w:tblStyle w:val="Atkins14pt"/>
        <w:tblW w:w="10113" w:type="dxa"/>
        <w:tblLayout w:type="fixed"/>
        <w:tblLook w:val="04A0" w:firstRow="1" w:lastRow="0" w:firstColumn="1" w:lastColumn="0" w:noHBand="0" w:noVBand="1"/>
      </w:tblPr>
      <w:tblGrid>
        <w:gridCol w:w="1974"/>
        <w:gridCol w:w="1356"/>
        <w:gridCol w:w="1357"/>
        <w:gridCol w:w="1356"/>
        <w:gridCol w:w="1357"/>
        <w:gridCol w:w="1356"/>
        <w:gridCol w:w="1357"/>
      </w:tblGrid>
      <w:tr w:rsidR="00553FD5" w:rsidRPr="002805F3" w14:paraId="5561537B" w14:textId="77777777" w:rsidTr="00EC4CC0">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1974" w:type="dxa"/>
            <w:noWrap/>
            <w:hideMark/>
          </w:tcPr>
          <w:p w14:paraId="235A8925" w14:textId="77777777" w:rsidR="00553FD5" w:rsidRPr="00DC3863" w:rsidRDefault="00553FD5" w:rsidP="00C93734">
            <w:pPr>
              <w:spacing w:after="0"/>
              <w:jc w:val="both"/>
              <w:rPr>
                <w:color w:val="000000"/>
              </w:rPr>
            </w:pPr>
            <w:r w:rsidRPr="00DC3863">
              <w:rPr>
                <w:color w:val="000000"/>
              </w:rPr>
              <w:t>Geography</w:t>
            </w:r>
          </w:p>
        </w:tc>
        <w:tc>
          <w:tcPr>
            <w:tcW w:w="1356" w:type="dxa"/>
            <w:noWrap/>
            <w:hideMark/>
          </w:tcPr>
          <w:p w14:paraId="634C17D9" w14:textId="77777777" w:rsidR="00553FD5" w:rsidRPr="00DC3863" w:rsidRDefault="00553FD5" w:rsidP="00C93734">
            <w:pPr>
              <w:spacing w:after="0"/>
              <w:ind w:right="69"/>
              <w:jc w:val="both"/>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Renewables</w:t>
            </w:r>
          </w:p>
        </w:tc>
        <w:tc>
          <w:tcPr>
            <w:tcW w:w="1357" w:type="dxa"/>
            <w:noWrap/>
            <w:hideMark/>
          </w:tcPr>
          <w:p w14:paraId="793BBDA4" w14:textId="77777777" w:rsidR="00553FD5" w:rsidRPr="00DC3863" w:rsidRDefault="00553FD5" w:rsidP="00C93734">
            <w:pPr>
              <w:spacing w:after="0"/>
              <w:ind w:right="69"/>
              <w:jc w:val="both"/>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Ports &amp; Logistics</w:t>
            </w:r>
          </w:p>
        </w:tc>
        <w:tc>
          <w:tcPr>
            <w:tcW w:w="1356" w:type="dxa"/>
            <w:noWrap/>
            <w:hideMark/>
          </w:tcPr>
          <w:p w14:paraId="03E7264E" w14:textId="77777777" w:rsidR="00553FD5" w:rsidRPr="00DC3863" w:rsidRDefault="00553FD5" w:rsidP="00C93734">
            <w:pPr>
              <w:spacing w:after="0"/>
              <w:ind w:right="69"/>
              <w:jc w:val="both"/>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Food manufacturing</w:t>
            </w:r>
          </w:p>
        </w:tc>
        <w:tc>
          <w:tcPr>
            <w:tcW w:w="1357" w:type="dxa"/>
            <w:noWrap/>
            <w:hideMark/>
          </w:tcPr>
          <w:p w14:paraId="55B53D33" w14:textId="77777777" w:rsidR="00553FD5" w:rsidRPr="00DC3863" w:rsidRDefault="00553FD5" w:rsidP="00C93734">
            <w:pPr>
              <w:spacing w:after="0"/>
              <w:ind w:right="69"/>
              <w:jc w:val="both"/>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Chemicals &amp; process industries</w:t>
            </w:r>
          </w:p>
        </w:tc>
        <w:tc>
          <w:tcPr>
            <w:tcW w:w="1356" w:type="dxa"/>
            <w:noWrap/>
            <w:hideMark/>
          </w:tcPr>
          <w:p w14:paraId="24F9B694" w14:textId="77777777" w:rsidR="00553FD5" w:rsidRPr="00DC3863" w:rsidRDefault="00553FD5" w:rsidP="00C93734">
            <w:pPr>
              <w:spacing w:after="0"/>
              <w:ind w:right="69"/>
              <w:jc w:val="both"/>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Visitor Economy &amp; Retail</w:t>
            </w:r>
          </w:p>
        </w:tc>
        <w:tc>
          <w:tcPr>
            <w:tcW w:w="1357" w:type="dxa"/>
            <w:noWrap/>
            <w:hideMark/>
          </w:tcPr>
          <w:p w14:paraId="1ADE1892" w14:textId="77777777" w:rsidR="00553FD5" w:rsidRPr="00DC3863" w:rsidRDefault="00553FD5" w:rsidP="00C93734">
            <w:pPr>
              <w:spacing w:after="0"/>
              <w:ind w:right="69"/>
              <w:jc w:val="both"/>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Total</w:t>
            </w:r>
          </w:p>
        </w:tc>
      </w:tr>
      <w:tr w:rsidR="00553FD5" w:rsidRPr="002805F3" w14:paraId="785FFD08" w14:textId="77777777" w:rsidTr="00EC4CC0">
        <w:trPr>
          <w:trHeight w:val="285"/>
        </w:trPr>
        <w:tc>
          <w:tcPr>
            <w:cnfStyle w:val="001000000000" w:firstRow="0" w:lastRow="0" w:firstColumn="1" w:lastColumn="0" w:oddVBand="0" w:evenVBand="0" w:oddHBand="0" w:evenHBand="0" w:firstRowFirstColumn="0" w:firstRowLastColumn="0" w:lastRowFirstColumn="0" w:lastRowLastColumn="0"/>
            <w:tcW w:w="1974" w:type="dxa"/>
            <w:shd w:val="clear" w:color="auto" w:fill="E6E4DE" w:themeFill="accent6"/>
            <w:noWrap/>
            <w:hideMark/>
          </w:tcPr>
          <w:p w14:paraId="11CC899A" w14:textId="77777777" w:rsidR="00553FD5" w:rsidRPr="00332466" w:rsidRDefault="009D5E00" w:rsidP="00C93734">
            <w:pPr>
              <w:spacing w:after="0"/>
              <w:jc w:val="both"/>
              <w:rPr>
                <w:b/>
                <w:color w:val="000000"/>
              </w:rPr>
            </w:pPr>
            <w:r>
              <w:rPr>
                <w:b/>
                <w:color w:val="000000"/>
              </w:rPr>
              <w:t>Direct</w:t>
            </w:r>
            <w:r w:rsidRPr="00332466">
              <w:rPr>
                <w:b/>
                <w:color w:val="000000"/>
              </w:rPr>
              <w:t xml:space="preserve"> </w:t>
            </w:r>
            <w:r w:rsidR="00553FD5" w:rsidRPr="00332466">
              <w:rPr>
                <w:b/>
                <w:color w:val="000000"/>
              </w:rPr>
              <w:t>Jobs</w:t>
            </w:r>
          </w:p>
        </w:tc>
        <w:tc>
          <w:tcPr>
            <w:tcW w:w="8139" w:type="dxa"/>
            <w:gridSpan w:val="6"/>
            <w:shd w:val="clear" w:color="auto" w:fill="E6E4DE" w:themeFill="accent6"/>
            <w:noWrap/>
            <w:hideMark/>
          </w:tcPr>
          <w:p w14:paraId="6EC78C58" w14:textId="77777777" w:rsidR="00553FD5" w:rsidRPr="00332466"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b/>
                <w:color w:val="000000"/>
              </w:rPr>
            </w:pPr>
          </w:p>
        </w:tc>
      </w:tr>
      <w:tr w:rsidR="00553FD5" w:rsidRPr="002805F3" w14:paraId="256779CC" w14:textId="77777777" w:rsidTr="00EC4CC0">
        <w:trPr>
          <w:trHeight w:val="285"/>
        </w:trPr>
        <w:tc>
          <w:tcPr>
            <w:cnfStyle w:val="001000000000" w:firstRow="0" w:lastRow="0" w:firstColumn="1" w:lastColumn="0" w:oddVBand="0" w:evenVBand="0" w:oddHBand="0" w:evenHBand="0" w:firstRowFirstColumn="0" w:firstRowLastColumn="0" w:lastRowFirstColumn="0" w:lastRowLastColumn="0"/>
            <w:tcW w:w="1974" w:type="dxa"/>
            <w:noWrap/>
            <w:hideMark/>
          </w:tcPr>
          <w:p w14:paraId="157B1FDC" w14:textId="77777777" w:rsidR="00553FD5" w:rsidRPr="002805F3" w:rsidRDefault="00553FD5" w:rsidP="00C93734">
            <w:pPr>
              <w:spacing w:after="0"/>
              <w:jc w:val="both"/>
              <w:rPr>
                <w:color w:val="000000"/>
              </w:rPr>
            </w:pPr>
            <w:r w:rsidRPr="002805F3">
              <w:rPr>
                <w:color w:val="000000"/>
              </w:rPr>
              <w:t>North East Lincolnshire</w:t>
            </w:r>
          </w:p>
        </w:tc>
        <w:tc>
          <w:tcPr>
            <w:tcW w:w="1356" w:type="dxa"/>
            <w:noWrap/>
            <w:hideMark/>
          </w:tcPr>
          <w:p w14:paraId="2F81E974"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3,250</w:t>
            </w:r>
          </w:p>
        </w:tc>
        <w:tc>
          <w:tcPr>
            <w:tcW w:w="1357" w:type="dxa"/>
            <w:noWrap/>
            <w:hideMark/>
          </w:tcPr>
          <w:p w14:paraId="25E5D944"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4,820</w:t>
            </w:r>
          </w:p>
        </w:tc>
        <w:tc>
          <w:tcPr>
            <w:tcW w:w="1356" w:type="dxa"/>
            <w:noWrap/>
            <w:hideMark/>
          </w:tcPr>
          <w:p w14:paraId="7DCCBC2C"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4,100</w:t>
            </w:r>
          </w:p>
        </w:tc>
        <w:tc>
          <w:tcPr>
            <w:tcW w:w="1357" w:type="dxa"/>
            <w:noWrap/>
            <w:hideMark/>
          </w:tcPr>
          <w:p w14:paraId="325BE636"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2,230</w:t>
            </w:r>
          </w:p>
        </w:tc>
        <w:tc>
          <w:tcPr>
            <w:tcW w:w="1356" w:type="dxa"/>
            <w:noWrap/>
            <w:hideMark/>
          </w:tcPr>
          <w:p w14:paraId="0A9B73C5"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4,830</w:t>
            </w:r>
          </w:p>
        </w:tc>
        <w:tc>
          <w:tcPr>
            <w:tcW w:w="1357" w:type="dxa"/>
            <w:noWrap/>
            <w:hideMark/>
          </w:tcPr>
          <w:p w14:paraId="08B5115B"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19,230</w:t>
            </w:r>
          </w:p>
        </w:tc>
      </w:tr>
      <w:tr w:rsidR="00553FD5" w:rsidRPr="002805F3" w14:paraId="19201AEB" w14:textId="77777777" w:rsidTr="00EC4CC0">
        <w:trPr>
          <w:trHeight w:val="285"/>
        </w:trPr>
        <w:tc>
          <w:tcPr>
            <w:cnfStyle w:val="001000000000" w:firstRow="0" w:lastRow="0" w:firstColumn="1" w:lastColumn="0" w:oddVBand="0" w:evenVBand="0" w:oddHBand="0" w:evenHBand="0" w:firstRowFirstColumn="0" w:firstRowLastColumn="0" w:lastRowFirstColumn="0" w:lastRowLastColumn="0"/>
            <w:tcW w:w="1974" w:type="dxa"/>
            <w:shd w:val="clear" w:color="auto" w:fill="E6E4DE" w:themeFill="accent6"/>
            <w:noWrap/>
            <w:hideMark/>
          </w:tcPr>
          <w:p w14:paraId="0DB84142" w14:textId="77777777" w:rsidR="00553FD5" w:rsidRPr="00332466" w:rsidRDefault="00553FD5" w:rsidP="00C93734">
            <w:pPr>
              <w:spacing w:after="0"/>
              <w:jc w:val="both"/>
              <w:rPr>
                <w:b/>
                <w:color w:val="000000"/>
              </w:rPr>
            </w:pPr>
            <w:r w:rsidRPr="00332466">
              <w:rPr>
                <w:b/>
                <w:color w:val="000000"/>
              </w:rPr>
              <w:t>Indirect Jobs</w:t>
            </w:r>
          </w:p>
        </w:tc>
        <w:tc>
          <w:tcPr>
            <w:tcW w:w="8139" w:type="dxa"/>
            <w:gridSpan w:val="6"/>
            <w:shd w:val="clear" w:color="auto" w:fill="E6E4DE" w:themeFill="accent6"/>
            <w:noWrap/>
            <w:hideMark/>
          </w:tcPr>
          <w:p w14:paraId="70AC32A7"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p>
        </w:tc>
      </w:tr>
      <w:tr w:rsidR="00553FD5" w:rsidRPr="002805F3" w14:paraId="0AD330B8" w14:textId="77777777" w:rsidTr="00EC4CC0">
        <w:trPr>
          <w:trHeight w:val="285"/>
        </w:trPr>
        <w:tc>
          <w:tcPr>
            <w:cnfStyle w:val="001000000000" w:firstRow="0" w:lastRow="0" w:firstColumn="1" w:lastColumn="0" w:oddVBand="0" w:evenVBand="0" w:oddHBand="0" w:evenHBand="0" w:firstRowFirstColumn="0" w:firstRowLastColumn="0" w:lastRowFirstColumn="0" w:lastRowLastColumn="0"/>
            <w:tcW w:w="1974" w:type="dxa"/>
            <w:noWrap/>
            <w:hideMark/>
          </w:tcPr>
          <w:p w14:paraId="7FB572B9" w14:textId="77777777" w:rsidR="00553FD5" w:rsidRPr="002805F3" w:rsidRDefault="00553FD5" w:rsidP="00C93734">
            <w:pPr>
              <w:spacing w:after="0"/>
              <w:jc w:val="both"/>
              <w:rPr>
                <w:color w:val="000000"/>
              </w:rPr>
            </w:pPr>
            <w:r>
              <w:rPr>
                <w:color w:val="000000"/>
              </w:rPr>
              <w:t xml:space="preserve">N.&amp; N.E </w:t>
            </w:r>
            <w:r w:rsidRPr="002805F3">
              <w:rPr>
                <w:color w:val="000000"/>
              </w:rPr>
              <w:t xml:space="preserve">Lincolnshire </w:t>
            </w:r>
            <w:r>
              <w:rPr>
                <w:color w:val="000000"/>
              </w:rPr>
              <w:t>&amp;</w:t>
            </w:r>
            <w:r w:rsidRPr="002805F3">
              <w:rPr>
                <w:color w:val="000000"/>
              </w:rPr>
              <w:t xml:space="preserve"> Humber</w:t>
            </w:r>
          </w:p>
        </w:tc>
        <w:tc>
          <w:tcPr>
            <w:tcW w:w="1356" w:type="dxa"/>
            <w:noWrap/>
            <w:hideMark/>
          </w:tcPr>
          <w:p w14:paraId="6EFF1CBD" w14:textId="77777777" w:rsidR="00553FD5" w:rsidRPr="000B1890"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1,300</w:t>
            </w:r>
          </w:p>
        </w:tc>
        <w:tc>
          <w:tcPr>
            <w:tcW w:w="1357" w:type="dxa"/>
            <w:noWrap/>
            <w:hideMark/>
          </w:tcPr>
          <w:p w14:paraId="4BFE707A" w14:textId="77777777" w:rsidR="00553FD5" w:rsidRPr="000B1890" w:rsidRDefault="00AF18B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1,960</w:t>
            </w:r>
          </w:p>
        </w:tc>
        <w:tc>
          <w:tcPr>
            <w:tcW w:w="1356" w:type="dxa"/>
            <w:noWrap/>
            <w:hideMark/>
          </w:tcPr>
          <w:p w14:paraId="7B2DCEDC" w14:textId="77777777" w:rsidR="00553FD5" w:rsidRPr="000B1890"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600</w:t>
            </w:r>
          </w:p>
        </w:tc>
        <w:tc>
          <w:tcPr>
            <w:tcW w:w="1357" w:type="dxa"/>
            <w:noWrap/>
            <w:hideMark/>
          </w:tcPr>
          <w:p w14:paraId="2765C642"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1,300</w:t>
            </w:r>
          </w:p>
        </w:tc>
        <w:tc>
          <w:tcPr>
            <w:tcW w:w="1356" w:type="dxa"/>
            <w:noWrap/>
            <w:hideMark/>
          </w:tcPr>
          <w:p w14:paraId="0673A108"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1,570</w:t>
            </w:r>
          </w:p>
        </w:tc>
        <w:tc>
          <w:tcPr>
            <w:tcW w:w="1357" w:type="dxa"/>
            <w:noWrap/>
            <w:hideMark/>
          </w:tcPr>
          <w:p w14:paraId="1CF55539"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7,350</w:t>
            </w:r>
          </w:p>
        </w:tc>
      </w:tr>
      <w:tr w:rsidR="00553FD5" w:rsidRPr="002805F3" w14:paraId="2C6215D3" w14:textId="77777777" w:rsidTr="00EC4CC0">
        <w:trPr>
          <w:trHeight w:val="285"/>
        </w:trPr>
        <w:tc>
          <w:tcPr>
            <w:cnfStyle w:val="001000000000" w:firstRow="0" w:lastRow="0" w:firstColumn="1" w:lastColumn="0" w:oddVBand="0" w:evenVBand="0" w:oddHBand="0" w:evenHBand="0" w:firstRowFirstColumn="0" w:firstRowLastColumn="0" w:lastRowFirstColumn="0" w:lastRowLastColumn="0"/>
            <w:tcW w:w="1974" w:type="dxa"/>
            <w:noWrap/>
            <w:hideMark/>
          </w:tcPr>
          <w:p w14:paraId="6300C17B" w14:textId="77777777" w:rsidR="00553FD5" w:rsidRPr="002805F3" w:rsidRDefault="00553FD5" w:rsidP="00C93734">
            <w:pPr>
              <w:spacing w:after="0"/>
              <w:jc w:val="both"/>
              <w:rPr>
                <w:color w:val="000000"/>
              </w:rPr>
            </w:pPr>
            <w:r>
              <w:rPr>
                <w:color w:val="000000"/>
              </w:rPr>
              <w:t xml:space="preserve">Elsewhere in </w:t>
            </w:r>
            <w:r w:rsidRPr="00023F68">
              <w:rPr>
                <w:color w:val="000000"/>
              </w:rPr>
              <w:t>Yorkshire and Humber</w:t>
            </w:r>
          </w:p>
        </w:tc>
        <w:tc>
          <w:tcPr>
            <w:tcW w:w="1356" w:type="dxa"/>
            <w:noWrap/>
            <w:hideMark/>
          </w:tcPr>
          <w:p w14:paraId="2F0B8631" w14:textId="77777777" w:rsidR="00553FD5" w:rsidRPr="000B1890"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840</w:t>
            </w:r>
          </w:p>
        </w:tc>
        <w:tc>
          <w:tcPr>
            <w:tcW w:w="1357" w:type="dxa"/>
            <w:noWrap/>
            <w:hideMark/>
          </w:tcPr>
          <w:p w14:paraId="6827DEF7" w14:textId="77777777" w:rsidR="00553FD5" w:rsidRPr="000B1890" w:rsidRDefault="00AF18B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1,390</w:t>
            </w:r>
          </w:p>
        </w:tc>
        <w:tc>
          <w:tcPr>
            <w:tcW w:w="1356" w:type="dxa"/>
            <w:noWrap/>
            <w:hideMark/>
          </w:tcPr>
          <w:p w14:paraId="5CA1896A" w14:textId="77777777" w:rsidR="00553FD5" w:rsidRPr="000B1890"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390</w:t>
            </w:r>
          </w:p>
        </w:tc>
        <w:tc>
          <w:tcPr>
            <w:tcW w:w="1357" w:type="dxa"/>
            <w:noWrap/>
            <w:hideMark/>
          </w:tcPr>
          <w:p w14:paraId="3C217FA0"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800</w:t>
            </w:r>
          </w:p>
        </w:tc>
        <w:tc>
          <w:tcPr>
            <w:tcW w:w="1356" w:type="dxa"/>
            <w:noWrap/>
            <w:hideMark/>
          </w:tcPr>
          <w:p w14:paraId="6C29E7FA"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1,210</w:t>
            </w:r>
          </w:p>
        </w:tc>
        <w:tc>
          <w:tcPr>
            <w:tcW w:w="1357" w:type="dxa"/>
            <w:noWrap/>
            <w:hideMark/>
          </w:tcPr>
          <w:p w14:paraId="1EB54D45"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5,070</w:t>
            </w:r>
          </w:p>
        </w:tc>
      </w:tr>
      <w:tr w:rsidR="00553FD5" w:rsidRPr="002805F3" w14:paraId="480E7BC3" w14:textId="77777777" w:rsidTr="00EC4CC0">
        <w:trPr>
          <w:trHeight w:val="285"/>
        </w:trPr>
        <w:tc>
          <w:tcPr>
            <w:cnfStyle w:val="001000000000" w:firstRow="0" w:lastRow="0" w:firstColumn="1" w:lastColumn="0" w:oddVBand="0" w:evenVBand="0" w:oddHBand="0" w:evenHBand="0" w:firstRowFirstColumn="0" w:firstRowLastColumn="0" w:lastRowFirstColumn="0" w:lastRowLastColumn="0"/>
            <w:tcW w:w="1974" w:type="dxa"/>
            <w:noWrap/>
            <w:hideMark/>
          </w:tcPr>
          <w:p w14:paraId="49EC1D9D" w14:textId="77777777" w:rsidR="00553FD5" w:rsidRPr="002805F3" w:rsidRDefault="00553FD5" w:rsidP="00C93734">
            <w:pPr>
              <w:spacing w:after="0"/>
              <w:jc w:val="both"/>
              <w:rPr>
                <w:color w:val="000000"/>
              </w:rPr>
            </w:pPr>
            <w:r w:rsidRPr="002805F3">
              <w:rPr>
                <w:color w:val="000000"/>
              </w:rPr>
              <w:t>Outside L/H</w:t>
            </w:r>
          </w:p>
        </w:tc>
        <w:tc>
          <w:tcPr>
            <w:tcW w:w="1356" w:type="dxa"/>
            <w:noWrap/>
            <w:hideMark/>
          </w:tcPr>
          <w:p w14:paraId="0238E156" w14:textId="77777777" w:rsidR="00553FD5" w:rsidRPr="000B1890"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1,360</w:t>
            </w:r>
          </w:p>
        </w:tc>
        <w:tc>
          <w:tcPr>
            <w:tcW w:w="1357" w:type="dxa"/>
            <w:noWrap/>
            <w:hideMark/>
          </w:tcPr>
          <w:p w14:paraId="5B2956CA" w14:textId="77777777" w:rsidR="00553FD5" w:rsidRPr="000B1890" w:rsidRDefault="00AF18B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2,380</w:t>
            </w:r>
          </w:p>
        </w:tc>
        <w:tc>
          <w:tcPr>
            <w:tcW w:w="1356" w:type="dxa"/>
            <w:noWrap/>
            <w:hideMark/>
          </w:tcPr>
          <w:p w14:paraId="5BF36637" w14:textId="77777777" w:rsidR="00553FD5" w:rsidRPr="000B1890"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510</w:t>
            </w:r>
          </w:p>
        </w:tc>
        <w:tc>
          <w:tcPr>
            <w:tcW w:w="1357" w:type="dxa"/>
            <w:noWrap/>
            <w:hideMark/>
          </w:tcPr>
          <w:p w14:paraId="23A52CDD"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1,980</w:t>
            </w:r>
          </w:p>
        </w:tc>
        <w:tc>
          <w:tcPr>
            <w:tcW w:w="1356" w:type="dxa"/>
            <w:noWrap/>
            <w:hideMark/>
          </w:tcPr>
          <w:p w14:paraId="12B6EECF"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1,080</w:t>
            </w:r>
          </w:p>
        </w:tc>
        <w:tc>
          <w:tcPr>
            <w:tcW w:w="1357" w:type="dxa"/>
            <w:noWrap/>
            <w:hideMark/>
          </w:tcPr>
          <w:p w14:paraId="0EF42A7B"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8,070</w:t>
            </w:r>
          </w:p>
        </w:tc>
      </w:tr>
      <w:tr w:rsidR="00553FD5" w:rsidRPr="002805F3" w14:paraId="272A1C87" w14:textId="77777777" w:rsidTr="00EC4CC0">
        <w:trPr>
          <w:trHeight w:val="285"/>
        </w:trPr>
        <w:tc>
          <w:tcPr>
            <w:cnfStyle w:val="001000000000" w:firstRow="0" w:lastRow="0" w:firstColumn="1" w:lastColumn="0" w:oddVBand="0" w:evenVBand="0" w:oddHBand="0" w:evenHBand="0" w:firstRowFirstColumn="0" w:firstRowLastColumn="0" w:lastRowFirstColumn="0" w:lastRowLastColumn="0"/>
            <w:tcW w:w="1974" w:type="dxa"/>
            <w:noWrap/>
            <w:hideMark/>
          </w:tcPr>
          <w:p w14:paraId="6EAEC1D4" w14:textId="77777777" w:rsidR="00553FD5" w:rsidRPr="00332466" w:rsidRDefault="00553FD5" w:rsidP="00C93734">
            <w:pPr>
              <w:spacing w:after="0"/>
              <w:jc w:val="both"/>
              <w:rPr>
                <w:b/>
                <w:color w:val="000000"/>
              </w:rPr>
            </w:pPr>
            <w:r w:rsidRPr="00332466">
              <w:rPr>
                <w:b/>
                <w:color w:val="000000"/>
              </w:rPr>
              <w:t>Total</w:t>
            </w:r>
          </w:p>
        </w:tc>
        <w:tc>
          <w:tcPr>
            <w:tcW w:w="1356" w:type="dxa"/>
            <w:noWrap/>
            <w:hideMark/>
          </w:tcPr>
          <w:p w14:paraId="414EC1A0" w14:textId="77777777" w:rsidR="00553FD5" w:rsidRPr="000B1890"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0B1890">
              <w:rPr>
                <w:b/>
                <w:color w:val="000000"/>
              </w:rPr>
              <w:t>3,500</w:t>
            </w:r>
          </w:p>
        </w:tc>
        <w:tc>
          <w:tcPr>
            <w:tcW w:w="1357" w:type="dxa"/>
            <w:noWrap/>
            <w:hideMark/>
          </w:tcPr>
          <w:p w14:paraId="0566E847" w14:textId="77777777" w:rsidR="00553FD5" w:rsidRPr="000B1890" w:rsidRDefault="00AF18B5"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0B1890">
              <w:rPr>
                <w:b/>
                <w:color w:val="000000"/>
              </w:rPr>
              <w:t>5,730</w:t>
            </w:r>
          </w:p>
        </w:tc>
        <w:tc>
          <w:tcPr>
            <w:tcW w:w="1356" w:type="dxa"/>
            <w:noWrap/>
            <w:hideMark/>
          </w:tcPr>
          <w:p w14:paraId="57E99467" w14:textId="77777777" w:rsidR="00553FD5" w:rsidRPr="000B1890"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0B1890">
              <w:rPr>
                <w:b/>
                <w:color w:val="000000"/>
              </w:rPr>
              <w:t>1,500</w:t>
            </w:r>
          </w:p>
        </w:tc>
        <w:tc>
          <w:tcPr>
            <w:tcW w:w="1357" w:type="dxa"/>
            <w:noWrap/>
            <w:hideMark/>
          </w:tcPr>
          <w:p w14:paraId="36EF1E7E" w14:textId="77777777" w:rsidR="00553FD5" w:rsidRPr="005B6D1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5B6D13">
              <w:rPr>
                <w:b/>
                <w:color w:val="000000"/>
              </w:rPr>
              <w:t>4</w:t>
            </w:r>
            <w:r>
              <w:rPr>
                <w:b/>
                <w:color w:val="000000"/>
              </w:rPr>
              <w:t>,</w:t>
            </w:r>
            <w:r w:rsidRPr="005B6D13">
              <w:rPr>
                <w:b/>
                <w:color w:val="000000"/>
              </w:rPr>
              <w:t>080</w:t>
            </w:r>
          </w:p>
        </w:tc>
        <w:tc>
          <w:tcPr>
            <w:tcW w:w="1356" w:type="dxa"/>
            <w:noWrap/>
            <w:hideMark/>
          </w:tcPr>
          <w:p w14:paraId="0E7190E8" w14:textId="77777777" w:rsidR="00553FD5" w:rsidRPr="005B6D1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5B6D13">
              <w:rPr>
                <w:b/>
                <w:color w:val="000000"/>
              </w:rPr>
              <w:t>3</w:t>
            </w:r>
            <w:r>
              <w:rPr>
                <w:b/>
                <w:color w:val="000000"/>
              </w:rPr>
              <w:t>,</w:t>
            </w:r>
            <w:r w:rsidRPr="005B6D13">
              <w:rPr>
                <w:b/>
                <w:color w:val="000000"/>
              </w:rPr>
              <w:t>860</w:t>
            </w:r>
          </w:p>
        </w:tc>
        <w:tc>
          <w:tcPr>
            <w:tcW w:w="1357" w:type="dxa"/>
            <w:noWrap/>
            <w:hideMark/>
          </w:tcPr>
          <w:p w14:paraId="35D0D28C" w14:textId="77777777" w:rsidR="00553FD5" w:rsidRPr="005B6D1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rPr>
            </w:pPr>
            <w:r w:rsidRPr="005B6D13">
              <w:rPr>
                <w:b/>
                <w:color w:val="000000"/>
              </w:rPr>
              <w:t>20</w:t>
            </w:r>
            <w:r>
              <w:rPr>
                <w:b/>
                <w:color w:val="000000"/>
              </w:rPr>
              <w:t>,</w:t>
            </w:r>
            <w:r w:rsidRPr="005B6D13">
              <w:rPr>
                <w:b/>
                <w:color w:val="000000"/>
              </w:rPr>
              <w:t>490</w:t>
            </w:r>
          </w:p>
        </w:tc>
      </w:tr>
      <w:tr w:rsidR="00553FD5" w:rsidRPr="002805F3" w14:paraId="53DF9737" w14:textId="77777777" w:rsidTr="00EC4CC0">
        <w:trPr>
          <w:trHeight w:val="285"/>
        </w:trPr>
        <w:tc>
          <w:tcPr>
            <w:cnfStyle w:val="001000000000" w:firstRow="0" w:lastRow="0" w:firstColumn="1" w:lastColumn="0" w:oddVBand="0" w:evenVBand="0" w:oddHBand="0" w:evenHBand="0" w:firstRowFirstColumn="0" w:firstRowLastColumn="0" w:lastRowFirstColumn="0" w:lastRowLastColumn="0"/>
            <w:tcW w:w="1974" w:type="dxa"/>
            <w:shd w:val="clear" w:color="auto" w:fill="E6E4DE" w:themeFill="accent6"/>
            <w:noWrap/>
            <w:hideMark/>
          </w:tcPr>
          <w:p w14:paraId="15952E74" w14:textId="77777777" w:rsidR="00553FD5" w:rsidRPr="00332466" w:rsidRDefault="00553FD5" w:rsidP="00C93734">
            <w:pPr>
              <w:spacing w:after="0"/>
              <w:jc w:val="both"/>
              <w:rPr>
                <w:b/>
                <w:color w:val="000000"/>
              </w:rPr>
            </w:pPr>
            <w:r w:rsidRPr="00332466">
              <w:rPr>
                <w:b/>
                <w:color w:val="000000"/>
              </w:rPr>
              <w:t>Induced</w:t>
            </w:r>
          </w:p>
        </w:tc>
        <w:tc>
          <w:tcPr>
            <w:tcW w:w="8139" w:type="dxa"/>
            <w:gridSpan w:val="6"/>
            <w:shd w:val="clear" w:color="auto" w:fill="E6E4DE" w:themeFill="accent6"/>
            <w:noWrap/>
            <w:hideMark/>
          </w:tcPr>
          <w:p w14:paraId="1723CF97"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p>
        </w:tc>
      </w:tr>
      <w:tr w:rsidR="00553FD5" w:rsidRPr="002805F3" w14:paraId="4C49E605" w14:textId="77777777" w:rsidTr="00EC4CC0">
        <w:trPr>
          <w:trHeight w:val="300"/>
        </w:trPr>
        <w:tc>
          <w:tcPr>
            <w:cnfStyle w:val="001000000000" w:firstRow="0" w:lastRow="0" w:firstColumn="1" w:lastColumn="0" w:oddVBand="0" w:evenVBand="0" w:oddHBand="0" w:evenHBand="0" w:firstRowFirstColumn="0" w:firstRowLastColumn="0" w:lastRowFirstColumn="0" w:lastRowLastColumn="0"/>
            <w:tcW w:w="1974" w:type="dxa"/>
            <w:noWrap/>
            <w:hideMark/>
          </w:tcPr>
          <w:p w14:paraId="43B8FE22" w14:textId="77777777" w:rsidR="00553FD5" w:rsidRPr="002805F3" w:rsidRDefault="00553FD5" w:rsidP="00C93734">
            <w:pPr>
              <w:spacing w:after="0"/>
              <w:jc w:val="both"/>
              <w:rPr>
                <w:color w:val="000000"/>
              </w:rPr>
            </w:pPr>
            <w:r>
              <w:rPr>
                <w:color w:val="000000"/>
              </w:rPr>
              <w:t xml:space="preserve">N.&amp; N.E </w:t>
            </w:r>
            <w:r w:rsidRPr="002805F3">
              <w:rPr>
                <w:color w:val="000000"/>
              </w:rPr>
              <w:t xml:space="preserve">Lincolnshire </w:t>
            </w:r>
            <w:r>
              <w:rPr>
                <w:color w:val="000000"/>
              </w:rPr>
              <w:t>&amp;</w:t>
            </w:r>
            <w:r w:rsidRPr="002805F3">
              <w:rPr>
                <w:color w:val="000000"/>
              </w:rPr>
              <w:t xml:space="preserve"> Humber</w:t>
            </w:r>
          </w:p>
        </w:tc>
        <w:tc>
          <w:tcPr>
            <w:tcW w:w="1356" w:type="dxa"/>
            <w:noWrap/>
            <w:hideMark/>
          </w:tcPr>
          <w:p w14:paraId="2AFA406F"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720</w:t>
            </w:r>
          </w:p>
        </w:tc>
        <w:tc>
          <w:tcPr>
            <w:tcW w:w="1357" w:type="dxa"/>
            <w:noWrap/>
            <w:hideMark/>
          </w:tcPr>
          <w:p w14:paraId="5D86B33F"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990</w:t>
            </w:r>
          </w:p>
        </w:tc>
        <w:tc>
          <w:tcPr>
            <w:tcW w:w="1356" w:type="dxa"/>
            <w:noWrap/>
            <w:hideMark/>
          </w:tcPr>
          <w:p w14:paraId="13975853"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160</w:t>
            </w:r>
          </w:p>
        </w:tc>
        <w:tc>
          <w:tcPr>
            <w:tcW w:w="1357" w:type="dxa"/>
            <w:noWrap/>
            <w:hideMark/>
          </w:tcPr>
          <w:p w14:paraId="302412DD"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780</w:t>
            </w:r>
          </w:p>
        </w:tc>
        <w:tc>
          <w:tcPr>
            <w:tcW w:w="1356" w:type="dxa"/>
            <w:noWrap/>
            <w:hideMark/>
          </w:tcPr>
          <w:p w14:paraId="72F4704A"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590</w:t>
            </w:r>
          </w:p>
        </w:tc>
        <w:tc>
          <w:tcPr>
            <w:tcW w:w="1357" w:type="dxa"/>
            <w:noWrap/>
            <w:hideMark/>
          </w:tcPr>
          <w:p w14:paraId="2684B614"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3,240</w:t>
            </w:r>
          </w:p>
        </w:tc>
      </w:tr>
      <w:tr w:rsidR="00553FD5" w:rsidRPr="002805F3" w14:paraId="4BB44A80" w14:textId="77777777" w:rsidTr="00EC4CC0">
        <w:trPr>
          <w:trHeight w:val="300"/>
        </w:trPr>
        <w:tc>
          <w:tcPr>
            <w:cnfStyle w:val="001000000000" w:firstRow="0" w:lastRow="0" w:firstColumn="1" w:lastColumn="0" w:oddVBand="0" w:evenVBand="0" w:oddHBand="0" w:evenHBand="0" w:firstRowFirstColumn="0" w:firstRowLastColumn="0" w:lastRowFirstColumn="0" w:lastRowLastColumn="0"/>
            <w:tcW w:w="1974" w:type="dxa"/>
            <w:noWrap/>
            <w:hideMark/>
          </w:tcPr>
          <w:p w14:paraId="4A0A35F7" w14:textId="77777777" w:rsidR="00553FD5" w:rsidRPr="002805F3" w:rsidRDefault="00553FD5" w:rsidP="00C93734">
            <w:pPr>
              <w:spacing w:after="0"/>
              <w:jc w:val="both"/>
              <w:rPr>
                <w:color w:val="000000"/>
              </w:rPr>
            </w:pPr>
            <w:r>
              <w:rPr>
                <w:color w:val="000000"/>
              </w:rPr>
              <w:t xml:space="preserve">Elsewhere in </w:t>
            </w:r>
            <w:r w:rsidRPr="00023F68">
              <w:rPr>
                <w:color w:val="000000"/>
              </w:rPr>
              <w:t>Yorkshire and Humber</w:t>
            </w:r>
          </w:p>
        </w:tc>
        <w:tc>
          <w:tcPr>
            <w:tcW w:w="1356" w:type="dxa"/>
            <w:noWrap/>
            <w:hideMark/>
          </w:tcPr>
          <w:p w14:paraId="04C53101"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470</w:t>
            </w:r>
          </w:p>
        </w:tc>
        <w:tc>
          <w:tcPr>
            <w:tcW w:w="1357" w:type="dxa"/>
            <w:noWrap/>
            <w:hideMark/>
          </w:tcPr>
          <w:p w14:paraId="1BF5B8E6"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700</w:t>
            </w:r>
          </w:p>
        </w:tc>
        <w:tc>
          <w:tcPr>
            <w:tcW w:w="1356" w:type="dxa"/>
            <w:noWrap/>
            <w:hideMark/>
          </w:tcPr>
          <w:p w14:paraId="3CC3189C"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110</w:t>
            </w:r>
          </w:p>
        </w:tc>
        <w:tc>
          <w:tcPr>
            <w:tcW w:w="1357" w:type="dxa"/>
            <w:noWrap/>
            <w:hideMark/>
          </w:tcPr>
          <w:p w14:paraId="2393F656"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480</w:t>
            </w:r>
          </w:p>
        </w:tc>
        <w:tc>
          <w:tcPr>
            <w:tcW w:w="1356" w:type="dxa"/>
            <w:noWrap/>
            <w:hideMark/>
          </w:tcPr>
          <w:p w14:paraId="7E5DF6AA"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450</w:t>
            </w:r>
          </w:p>
        </w:tc>
        <w:tc>
          <w:tcPr>
            <w:tcW w:w="1357" w:type="dxa"/>
            <w:noWrap/>
            <w:hideMark/>
          </w:tcPr>
          <w:p w14:paraId="75CCC526"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2,210</w:t>
            </w:r>
          </w:p>
        </w:tc>
      </w:tr>
      <w:tr w:rsidR="00553FD5" w:rsidRPr="002805F3" w14:paraId="029EE0C3" w14:textId="77777777" w:rsidTr="00EC4CC0">
        <w:trPr>
          <w:trHeight w:val="255"/>
        </w:trPr>
        <w:tc>
          <w:tcPr>
            <w:cnfStyle w:val="001000000000" w:firstRow="0" w:lastRow="0" w:firstColumn="1" w:lastColumn="0" w:oddVBand="0" w:evenVBand="0" w:oddHBand="0" w:evenHBand="0" w:firstRowFirstColumn="0" w:firstRowLastColumn="0" w:lastRowFirstColumn="0" w:lastRowLastColumn="0"/>
            <w:tcW w:w="1974" w:type="dxa"/>
            <w:noWrap/>
            <w:hideMark/>
          </w:tcPr>
          <w:p w14:paraId="5E9AE88A" w14:textId="77777777" w:rsidR="00553FD5" w:rsidRPr="002805F3" w:rsidRDefault="00553FD5" w:rsidP="00C93734">
            <w:pPr>
              <w:spacing w:after="0"/>
              <w:jc w:val="both"/>
              <w:rPr>
                <w:color w:val="000000"/>
              </w:rPr>
            </w:pPr>
            <w:r w:rsidRPr="002805F3">
              <w:rPr>
                <w:color w:val="000000"/>
              </w:rPr>
              <w:t xml:space="preserve">Outside </w:t>
            </w:r>
            <w:r>
              <w:rPr>
                <w:color w:val="000000"/>
              </w:rPr>
              <w:t>Yorkshire</w:t>
            </w:r>
          </w:p>
        </w:tc>
        <w:tc>
          <w:tcPr>
            <w:tcW w:w="1356" w:type="dxa"/>
            <w:noWrap/>
            <w:hideMark/>
          </w:tcPr>
          <w:p w14:paraId="77D7E061"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760</w:t>
            </w:r>
          </w:p>
        </w:tc>
        <w:tc>
          <w:tcPr>
            <w:tcW w:w="1357" w:type="dxa"/>
            <w:noWrap/>
            <w:hideMark/>
          </w:tcPr>
          <w:p w14:paraId="2FC7D8CF"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1,200</w:t>
            </w:r>
          </w:p>
        </w:tc>
        <w:tc>
          <w:tcPr>
            <w:tcW w:w="1356" w:type="dxa"/>
            <w:noWrap/>
            <w:hideMark/>
          </w:tcPr>
          <w:p w14:paraId="20D54283"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140</w:t>
            </w:r>
          </w:p>
        </w:tc>
        <w:tc>
          <w:tcPr>
            <w:tcW w:w="1357" w:type="dxa"/>
            <w:noWrap/>
            <w:hideMark/>
          </w:tcPr>
          <w:p w14:paraId="30654FBE"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1,190</w:t>
            </w:r>
          </w:p>
        </w:tc>
        <w:tc>
          <w:tcPr>
            <w:tcW w:w="1356" w:type="dxa"/>
            <w:noWrap/>
            <w:hideMark/>
          </w:tcPr>
          <w:p w14:paraId="39B0EFAF"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400</w:t>
            </w:r>
          </w:p>
        </w:tc>
        <w:tc>
          <w:tcPr>
            <w:tcW w:w="1357" w:type="dxa"/>
            <w:noWrap/>
            <w:hideMark/>
          </w:tcPr>
          <w:p w14:paraId="53E7E73D" w14:textId="77777777" w:rsidR="00553FD5" w:rsidRPr="002805F3" w:rsidRDefault="00553FD5"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3,690</w:t>
            </w:r>
          </w:p>
        </w:tc>
      </w:tr>
      <w:tr w:rsidR="00E26D26" w:rsidRPr="002805F3" w14:paraId="729415B3" w14:textId="77777777" w:rsidTr="00EC4CC0">
        <w:trPr>
          <w:trHeight w:val="255"/>
        </w:trPr>
        <w:tc>
          <w:tcPr>
            <w:cnfStyle w:val="001000000000" w:firstRow="0" w:lastRow="0" w:firstColumn="1" w:lastColumn="0" w:oddVBand="0" w:evenVBand="0" w:oddHBand="0" w:evenHBand="0" w:firstRowFirstColumn="0" w:firstRowLastColumn="0" w:lastRowFirstColumn="0" w:lastRowLastColumn="0"/>
            <w:tcW w:w="1974" w:type="dxa"/>
            <w:noWrap/>
            <w:hideMark/>
          </w:tcPr>
          <w:p w14:paraId="242144E6" w14:textId="77777777" w:rsidR="00E26D26" w:rsidRPr="002805F3" w:rsidRDefault="00E26D26" w:rsidP="00C93734">
            <w:pPr>
              <w:spacing w:after="0"/>
              <w:jc w:val="both"/>
              <w:rPr>
                <w:color w:val="000000"/>
              </w:rPr>
            </w:pPr>
            <w:r>
              <w:rPr>
                <w:color w:val="000000"/>
              </w:rPr>
              <w:t>Total</w:t>
            </w:r>
          </w:p>
        </w:tc>
        <w:tc>
          <w:tcPr>
            <w:tcW w:w="1356" w:type="dxa"/>
            <w:noWrap/>
            <w:hideMark/>
          </w:tcPr>
          <w:p w14:paraId="2B5CFDE8" w14:textId="77777777" w:rsidR="00E26D26" w:rsidRPr="002805F3" w:rsidRDefault="00E26D26"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1,950</w:t>
            </w:r>
          </w:p>
        </w:tc>
        <w:tc>
          <w:tcPr>
            <w:tcW w:w="1357" w:type="dxa"/>
            <w:noWrap/>
            <w:hideMark/>
          </w:tcPr>
          <w:p w14:paraId="2985694D" w14:textId="77777777" w:rsidR="00E26D26" w:rsidRPr="002805F3" w:rsidRDefault="00E26D26"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2,890</w:t>
            </w:r>
          </w:p>
        </w:tc>
        <w:tc>
          <w:tcPr>
            <w:tcW w:w="1356" w:type="dxa"/>
            <w:noWrap/>
            <w:hideMark/>
          </w:tcPr>
          <w:p w14:paraId="7E257567" w14:textId="77777777" w:rsidR="00E26D26" w:rsidRPr="002805F3" w:rsidRDefault="00E26D26"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410</w:t>
            </w:r>
          </w:p>
        </w:tc>
        <w:tc>
          <w:tcPr>
            <w:tcW w:w="1357" w:type="dxa"/>
            <w:noWrap/>
            <w:hideMark/>
          </w:tcPr>
          <w:p w14:paraId="7E15E6BA" w14:textId="77777777" w:rsidR="00E26D26" w:rsidRPr="002805F3" w:rsidRDefault="00E26D26"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2,450</w:t>
            </w:r>
          </w:p>
        </w:tc>
        <w:tc>
          <w:tcPr>
            <w:tcW w:w="1356" w:type="dxa"/>
            <w:noWrap/>
            <w:hideMark/>
          </w:tcPr>
          <w:p w14:paraId="29416695" w14:textId="77777777" w:rsidR="00E26D26" w:rsidRPr="002805F3" w:rsidRDefault="00E26D26"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1,440</w:t>
            </w:r>
          </w:p>
        </w:tc>
        <w:tc>
          <w:tcPr>
            <w:tcW w:w="1357" w:type="dxa"/>
            <w:noWrap/>
            <w:hideMark/>
          </w:tcPr>
          <w:p w14:paraId="4D092317" w14:textId="77777777" w:rsidR="00E26D26" w:rsidRPr="002805F3" w:rsidRDefault="00E26D26" w:rsidP="00C93734">
            <w:pPr>
              <w:spacing w:after="0"/>
              <w:ind w:right="69"/>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9,140</w:t>
            </w:r>
          </w:p>
        </w:tc>
      </w:tr>
      <w:tr w:rsidR="000E33E6" w:rsidRPr="002805F3" w14:paraId="06EB6F17" w14:textId="77777777" w:rsidTr="00EC4CC0">
        <w:trPr>
          <w:trHeight w:val="255"/>
        </w:trPr>
        <w:tc>
          <w:tcPr>
            <w:cnfStyle w:val="001000000000" w:firstRow="0" w:lastRow="0" w:firstColumn="1" w:lastColumn="0" w:oddVBand="0" w:evenVBand="0" w:oddHBand="0" w:evenHBand="0" w:firstRowFirstColumn="0" w:firstRowLastColumn="0" w:lastRowFirstColumn="0" w:lastRowLastColumn="0"/>
            <w:tcW w:w="1974" w:type="dxa"/>
            <w:shd w:val="clear" w:color="auto" w:fill="E6E4DE" w:themeFill="accent6"/>
            <w:noWrap/>
            <w:hideMark/>
          </w:tcPr>
          <w:p w14:paraId="361166E5" w14:textId="77777777" w:rsidR="00553FD5" w:rsidRPr="00332466" w:rsidRDefault="00553FD5" w:rsidP="00C93734">
            <w:pPr>
              <w:spacing w:after="0"/>
              <w:jc w:val="both"/>
              <w:rPr>
                <w:b/>
                <w:color w:val="000000"/>
              </w:rPr>
            </w:pPr>
            <w:r w:rsidRPr="00332466">
              <w:rPr>
                <w:b/>
                <w:color w:val="000000"/>
              </w:rPr>
              <w:t xml:space="preserve">Total </w:t>
            </w:r>
          </w:p>
        </w:tc>
        <w:tc>
          <w:tcPr>
            <w:tcW w:w="1356" w:type="dxa"/>
            <w:shd w:val="clear" w:color="auto" w:fill="E6E4DE" w:themeFill="accent6"/>
            <w:noWrap/>
            <w:hideMark/>
          </w:tcPr>
          <w:p w14:paraId="54A52433" w14:textId="77777777" w:rsidR="00553FD5" w:rsidRPr="005B6D1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auto"/>
              </w:rPr>
            </w:pPr>
            <w:r w:rsidRPr="005B6D13">
              <w:rPr>
                <w:b/>
                <w:color w:val="auto"/>
              </w:rPr>
              <w:t xml:space="preserve"> 8,700 </w:t>
            </w:r>
          </w:p>
        </w:tc>
        <w:tc>
          <w:tcPr>
            <w:tcW w:w="1357" w:type="dxa"/>
            <w:shd w:val="clear" w:color="auto" w:fill="E6E4DE" w:themeFill="accent6"/>
            <w:noWrap/>
            <w:hideMark/>
          </w:tcPr>
          <w:p w14:paraId="5E6A9D87" w14:textId="77777777" w:rsidR="00553FD5" w:rsidRPr="005B6D1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auto"/>
              </w:rPr>
            </w:pPr>
            <w:r w:rsidRPr="005B6D13">
              <w:rPr>
                <w:b/>
                <w:color w:val="auto"/>
              </w:rPr>
              <w:t xml:space="preserve"> 1</w:t>
            </w:r>
            <w:r w:rsidR="00AF18B5">
              <w:rPr>
                <w:b/>
                <w:color w:val="auto"/>
              </w:rPr>
              <w:t>3</w:t>
            </w:r>
            <w:r w:rsidRPr="005B6D13">
              <w:rPr>
                <w:b/>
                <w:color w:val="auto"/>
              </w:rPr>
              <w:t>,</w:t>
            </w:r>
            <w:r w:rsidR="00AF18B5">
              <w:rPr>
                <w:b/>
                <w:color w:val="auto"/>
              </w:rPr>
              <w:t>44</w:t>
            </w:r>
            <w:r w:rsidRPr="005B6D13">
              <w:rPr>
                <w:b/>
                <w:color w:val="auto"/>
              </w:rPr>
              <w:t xml:space="preserve">0 </w:t>
            </w:r>
          </w:p>
        </w:tc>
        <w:tc>
          <w:tcPr>
            <w:tcW w:w="1356" w:type="dxa"/>
            <w:shd w:val="clear" w:color="auto" w:fill="E6E4DE" w:themeFill="accent6"/>
            <w:noWrap/>
            <w:hideMark/>
          </w:tcPr>
          <w:p w14:paraId="3B2A3E8D" w14:textId="77777777" w:rsidR="00553FD5" w:rsidRPr="005B6D1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auto"/>
              </w:rPr>
            </w:pPr>
            <w:r w:rsidRPr="005B6D13">
              <w:rPr>
                <w:b/>
                <w:color w:val="auto"/>
              </w:rPr>
              <w:t xml:space="preserve"> 6,010 </w:t>
            </w:r>
          </w:p>
        </w:tc>
        <w:tc>
          <w:tcPr>
            <w:tcW w:w="1357" w:type="dxa"/>
            <w:shd w:val="clear" w:color="auto" w:fill="E6E4DE" w:themeFill="accent6"/>
            <w:noWrap/>
            <w:hideMark/>
          </w:tcPr>
          <w:p w14:paraId="5EAE8063" w14:textId="77777777" w:rsidR="00553FD5" w:rsidRPr="005B6D1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auto"/>
              </w:rPr>
            </w:pPr>
            <w:r w:rsidRPr="005B6D13">
              <w:rPr>
                <w:b/>
                <w:color w:val="auto"/>
              </w:rPr>
              <w:t xml:space="preserve"> 8,760 </w:t>
            </w:r>
          </w:p>
        </w:tc>
        <w:tc>
          <w:tcPr>
            <w:tcW w:w="1356" w:type="dxa"/>
            <w:shd w:val="clear" w:color="auto" w:fill="E6E4DE" w:themeFill="accent6"/>
            <w:noWrap/>
            <w:hideMark/>
          </w:tcPr>
          <w:p w14:paraId="678035A5" w14:textId="77777777" w:rsidR="00553FD5" w:rsidRPr="005B6D1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auto"/>
              </w:rPr>
            </w:pPr>
            <w:r w:rsidRPr="005B6D13">
              <w:rPr>
                <w:b/>
                <w:color w:val="auto"/>
              </w:rPr>
              <w:t xml:space="preserve"> 10,130 </w:t>
            </w:r>
          </w:p>
        </w:tc>
        <w:tc>
          <w:tcPr>
            <w:tcW w:w="1357" w:type="dxa"/>
            <w:shd w:val="clear" w:color="auto" w:fill="E6E4DE" w:themeFill="accent6"/>
            <w:noWrap/>
            <w:hideMark/>
          </w:tcPr>
          <w:p w14:paraId="3C96F96C" w14:textId="77777777" w:rsidR="00553FD5" w:rsidRPr="005B6D1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auto"/>
              </w:rPr>
            </w:pPr>
            <w:r w:rsidRPr="005B6D13">
              <w:rPr>
                <w:b/>
                <w:color w:val="auto"/>
              </w:rPr>
              <w:t xml:space="preserve"> 48,860 </w:t>
            </w:r>
          </w:p>
        </w:tc>
      </w:tr>
    </w:tbl>
    <w:p w14:paraId="11118A71" w14:textId="77777777" w:rsidR="00553FD5" w:rsidRDefault="00553FD5" w:rsidP="00C93734">
      <w:pPr>
        <w:pStyle w:val="TableSource"/>
        <w:jc w:val="both"/>
      </w:pPr>
      <w:r w:rsidRPr="002805F3">
        <w:t>Source: Atkins 2013. Atkins Ref: Survey –A9-A11. Figures rounded.</w:t>
      </w:r>
    </w:p>
    <w:p w14:paraId="68F8D6A8" w14:textId="77777777" w:rsidR="00553FD5" w:rsidRPr="002805F3" w:rsidRDefault="007A1492" w:rsidP="00C93734">
      <w:pPr>
        <w:pStyle w:val="Heading7"/>
        <w:jc w:val="both"/>
      </w:pPr>
      <w:bookmarkStart w:id="647" w:name="_Toc395103943"/>
      <w:r w:rsidRPr="002805F3">
        <w:t xml:space="preserve">Contribution </w:t>
      </w:r>
      <w:r>
        <w:t>t</w:t>
      </w:r>
      <w:r w:rsidRPr="002805F3">
        <w:t>o National Exchequer</w:t>
      </w:r>
      <w:bookmarkEnd w:id="647"/>
    </w:p>
    <w:p w14:paraId="2D4FE16B" w14:textId="77777777" w:rsidR="00553FD5" w:rsidRPr="002805F3" w:rsidRDefault="00553FD5" w:rsidP="00C93734">
      <w:pPr>
        <w:pStyle w:val="BodyText"/>
        <w:jc w:val="both"/>
      </w:pPr>
      <w:r w:rsidRPr="002805F3">
        <w:t xml:space="preserve">In addition </w:t>
      </w:r>
      <w:r w:rsidR="00405A9B">
        <w:t xml:space="preserve">to </w:t>
      </w:r>
      <w:r w:rsidRPr="002805F3">
        <w:t>the impact in terms of output and employment, the key sectors also make a significant contribution to the national exchequer in the form of taxes and other levies. Indicative estimates of this contribution are provided below.</w:t>
      </w:r>
    </w:p>
    <w:p w14:paraId="6C879F68" w14:textId="77777777" w:rsidR="00553FD5" w:rsidRPr="002805F3" w:rsidRDefault="00553FD5" w:rsidP="00C93734">
      <w:pPr>
        <w:pStyle w:val="BodyText"/>
        <w:jc w:val="both"/>
        <w:rPr>
          <w:b/>
        </w:rPr>
      </w:pPr>
      <w:r w:rsidRPr="002805F3">
        <w:rPr>
          <w:b/>
        </w:rPr>
        <w:t>Income Tax and National Insurance</w:t>
      </w:r>
    </w:p>
    <w:p w14:paraId="29FB5B4F" w14:textId="77777777" w:rsidR="00553FD5" w:rsidRPr="002805F3" w:rsidRDefault="00553FD5" w:rsidP="00C93734">
      <w:pPr>
        <w:pStyle w:val="BodyText"/>
        <w:jc w:val="both"/>
      </w:pPr>
      <w:r w:rsidRPr="002805F3">
        <w:t>With an average annual wage of around £24,469 across all key sectors, we have assumed that</w:t>
      </w:r>
      <w:r w:rsidR="00405A9B">
        <w:t xml:space="preserve"> for</w:t>
      </w:r>
      <w:r w:rsidRPr="002805F3">
        <w:t xml:space="preserve"> the majority of employees the basic rate of income tax of 20% applies. </w:t>
      </w:r>
      <w:r w:rsidR="00405A9B">
        <w:t>Though</w:t>
      </w:r>
      <w:r w:rsidRPr="002805F3">
        <w:t xml:space="preserve"> there will be a proportion of workers paying the high rate of income tax</w:t>
      </w:r>
      <w:r w:rsidR="00405A9B">
        <w:t xml:space="preserve">, </w:t>
      </w:r>
      <w:r w:rsidRPr="002805F3">
        <w:t>in order not to over-estimate the sector’s tax contribution, we have not made a separate measurement of high income tax payers. We have also assumed that the vast majority of employees are not self-employed and pay National Insurance contributions of 11%.</w:t>
      </w:r>
    </w:p>
    <w:p w14:paraId="2AEAA95C" w14:textId="77777777" w:rsidR="00553FD5" w:rsidRPr="002805F3" w:rsidRDefault="00553FD5" w:rsidP="00C93734">
      <w:pPr>
        <w:pStyle w:val="BodyText"/>
        <w:jc w:val="both"/>
      </w:pPr>
      <w:r w:rsidRPr="002805F3">
        <w:t xml:space="preserve">The total revenue attributable to wages, both within and outside the economic study area has been calculated using the </w:t>
      </w:r>
      <w:r w:rsidR="00405A9B">
        <w:t>estimates</w:t>
      </w:r>
      <w:r w:rsidR="00405A9B" w:rsidRPr="002805F3">
        <w:t xml:space="preserve"> </w:t>
      </w:r>
      <w:r w:rsidRPr="002805F3">
        <w:t xml:space="preserve">of employment and average annual earnings. </w:t>
      </w:r>
      <w:r w:rsidR="00155D59">
        <w:t xml:space="preserve"> Table </w:t>
      </w:r>
      <w:r w:rsidR="00155D59">
        <w:rPr>
          <w:noProof/>
        </w:rPr>
        <w:t>0</w:t>
      </w:r>
      <w:r w:rsidR="00155D59">
        <w:t>-</w:t>
      </w:r>
      <w:r w:rsidR="00155D59">
        <w:rPr>
          <w:noProof/>
        </w:rPr>
        <w:t>12</w:t>
      </w:r>
      <w:r w:rsidR="00155D59">
        <w:t xml:space="preserve"> </w:t>
      </w:r>
      <w:r w:rsidRPr="002805F3">
        <w:t>summarises the estimates of the income tax and national insurance contribution which amount to a total of approximately £136 million from income tax and £75million from National Insurance.</w:t>
      </w:r>
    </w:p>
    <w:p w14:paraId="07700917" w14:textId="77777777" w:rsidR="00553FD5" w:rsidRDefault="00553FD5" w:rsidP="00C93734">
      <w:pPr>
        <w:pStyle w:val="Caption"/>
        <w:jc w:val="both"/>
      </w:pPr>
      <w:bookmarkStart w:id="648" w:name="_Ref391920967"/>
      <w:bookmarkStart w:id="649" w:name="_Toc383159713"/>
      <w:r>
        <w:t xml:space="preserve">Table </w:t>
      </w:r>
      <w:fldSimple w:instr=" STYLEREF 1 \s  \* MERGEFORMAT ">
        <w:r w:rsidR="00E95E1A">
          <w:rPr>
            <w:noProof/>
          </w:rPr>
          <w:t>0</w:t>
        </w:r>
      </w:fldSimple>
      <w:r>
        <w:t>-</w:t>
      </w:r>
      <w:fldSimple w:instr=" SEQ Table \* ARABIC \s 1  \* MERGEFORMAT ">
        <w:r w:rsidR="00E95E1A">
          <w:rPr>
            <w:noProof/>
          </w:rPr>
          <w:t>12</w:t>
        </w:r>
      </w:fldSimple>
      <w:bookmarkEnd w:id="648"/>
      <w:r>
        <w:tab/>
        <w:t>Income Tax Contribution</w:t>
      </w:r>
      <w:bookmarkEnd w:id="649"/>
    </w:p>
    <w:tbl>
      <w:tblPr>
        <w:tblStyle w:val="Atkins14pt"/>
        <w:tblW w:w="7864" w:type="dxa"/>
        <w:tblLook w:val="04A0" w:firstRow="1" w:lastRow="0" w:firstColumn="1" w:lastColumn="0" w:noHBand="0" w:noVBand="1"/>
      </w:tblPr>
      <w:tblGrid>
        <w:gridCol w:w="2215"/>
        <w:gridCol w:w="1750"/>
        <w:gridCol w:w="1962"/>
        <w:gridCol w:w="1937"/>
      </w:tblGrid>
      <w:tr w:rsidR="00553FD5" w:rsidRPr="002805F3" w14:paraId="4313AF01" w14:textId="77777777" w:rsidTr="007A1492">
        <w:trPr>
          <w:cnfStyle w:val="100000000000" w:firstRow="1" w:lastRow="0" w:firstColumn="0" w:lastColumn="0" w:oddVBand="0" w:evenVBand="0" w:oddHBand="0" w:evenHBand="0" w:firstRowFirstColumn="0" w:firstRowLastColumn="0" w:lastRowFirstColumn="0" w:lastRowLastColumn="0"/>
          <w:trHeight w:val="257"/>
        </w:trPr>
        <w:tc>
          <w:tcPr>
            <w:cnfStyle w:val="001000000100" w:firstRow="0" w:lastRow="0" w:firstColumn="1" w:lastColumn="0" w:oddVBand="0" w:evenVBand="0" w:oddHBand="0" w:evenHBand="0" w:firstRowFirstColumn="1" w:firstRowLastColumn="0" w:lastRowFirstColumn="0" w:lastRowLastColumn="0"/>
            <w:tcW w:w="2215" w:type="dxa"/>
            <w:noWrap/>
            <w:hideMark/>
          </w:tcPr>
          <w:p w14:paraId="70196296" w14:textId="77777777" w:rsidR="00553FD5" w:rsidRPr="002805F3" w:rsidRDefault="00553FD5" w:rsidP="00C93734">
            <w:pPr>
              <w:jc w:val="both"/>
              <w:rPr>
                <w:color w:val="000000"/>
              </w:rPr>
            </w:pPr>
          </w:p>
        </w:tc>
        <w:tc>
          <w:tcPr>
            <w:tcW w:w="1750" w:type="dxa"/>
            <w:noWrap/>
            <w:hideMark/>
          </w:tcPr>
          <w:p w14:paraId="18E80D48" w14:textId="77777777" w:rsidR="00553FD5" w:rsidRPr="002805F3" w:rsidRDefault="00553FD5" w:rsidP="00C93734">
            <w:pPr>
              <w:jc w:val="both"/>
              <w:cnfStyle w:val="100000000000" w:firstRow="1" w:lastRow="0" w:firstColumn="0" w:lastColumn="0" w:oddVBand="0" w:evenVBand="0" w:oddHBand="0" w:evenHBand="0" w:firstRowFirstColumn="0" w:firstRowLastColumn="0" w:lastRowFirstColumn="0" w:lastRowLastColumn="0"/>
              <w:rPr>
                <w:color w:val="000000"/>
              </w:rPr>
            </w:pPr>
            <w:r w:rsidRPr="002805F3">
              <w:rPr>
                <w:color w:val="000000"/>
              </w:rPr>
              <w:t>Wages</w:t>
            </w:r>
          </w:p>
        </w:tc>
        <w:tc>
          <w:tcPr>
            <w:tcW w:w="1962" w:type="dxa"/>
            <w:noWrap/>
            <w:hideMark/>
          </w:tcPr>
          <w:p w14:paraId="19522F24" w14:textId="77777777" w:rsidR="00553FD5" w:rsidRPr="002805F3" w:rsidRDefault="00553FD5" w:rsidP="00C93734">
            <w:pPr>
              <w:jc w:val="both"/>
              <w:cnfStyle w:val="100000000000" w:firstRow="1" w:lastRow="0" w:firstColumn="0" w:lastColumn="0" w:oddVBand="0" w:evenVBand="0" w:oddHBand="0" w:evenHBand="0" w:firstRowFirstColumn="0" w:firstRowLastColumn="0" w:lastRowFirstColumn="0" w:lastRowLastColumn="0"/>
              <w:rPr>
                <w:color w:val="000000"/>
              </w:rPr>
            </w:pPr>
            <w:r w:rsidRPr="002805F3">
              <w:rPr>
                <w:color w:val="000000"/>
              </w:rPr>
              <w:t>Income Tax</w:t>
            </w:r>
          </w:p>
        </w:tc>
        <w:tc>
          <w:tcPr>
            <w:tcW w:w="1937" w:type="dxa"/>
            <w:noWrap/>
            <w:hideMark/>
          </w:tcPr>
          <w:p w14:paraId="00E74376" w14:textId="77777777" w:rsidR="00553FD5" w:rsidRPr="002805F3" w:rsidRDefault="00553FD5" w:rsidP="00C93734">
            <w:pPr>
              <w:jc w:val="both"/>
              <w:cnfStyle w:val="100000000000" w:firstRow="1" w:lastRow="0" w:firstColumn="0" w:lastColumn="0" w:oddVBand="0" w:evenVBand="0" w:oddHBand="0" w:evenHBand="0" w:firstRowFirstColumn="0" w:firstRowLastColumn="0" w:lastRowFirstColumn="0" w:lastRowLastColumn="0"/>
              <w:rPr>
                <w:color w:val="000000"/>
              </w:rPr>
            </w:pPr>
            <w:r w:rsidRPr="002805F3">
              <w:rPr>
                <w:color w:val="000000"/>
              </w:rPr>
              <w:t>National Insurance</w:t>
            </w:r>
          </w:p>
        </w:tc>
      </w:tr>
      <w:tr w:rsidR="00553FD5" w:rsidRPr="002805F3" w14:paraId="36070969" w14:textId="77777777" w:rsidTr="007A1492">
        <w:trPr>
          <w:trHeight w:val="257"/>
        </w:trPr>
        <w:tc>
          <w:tcPr>
            <w:cnfStyle w:val="001000000000" w:firstRow="0" w:lastRow="0" w:firstColumn="1" w:lastColumn="0" w:oddVBand="0" w:evenVBand="0" w:oddHBand="0" w:evenHBand="0" w:firstRowFirstColumn="0" w:firstRowLastColumn="0" w:lastRowFirstColumn="0" w:lastRowLastColumn="0"/>
            <w:tcW w:w="2215" w:type="dxa"/>
            <w:noWrap/>
            <w:hideMark/>
          </w:tcPr>
          <w:p w14:paraId="652D887D" w14:textId="77777777" w:rsidR="00553FD5" w:rsidRPr="002805F3" w:rsidRDefault="00553FD5" w:rsidP="00C93734">
            <w:pPr>
              <w:spacing w:after="120"/>
              <w:jc w:val="both"/>
              <w:rPr>
                <w:color w:val="000000"/>
              </w:rPr>
            </w:pPr>
            <w:r>
              <w:rPr>
                <w:color w:val="000000"/>
              </w:rPr>
              <w:t>Direct Employees</w:t>
            </w:r>
          </w:p>
        </w:tc>
        <w:tc>
          <w:tcPr>
            <w:tcW w:w="1750" w:type="dxa"/>
            <w:noWrap/>
            <w:hideMark/>
          </w:tcPr>
          <w:p w14:paraId="1EDA0186" w14:textId="77777777" w:rsidR="00553FD5" w:rsidRPr="002805F3"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£470,545,280</w:t>
            </w:r>
          </w:p>
        </w:tc>
        <w:tc>
          <w:tcPr>
            <w:tcW w:w="1962" w:type="dxa"/>
            <w:noWrap/>
            <w:hideMark/>
          </w:tcPr>
          <w:p w14:paraId="2C792A8D" w14:textId="77777777" w:rsidR="00553FD5" w:rsidRPr="002805F3"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£94,109,056</w:t>
            </w:r>
          </w:p>
        </w:tc>
        <w:tc>
          <w:tcPr>
            <w:tcW w:w="1937" w:type="dxa"/>
            <w:noWrap/>
            <w:hideMark/>
          </w:tcPr>
          <w:p w14:paraId="3F6237E4" w14:textId="77777777" w:rsidR="00553FD5" w:rsidRPr="002805F3"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£51,760,000</w:t>
            </w:r>
          </w:p>
        </w:tc>
      </w:tr>
      <w:tr w:rsidR="00553FD5" w:rsidRPr="002805F3" w14:paraId="7AC03426" w14:textId="77777777" w:rsidTr="007A1492">
        <w:trPr>
          <w:trHeight w:val="257"/>
        </w:trPr>
        <w:tc>
          <w:tcPr>
            <w:cnfStyle w:val="001000000000" w:firstRow="0" w:lastRow="0" w:firstColumn="1" w:lastColumn="0" w:oddVBand="0" w:evenVBand="0" w:oddHBand="0" w:evenHBand="0" w:firstRowFirstColumn="0" w:firstRowLastColumn="0" w:lastRowFirstColumn="0" w:lastRowLastColumn="0"/>
            <w:tcW w:w="2215" w:type="dxa"/>
            <w:noWrap/>
            <w:hideMark/>
          </w:tcPr>
          <w:p w14:paraId="4700C3FB" w14:textId="77777777" w:rsidR="00553FD5" w:rsidRPr="002805F3" w:rsidRDefault="00553FD5" w:rsidP="00C93734">
            <w:pPr>
              <w:spacing w:after="120"/>
              <w:jc w:val="both"/>
              <w:rPr>
                <w:color w:val="000000"/>
              </w:rPr>
            </w:pPr>
            <w:r w:rsidRPr="002805F3">
              <w:rPr>
                <w:color w:val="000000"/>
              </w:rPr>
              <w:t>Indirect</w:t>
            </w:r>
          </w:p>
        </w:tc>
        <w:tc>
          <w:tcPr>
            <w:tcW w:w="1750" w:type="dxa"/>
            <w:noWrap/>
            <w:hideMark/>
          </w:tcPr>
          <w:p w14:paraId="036B4EED" w14:textId="77777777" w:rsidR="00553FD5" w:rsidRPr="002805F3"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£77,567,787</w:t>
            </w:r>
          </w:p>
        </w:tc>
        <w:tc>
          <w:tcPr>
            <w:tcW w:w="1962" w:type="dxa"/>
            <w:noWrap/>
            <w:hideMark/>
          </w:tcPr>
          <w:p w14:paraId="46BF8C4D" w14:textId="77777777" w:rsidR="00553FD5" w:rsidRPr="002805F3"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£15,513,557</w:t>
            </w:r>
          </w:p>
        </w:tc>
        <w:tc>
          <w:tcPr>
            <w:tcW w:w="1937" w:type="dxa"/>
            <w:noWrap/>
            <w:hideMark/>
          </w:tcPr>
          <w:p w14:paraId="3D763446" w14:textId="77777777" w:rsidR="00553FD5" w:rsidRPr="002805F3"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£8,532,000</w:t>
            </w:r>
          </w:p>
        </w:tc>
      </w:tr>
      <w:tr w:rsidR="00553FD5" w:rsidRPr="002805F3" w14:paraId="2018FBFA" w14:textId="77777777" w:rsidTr="007A1492">
        <w:trPr>
          <w:trHeight w:val="257"/>
        </w:trPr>
        <w:tc>
          <w:tcPr>
            <w:cnfStyle w:val="001000000000" w:firstRow="0" w:lastRow="0" w:firstColumn="1" w:lastColumn="0" w:oddVBand="0" w:evenVBand="0" w:oddHBand="0" w:evenHBand="0" w:firstRowFirstColumn="0" w:firstRowLastColumn="0" w:lastRowFirstColumn="0" w:lastRowLastColumn="0"/>
            <w:tcW w:w="2215" w:type="dxa"/>
            <w:noWrap/>
            <w:hideMark/>
          </w:tcPr>
          <w:p w14:paraId="3A9D8406" w14:textId="77777777" w:rsidR="00553FD5" w:rsidRPr="002805F3" w:rsidRDefault="00553FD5" w:rsidP="00C93734">
            <w:pPr>
              <w:spacing w:after="120"/>
              <w:jc w:val="both"/>
              <w:rPr>
                <w:color w:val="000000"/>
              </w:rPr>
            </w:pPr>
            <w:r w:rsidRPr="002805F3">
              <w:rPr>
                <w:color w:val="000000"/>
              </w:rPr>
              <w:t>Indirect Y</w:t>
            </w:r>
            <w:r>
              <w:rPr>
                <w:color w:val="000000"/>
              </w:rPr>
              <w:t>orkshire &amp; Humber</w:t>
            </w:r>
          </w:p>
        </w:tc>
        <w:tc>
          <w:tcPr>
            <w:tcW w:w="1750" w:type="dxa"/>
            <w:noWrap/>
            <w:hideMark/>
          </w:tcPr>
          <w:p w14:paraId="47DEBB83" w14:textId="77777777" w:rsidR="00553FD5" w:rsidRPr="002805F3"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£54,811,307</w:t>
            </w:r>
          </w:p>
        </w:tc>
        <w:tc>
          <w:tcPr>
            <w:tcW w:w="1962" w:type="dxa"/>
            <w:noWrap/>
            <w:hideMark/>
          </w:tcPr>
          <w:p w14:paraId="46CC688E" w14:textId="77777777" w:rsidR="00553FD5" w:rsidRPr="002805F3"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£10,962,261</w:t>
            </w:r>
          </w:p>
        </w:tc>
        <w:tc>
          <w:tcPr>
            <w:tcW w:w="1937" w:type="dxa"/>
            <w:noWrap/>
            <w:hideMark/>
          </w:tcPr>
          <w:p w14:paraId="2AD3F2DE" w14:textId="77777777" w:rsidR="00553FD5" w:rsidRPr="002805F3"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£6,029,000</w:t>
            </w:r>
          </w:p>
        </w:tc>
      </w:tr>
      <w:tr w:rsidR="00553FD5" w:rsidRPr="002805F3" w14:paraId="1A91CB23" w14:textId="77777777" w:rsidTr="007A1492">
        <w:trPr>
          <w:trHeight w:val="257"/>
        </w:trPr>
        <w:tc>
          <w:tcPr>
            <w:cnfStyle w:val="001000000000" w:firstRow="0" w:lastRow="0" w:firstColumn="1" w:lastColumn="0" w:oddVBand="0" w:evenVBand="0" w:oddHBand="0" w:evenHBand="0" w:firstRowFirstColumn="0" w:firstRowLastColumn="0" w:lastRowFirstColumn="0" w:lastRowLastColumn="0"/>
            <w:tcW w:w="2215" w:type="dxa"/>
            <w:noWrap/>
            <w:hideMark/>
          </w:tcPr>
          <w:p w14:paraId="79876AAD" w14:textId="77777777" w:rsidR="00553FD5" w:rsidRPr="002805F3" w:rsidRDefault="00553FD5" w:rsidP="000B3776">
            <w:pPr>
              <w:spacing w:after="120"/>
              <w:jc w:val="both"/>
              <w:rPr>
                <w:color w:val="000000"/>
              </w:rPr>
            </w:pPr>
            <w:r w:rsidRPr="002805F3">
              <w:rPr>
                <w:color w:val="000000"/>
              </w:rPr>
              <w:t xml:space="preserve">Indirect </w:t>
            </w:r>
            <w:r w:rsidR="000B3776">
              <w:rPr>
                <w:color w:val="000000"/>
              </w:rPr>
              <w:t>o</w:t>
            </w:r>
            <w:r w:rsidR="000B3776" w:rsidRPr="002805F3">
              <w:rPr>
                <w:color w:val="000000"/>
              </w:rPr>
              <w:t xml:space="preserve">utside </w:t>
            </w:r>
            <w:r>
              <w:rPr>
                <w:color w:val="000000"/>
              </w:rPr>
              <w:t xml:space="preserve">N. And N.E </w:t>
            </w:r>
            <w:r w:rsidRPr="002805F3">
              <w:rPr>
                <w:color w:val="000000"/>
              </w:rPr>
              <w:t>L</w:t>
            </w:r>
            <w:r>
              <w:rPr>
                <w:color w:val="000000"/>
              </w:rPr>
              <w:t xml:space="preserve">incolnshire &amp; Humber </w:t>
            </w:r>
          </w:p>
        </w:tc>
        <w:tc>
          <w:tcPr>
            <w:tcW w:w="1750" w:type="dxa"/>
            <w:noWrap/>
            <w:hideMark/>
          </w:tcPr>
          <w:p w14:paraId="5B146C47" w14:textId="77777777" w:rsidR="00553FD5" w:rsidRPr="002805F3"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£79,280,640</w:t>
            </w:r>
          </w:p>
        </w:tc>
        <w:tc>
          <w:tcPr>
            <w:tcW w:w="1962" w:type="dxa"/>
            <w:noWrap/>
            <w:hideMark/>
          </w:tcPr>
          <w:p w14:paraId="398ABC55" w14:textId="77777777" w:rsidR="00553FD5" w:rsidRPr="002805F3"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£15,856,128</w:t>
            </w:r>
          </w:p>
        </w:tc>
        <w:tc>
          <w:tcPr>
            <w:tcW w:w="1937" w:type="dxa"/>
            <w:noWrap/>
            <w:hideMark/>
          </w:tcPr>
          <w:p w14:paraId="1A67C8DF" w14:textId="77777777" w:rsidR="00553FD5" w:rsidRPr="002805F3" w:rsidRDefault="00553FD5" w:rsidP="00C93734">
            <w:pPr>
              <w:spacing w:after="120"/>
              <w:jc w:val="both"/>
              <w:cnfStyle w:val="000000000000" w:firstRow="0" w:lastRow="0" w:firstColumn="0" w:lastColumn="0" w:oddVBand="0" w:evenVBand="0" w:oddHBand="0" w:evenHBand="0" w:firstRowFirstColumn="0" w:firstRowLastColumn="0" w:lastRowFirstColumn="0" w:lastRowLastColumn="0"/>
              <w:rPr>
                <w:color w:val="000000"/>
              </w:rPr>
            </w:pPr>
            <w:r w:rsidRPr="002805F3">
              <w:rPr>
                <w:color w:val="000000"/>
              </w:rPr>
              <w:t>£8,721,000</w:t>
            </w:r>
          </w:p>
        </w:tc>
      </w:tr>
    </w:tbl>
    <w:p w14:paraId="662AB310" w14:textId="77777777" w:rsidR="00553FD5" w:rsidRPr="002805F3" w:rsidRDefault="00553FD5" w:rsidP="00C93734">
      <w:pPr>
        <w:pStyle w:val="TableSource"/>
        <w:jc w:val="both"/>
      </w:pPr>
      <w:r w:rsidRPr="002805F3">
        <w:t xml:space="preserve">Source: Atkins 2013. Atkins Ref: Survey –A12/D14. </w:t>
      </w:r>
    </w:p>
    <w:p w14:paraId="0F24533E" w14:textId="77777777" w:rsidR="00553FD5" w:rsidRPr="002805F3" w:rsidRDefault="00553FD5" w:rsidP="00C93734">
      <w:pPr>
        <w:pStyle w:val="BodyText"/>
        <w:jc w:val="both"/>
        <w:rPr>
          <w:b/>
        </w:rPr>
      </w:pPr>
      <w:r w:rsidRPr="002805F3">
        <w:rPr>
          <w:b/>
        </w:rPr>
        <w:t>Corporation Tax</w:t>
      </w:r>
    </w:p>
    <w:p w14:paraId="7F9A309C" w14:textId="77777777" w:rsidR="00553FD5" w:rsidRPr="002805F3" w:rsidRDefault="00553FD5" w:rsidP="00C93734">
      <w:pPr>
        <w:pStyle w:val="BodyText"/>
        <w:jc w:val="both"/>
      </w:pPr>
      <w:r w:rsidRPr="002805F3">
        <w:t xml:space="preserve">Based on our sample, we have estimated the number of firms in each sector that achieves profits of over £1.5 million. Therefore, it has been assumed that these firms pay corporation tax on their gross profits at a rate of 30%. Other firms are assumed to pay the lower rate of 20%. </w:t>
      </w:r>
      <w:r w:rsidR="00155D59">
        <w:t xml:space="preserve">Table </w:t>
      </w:r>
      <w:r w:rsidR="00155D59">
        <w:rPr>
          <w:noProof/>
        </w:rPr>
        <w:t>0</w:t>
      </w:r>
      <w:r w:rsidR="00155D59">
        <w:t>-</w:t>
      </w:r>
      <w:r w:rsidR="00155D59">
        <w:rPr>
          <w:noProof/>
        </w:rPr>
        <w:t>13</w:t>
      </w:r>
      <w:r w:rsidR="00155D59">
        <w:t xml:space="preserve"> </w:t>
      </w:r>
      <w:r w:rsidRPr="002805F3">
        <w:t>summarises the corporation tax c</w:t>
      </w:r>
      <w:r>
        <w:t>ontribution which amou</w:t>
      </w:r>
      <w:r w:rsidR="005D2AE1">
        <w:t>nts to £105</w:t>
      </w:r>
      <w:r w:rsidRPr="002805F3">
        <w:t xml:space="preserve"> million.</w:t>
      </w:r>
    </w:p>
    <w:p w14:paraId="5947CEA0" w14:textId="77777777" w:rsidR="00553FD5" w:rsidRDefault="00553FD5" w:rsidP="00C93734">
      <w:pPr>
        <w:pStyle w:val="Caption"/>
        <w:jc w:val="both"/>
      </w:pPr>
      <w:bookmarkStart w:id="650" w:name="_Ref391920978"/>
      <w:bookmarkStart w:id="651" w:name="_Toc383159714"/>
      <w:r>
        <w:t xml:space="preserve">Table </w:t>
      </w:r>
      <w:fldSimple w:instr=" STYLEREF 1 \s  \* MERGEFORMAT ">
        <w:r w:rsidR="00E95E1A">
          <w:rPr>
            <w:noProof/>
          </w:rPr>
          <w:t>0</w:t>
        </w:r>
      </w:fldSimple>
      <w:r>
        <w:t>-</w:t>
      </w:r>
      <w:fldSimple w:instr=" SEQ Table \* ARABIC \s 1  \* MERGEFORMAT ">
        <w:r w:rsidR="00E95E1A">
          <w:rPr>
            <w:noProof/>
          </w:rPr>
          <w:t>13</w:t>
        </w:r>
      </w:fldSimple>
      <w:bookmarkEnd w:id="650"/>
      <w:r>
        <w:tab/>
        <w:t>Corporation Tax Contribution</w:t>
      </w:r>
      <w:bookmarkEnd w:id="651"/>
    </w:p>
    <w:tbl>
      <w:tblPr>
        <w:tblStyle w:val="Atkins14pt"/>
        <w:tblW w:w="5561" w:type="dxa"/>
        <w:tblLayout w:type="fixed"/>
        <w:tblLook w:val="04A0" w:firstRow="1" w:lastRow="0" w:firstColumn="1" w:lastColumn="0" w:noHBand="0" w:noVBand="1"/>
      </w:tblPr>
      <w:tblGrid>
        <w:gridCol w:w="1889"/>
        <w:gridCol w:w="1836"/>
        <w:gridCol w:w="1836"/>
      </w:tblGrid>
      <w:tr w:rsidR="005D2AE1" w:rsidRPr="002805F3" w14:paraId="63B853C8" w14:textId="77777777" w:rsidTr="005D2AE1">
        <w:trPr>
          <w:cnfStyle w:val="100000000000" w:firstRow="1" w:lastRow="0" w:firstColumn="0" w:lastColumn="0" w:oddVBand="0" w:evenVBand="0" w:oddHBand="0" w:evenHBand="0" w:firstRowFirstColumn="0" w:firstRowLastColumn="0" w:lastRowFirstColumn="0" w:lastRowLastColumn="0"/>
          <w:trHeight w:val="251"/>
        </w:trPr>
        <w:tc>
          <w:tcPr>
            <w:cnfStyle w:val="001000000100" w:firstRow="0" w:lastRow="0" w:firstColumn="1" w:lastColumn="0" w:oddVBand="0" w:evenVBand="0" w:oddHBand="0" w:evenHBand="0" w:firstRowFirstColumn="1" w:firstRowLastColumn="0" w:lastRowFirstColumn="0" w:lastRowLastColumn="0"/>
            <w:tcW w:w="1889" w:type="dxa"/>
            <w:vMerge w:val="restart"/>
          </w:tcPr>
          <w:p w14:paraId="32CEB701" w14:textId="77777777" w:rsidR="005D2AE1" w:rsidRPr="001E7178" w:rsidRDefault="005D2AE1" w:rsidP="00C93734">
            <w:pPr>
              <w:spacing w:after="120"/>
              <w:jc w:val="both"/>
              <w:rPr>
                <w:color w:val="000000"/>
              </w:rPr>
            </w:pPr>
            <w:r w:rsidRPr="001E7178">
              <w:rPr>
                <w:color w:val="000000"/>
              </w:rPr>
              <w:t>Sector</w:t>
            </w:r>
          </w:p>
        </w:tc>
        <w:tc>
          <w:tcPr>
            <w:tcW w:w="3672" w:type="dxa"/>
            <w:gridSpan w:val="2"/>
            <w:noWrap/>
            <w:hideMark/>
          </w:tcPr>
          <w:p w14:paraId="3F4F63E6" w14:textId="77777777" w:rsidR="005D2AE1" w:rsidRPr="001E7178" w:rsidRDefault="005D2AE1" w:rsidP="00C93734">
            <w:pPr>
              <w:spacing w:after="120"/>
              <w:jc w:val="both"/>
              <w:cnfStyle w:val="100000000000" w:firstRow="1" w:lastRow="0" w:firstColumn="0" w:lastColumn="0" w:oddVBand="0" w:evenVBand="0" w:oddHBand="0" w:evenHBand="0" w:firstRowFirstColumn="0" w:firstRowLastColumn="0" w:lastRowFirstColumn="0" w:lastRowLastColumn="0"/>
              <w:rPr>
                <w:color w:val="000000"/>
              </w:rPr>
            </w:pPr>
            <w:r w:rsidRPr="001E7178">
              <w:rPr>
                <w:color w:val="000000"/>
              </w:rPr>
              <w:t>Corporation Tax Contribution</w:t>
            </w:r>
          </w:p>
        </w:tc>
      </w:tr>
      <w:tr w:rsidR="005D2AE1" w:rsidRPr="002805F3" w14:paraId="5587EC3E" w14:textId="77777777" w:rsidTr="005D2AE1">
        <w:trPr>
          <w:trHeight w:val="251"/>
        </w:trPr>
        <w:tc>
          <w:tcPr>
            <w:cnfStyle w:val="001000000000" w:firstRow="0" w:lastRow="0" w:firstColumn="1" w:lastColumn="0" w:oddVBand="0" w:evenVBand="0" w:oddHBand="0" w:evenHBand="0" w:firstRowFirstColumn="0" w:firstRowLastColumn="0" w:lastRowFirstColumn="0" w:lastRowLastColumn="0"/>
            <w:tcW w:w="1889" w:type="dxa"/>
            <w:vMerge/>
          </w:tcPr>
          <w:p w14:paraId="317308B5" w14:textId="77777777" w:rsidR="005D2AE1" w:rsidRPr="001E7178" w:rsidRDefault="005D2AE1" w:rsidP="00C93734">
            <w:pPr>
              <w:spacing w:after="120"/>
              <w:jc w:val="both"/>
              <w:rPr>
                <w:color w:val="000000"/>
              </w:rPr>
            </w:pPr>
          </w:p>
        </w:tc>
        <w:tc>
          <w:tcPr>
            <w:tcW w:w="1836" w:type="dxa"/>
            <w:shd w:val="clear" w:color="auto" w:fill="E6E4DE" w:themeFill="accent6"/>
            <w:noWrap/>
            <w:hideMark/>
          </w:tcPr>
          <w:p w14:paraId="2521D48F" w14:textId="77777777" w:rsidR="005D2AE1" w:rsidRPr="001E7178" w:rsidRDefault="005D2AE1" w:rsidP="00C93734">
            <w:pPr>
              <w:spacing w:after="120"/>
              <w:jc w:val="both"/>
              <w:cnfStyle w:val="000000000000" w:firstRow="0" w:lastRow="0" w:firstColumn="0" w:lastColumn="0" w:oddVBand="0" w:evenVBand="0" w:oddHBand="0" w:evenHBand="0" w:firstRowFirstColumn="0" w:firstRowLastColumn="0" w:lastRowFirstColumn="0" w:lastRowLastColumn="0"/>
              <w:rPr>
                <w:b/>
                <w:color w:val="000000"/>
              </w:rPr>
            </w:pPr>
            <w:r w:rsidRPr="001E7178">
              <w:rPr>
                <w:b/>
                <w:color w:val="000000"/>
              </w:rPr>
              <w:t>30% Tax</w:t>
            </w:r>
          </w:p>
        </w:tc>
        <w:tc>
          <w:tcPr>
            <w:tcW w:w="1836" w:type="dxa"/>
            <w:shd w:val="clear" w:color="auto" w:fill="E6E4DE" w:themeFill="accent6"/>
            <w:noWrap/>
            <w:hideMark/>
          </w:tcPr>
          <w:p w14:paraId="1DE42C65" w14:textId="77777777" w:rsidR="005D2AE1" w:rsidRPr="001E7178" w:rsidRDefault="005D2AE1" w:rsidP="00C93734">
            <w:pPr>
              <w:spacing w:after="120"/>
              <w:jc w:val="both"/>
              <w:cnfStyle w:val="000000000000" w:firstRow="0" w:lastRow="0" w:firstColumn="0" w:lastColumn="0" w:oddVBand="0" w:evenVBand="0" w:oddHBand="0" w:evenHBand="0" w:firstRowFirstColumn="0" w:firstRowLastColumn="0" w:lastRowFirstColumn="0" w:lastRowLastColumn="0"/>
              <w:rPr>
                <w:b/>
                <w:color w:val="000000"/>
              </w:rPr>
            </w:pPr>
            <w:r w:rsidRPr="001E7178">
              <w:rPr>
                <w:b/>
                <w:color w:val="000000"/>
              </w:rPr>
              <w:t>20% Tax</w:t>
            </w:r>
          </w:p>
        </w:tc>
      </w:tr>
      <w:tr w:rsidR="005D2AE1" w:rsidRPr="002805F3" w14:paraId="7F4AF536" w14:textId="77777777" w:rsidTr="005D2AE1">
        <w:trPr>
          <w:trHeight w:val="251"/>
        </w:trPr>
        <w:tc>
          <w:tcPr>
            <w:cnfStyle w:val="001000000000" w:firstRow="0" w:lastRow="0" w:firstColumn="1" w:lastColumn="0" w:oddVBand="0" w:evenVBand="0" w:oddHBand="0" w:evenHBand="0" w:firstRowFirstColumn="0" w:firstRowLastColumn="0" w:lastRowFirstColumn="0" w:lastRowLastColumn="0"/>
            <w:tcW w:w="1889" w:type="dxa"/>
          </w:tcPr>
          <w:p w14:paraId="5A7EE049" w14:textId="77777777" w:rsidR="005D2AE1" w:rsidRPr="001E7178" w:rsidRDefault="005D2AE1" w:rsidP="00C93734">
            <w:pPr>
              <w:spacing w:after="120"/>
              <w:jc w:val="both"/>
              <w:rPr>
                <w:color w:val="000000"/>
              </w:rPr>
            </w:pPr>
            <w:r w:rsidRPr="001E7178">
              <w:rPr>
                <w:color w:val="000000"/>
              </w:rPr>
              <w:t>Renewables</w:t>
            </w:r>
          </w:p>
        </w:tc>
        <w:tc>
          <w:tcPr>
            <w:tcW w:w="1836" w:type="dxa"/>
            <w:noWrap/>
            <w:vAlign w:val="center"/>
            <w:hideMark/>
          </w:tcPr>
          <w:p w14:paraId="506F4196" w14:textId="77777777" w:rsidR="005D2AE1" w:rsidRPr="001E7178" w:rsidRDefault="005D2AE1" w:rsidP="00C93734">
            <w:pPr>
              <w:spacing w:after="120"/>
              <w:ind w:right="14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£6,297,351</w:t>
            </w:r>
          </w:p>
        </w:tc>
        <w:tc>
          <w:tcPr>
            <w:tcW w:w="1836" w:type="dxa"/>
            <w:noWrap/>
            <w:vAlign w:val="center"/>
            <w:hideMark/>
          </w:tcPr>
          <w:p w14:paraId="5733F500" w14:textId="77777777" w:rsidR="005D2AE1" w:rsidRPr="001E7178" w:rsidRDefault="005D2AE1" w:rsidP="00C93734">
            <w:pPr>
              <w:spacing w:after="120"/>
              <w:ind w:right="14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£19,479,206</w:t>
            </w:r>
          </w:p>
        </w:tc>
      </w:tr>
      <w:tr w:rsidR="005D2AE1" w:rsidRPr="000B1890" w14:paraId="12954EC4" w14:textId="77777777" w:rsidTr="005D2AE1">
        <w:trPr>
          <w:trHeight w:val="251"/>
        </w:trPr>
        <w:tc>
          <w:tcPr>
            <w:cnfStyle w:val="001000000000" w:firstRow="0" w:lastRow="0" w:firstColumn="1" w:lastColumn="0" w:oddVBand="0" w:evenVBand="0" w:oddHBand="0" w:evenHBand="0" w:firstRowFirstColumn="0" w:firstRowLastColumn="0" w:lastRowFirstColumn="0" w:lastRowLastColumn="0"/>
            <w:tcW w:w="1889" w:type="dxa"/>
          </w:tcPr>
          <w:p w14:paraId="79AE0E40" w14:textId="77777777" w:rsidR="005D2AE1" w:rsidRPr="000B1890" w:rsidRDefault="005D2AE1" w:rsidP="00C93734">
            <w:pPr>
              <w:spacing w:after="120"/>
              <w:jc w:val="both"/>
              <w:rPr>
                <w:color w:val="000000"/>
              </w:rPr>
            </w:pPr>
            <w:r w:rsidRPr="000B1890">
              <w:rPr>
                <w:color w:val="000000"/>
              </w:rPr>
              <w:t>Ports &amp; Logistics</w:t>
            </w:r>
          </w:p>
        </w:tc>
        <w:tc>
          <w:tcPr>
            <w:tcW w:w="1836" w:type="dxa"/>
            <w:noWrap/>
            <w:vAlign w:val="center"/>
            <w:hideMark/>
          </w:tcPr>
          <w:p w14:paraId="2565B459" w14:textId="77777777" w:rsidR="005D2AE1" w:rsidRPr="000B1890" w:rsidRDefault="005D2AE1" w:rsidP="00C93734">
            <w:pPr>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£27,656,071</w:t>
            </w:r>
          </w:p>
        </w:tc>
        <w:tc>
          <w:tcPr>
            <w:tcW w:w="1836" w:type="dxa"/>
            <w:noWrap/>
            <w:vAlign w:val="center"/>
            <w:hideMark/>
          </w:tcPr>
          <w:p w14:paraId="49C480FD" w14:textId="77777777" w:rsidR="005D2AE1" w:rsidRPr="000B1890" w:rsidRDefault="005D2AE1" w:rsidP="00C93734">
            <w:pPr>
              <w:spacing w:after="120"/>
              <w:ind w:right="142"/>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£15,046,454</w:t>
            </w:r>
          </w:p>
        </w:tc>
      </w:tr>
      <w:tr w:rsidR="005D2AE1" w:rsidRPr="000B1890" w14:paraId="00CE89B2" w14:textId="77777777" w:rsidTr="005D2AE1">
        <w:trPr>
          <w:trHeight w:val="251"/>
        </w:trPr>
        <w:tc>
          <w:tcPr>
            <w:cnfStyle w:val="001000000000" w:firstRow="0" w:lastRow="0" w:firstColumn="1" w:lastColumn="0" w:oddVBand="0" w:evenVBand="0" w:oddHBand="0" w:evenHBand="0" w:firstRowFirstColumn="0" w:firstRowLastColumn="0" w:lastRowFirstColumn="0" w:lastRowLastColumn="0"/>
            <w:tcW w:w="1889" w:type="dxa"/>
          </w:tcPr>
          <w:p w14:paraId="04FB7B6A" w14:textId="77777777" w:rsidR="005D2AE1" w:rsidRPr="000B1890" w:rsidRDefault="005D2AE1" w:rsidP="00C93734">
            <w:pPr>
              <w:spacing w:after="120"/>
              <w:jc w:val="both"/>
              <w:rPr>
                <w:color w:val="000000"/>
              </w:rPr>
            </w:pPr>
            <w:r w:rsidRPr="000B1890">
              <w:rPr>
                <w:color w:val="000000"/>
              </w:rPr>
              <w:t>Food manufacturing</w:t>
            </w:r>
          </w:p>
        </w:tc>
        <w:tc>
          <w:tcPr>
            <w:tcW w:w="1836" w:type="dxa"/>
            <w:noWrap/>
            <w:vAlign w:val="center"/>
            <w:hideMark/>
          </w:tcPr>
          <w:p w14:paraId="3EBA4C8D" w14:textId="77777777" w:rsidR="005D2AE1" w:rsidRPr="000B1890" w:rsidRDefault="005D2AE1" w:rsidP="00C93734">
            <w:pPr>
              <w:spacing w:after="120"/>
              <w:ind w:right="142"/>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£4,587,447</w:t>
            </w:r>
          </w:p>
        </w:tc>
        <w:tc>
          <w:tcPr>
            <w:tcW w:w="1836" w:type="dxa"/>
            <w:noWrap/>
            <w:vAlign w:val="center"/>
            <w:hideMark/>
          </w:tcPr>
          <w:p w14:paraId="0C179C29" w14:textId="77777777" w:rsidR="005D2AE1" w:rsidRPr="000B1890" w:rsidRDefault="005D2AE1" w:rsidP="00C93734">
            <w:pPr>
              <w:spacing w:after="120"/>
              <w:ind w:right="142"/>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£9,135,998</w:t>
            </w:r>
          </w:p>
        </w:tc>
      </w:tr>
      <w:tr w:rsidR="005D2AE1" w:rsidRPr="000B1890" w14:paraId="5BE5909A" w14:textId="77777777" w:rsidTr="005D2AE1">
        <w:trPr>
          <w:trHeight w:val="251"/>
        </w:trPr>
        <w:tc>
          <w:tcPr>
            <w:cnfStyle w:val="001000000000" w:firstRow="0" w:lastRow="0" w:firstColumn="1" w:lastColumn="0" w:oddVBand="0" w:evenVBand="0" w:oddHBand="0" w:evenHBand="0" w:firstRowFirstColumn="0" w:firstRowLastColumn="0" w:lastRowFirstColumn="0" w:lastRowLastColumn="0"/>
            <w:tcW w:w="1889" w:type="dxa"/>
          </w:tcPr>
          <w:p w14:paraId="0E851901" w14:textId="77777777" w:rsidR="005D2AE1" w:rsidRPr="000B1890" w:rsidRDefault="005D2AE1" w:rsidP="00C93734">
            <w:pPr>
              <w:spacing w:after="120"/>
              <w:jc w:val="both"/>
              <w:rPr>
                <w:color w:val="000000"/>
              </w:rPr>
            </w:pPr>
            <w:r w:rsidRPr="000B1890">
              <w:rPr>
                <w:color w:val="000000"/>
              </w:rPr>
              <w:t>Chemicals &amp; process industries</w:t>
            </w:r>
          </w:p>
        </w:tc>
        <w:tc>
          <w:tcPr>
            <w:tcW w:w="1836" w:type="dxa"/>
            <w:noWrap/>
            <w:vAlign w:val="center"/>
            <w:hideMark/>
          </w:tcPr>
          <w:p w14:paraId="231CFCB4" w14:textId="77777777" w:rsidR="005D2AE1" w:rsidRPr="000B1890" w:rsidRDefault="005D2AE1" w:rsidP="00C93734">
            <w:pPr>
              <w:spacing w:after="120"/>
              <w:ind w:right="142"/>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£8,838,247</w:t>
            </w:r>
          </w:p>
        </w:tc>
        <w:tc>
          <w:tcPr>
            <w:tcW w:w="1836" w:type="dxa"/>
            <w:noWrap/>
            <w:vAlign w:val="center"/>
            <w:hideMark/>
          </w:tcPr>
          <w:p w14:paraId="2A17535B" w14:textId="77777777" w:rsidR="005D2AE1" w:rsidRPr="000B1890" w:rsidRDefault="005D2AE1" w:rsidP="00C93734">
            <w:pPr>
              <w:spacing w:after="120"/>
              <w:ind w:right="142"/>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£5,220,000</w:t>
            </w:r>
          </w:p>
        </w:tc>
      </w:tr>
      <w:tr w:rsidR="005D2AE1" w:rsidRPr="000B1890" w14:paraId="17DB3AE7" w14:textId="77777777" w:rsidTr="005D2AE1">
        <w:trPr>
          <w:trHeight w:val="251"/>
        </w:trPr>
        <w:tc>
          <w:tcPr>
            <w:cnfStyle w:val="001000000000" w:firstRow="0" w:lastRow="0" w:firstColumn="1" w:lastColumn="0" w:oddVBand="0" w:evenVBand="0" w:oddHBand="0" w:evenHBand="0" w:firstRowFirstColumn="0" w:firstRowLastColumn="0" w:lastRowFirstColumn="0" w:lastRowLastColumn="0"/>
            <w:tcW w:w="1889" w:type="dxa"/>
          </w:tcPr>
          <w:p w14:paraId="10E95188" w14:textId="77777777" w:rsidR="005D2AE1" w:rsidRPr="000B1890" w:rsidRDefault="005D2AE1" w:rsidP="00C93734">
            <w:pPr>
              <w:spacing w:after="120"/>
              <w:jc w:val="both"/>
              <w:rPr>
                <w:color w:val="000000"/>
              </w:rPr>
            </w:pPr>
            <w:r w:rsidRPr="000B1890">
              <w:rPr>
                <w:color w:val="000000"/>
              </w:rPr>
              <w:t>Visitor Economy &amp; Retail</w:t>
            </w:r>
          </w:p>
        </w:tc>
        <w:tc>
          <w:tcPr>
            <w:tcW w:w="1836" w:type="dxa"/>
            <w:noWrap/>
            <w:vAlign w:val="center"/>
            <w:hideMark/>
          </w:tcPr>
          <w:p w14:paraId="61E987A6" w14:textId="77777777" w:rsidR="005D2AE1" w:rsidRPr="000B1890" w:rsidRDefault="005D2AE1" w:rsidP="00C93734">
            <w:pPr>
              <w:spacing w:after="120"/>
              <w:ind w:right="142"/>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£1,296,008</w:t>
            </w:r>
          </w:p>
        </w:tc>
        <w:tc>
          <w:tcPr>
            <w:tcW w:w="1836" w:type="dxa"/>
            <w:noWrap/>
            <w:vAlign w:val="center"/>
            <w:hideMark/>
          </w:tcPr>
          <w:p w14:paraId="5705E2D0" w14:textId="77777777" w:rsidR="005D2AE1" w:rsidRPr="000B1890" w:rsidRDefault="005D2AE1" w:rsidP="00C93734">
            <w:pPr>
              <w:spacing w:after="120"/>
              <w:ind w:right="142"/>
              <w:jc w:val="both"/>
              <w:cnfStyle w:val="000000000000" w:firstRow="0" w:lastRow="0" w:firstColumn="0" w:lastColumn="0" w:oddVBand="0" w:evenVBand="0" w:oddHBand="0" w:evenHBand="0" w:firstRowFirstColumn="0" w:firstRowLastColumn="0" w:lastRowFirstColumn="0" w:lastRowLastColumn="0"/>
              <w:rPr>
                <w:color w:val="000000"/>
              </w:rPr>
            </w:pPr>
            <w:r w:rsidRPr="000B1890">
              <w:rPr>
                <w:color w:val="000000"/>
              </w:rPr>
              <w:t>£8,280,055</w:t>
            </w:r>
          </w:p>
        </w:tc>
      </w:tr>
    </w:tbl>
    <w:p w14:paraId="506F74A0" w14:textId="77777777" w:rsidR="00553FD5" w:rsidRPr="000B1890" w:rsidRDefault="00553FD5" w:rsidP="00C93734">
      <w:pPr>
        <w:pStyle w:val="TableSource"/>
        <w:jc w:val="both"/>
      </w:pPr>
      <w:r w:rsidRPr="000B1890">
        <w:t>Source: Atkins 2013. Atkins Ref: Survey –A12/I23</w:t>
      </w:r>
    </w:p>
    <w:p w14:paraId="5EDA0D9E" w14:textId="77777777" w:rsidR="00553FD5" w:rsidRPr="002805F3" w:rsidRDefault="00553FD5" w:rsidP="00C93734">
      <w:pPr>
        <w:pStyle w:val="BodyText"/>
        <w:jc w:val="both"/>
      </w:pPr>
      <w:r w:rsidRPr="000B1890">
        <w:t xml:space="preserve">The </w:t>
      </w:r>
      <w:r w:rsidR="00155D59">
        <w:t xml:space="preserve">table above </w:t>
      </w:r>
      <w:r w:rsidRPr="000B1890">
        <w:t>summarises the overall tax and levy</w:t>
      </w:r>
      <w:r w:rsidRPr="002805F3">
        <w:t xml:space="preserve"> contribution to the national exchequer arising from direct key sector activity in the economic study area. This is shown to amount to be approximately £4</w:t>
      </w:r>
      <w:r>
        <w:t>67</w:t>
      </w:r>
      <w:r w:rsidRPr="002805F3">
        <w:t xml:space="preserve"> million. </w:t>
      </w:r>
    </w:p>
    <w:p w14:paraId="6E494B06" w14:textId="77777777" w:rsidR="00553FD5" w:rsidRPr="002805F3" w:rsidRDefault="007A1492" w:rsidP="00C93734">
      <w:pPr>
        <w:pStyle w:val="Heading7"/>
        <w:jc w:val="both"/>
      </w:pPr>
      <w:bookmarkStart w:id="652" w:name="_Toc395103944"/>
      <w:r w:rsidRPr="002805F3">
        <w:t>Summary of key qualitative business survey outputs</w:t>
      </w:r>
      <w:bookmarkEnd w:id="652"/>
    </w:p>
    <w:p w14:paraId="0CD02336" w14:textId="77777777" w:rsidR="00553FD5" w:rsidRPr="002805F3" w:rsidRDefault="00553FD5" w:rsidP="00C93734">
      <w:pPr>
        <w:pStyle w:val="BodyText"/>
        <w:jc w:val="both"/>
      </w:pPr>
      <w:r w:rsidRPr="002805F3">
        <w:rPr>
          <w:szCs w:val="22"/>
        </w:rPr>
        <w:t>The remainder of this appendix sets out the findings of the rest of the business survey, which largely focuses on qualitative issues.</w:t>
      </w:r>
      <w:r w:rsidRPr="002805F3">
        <w:t xml:space="preserve"> As previously mentioned, it should be noted that not all questions were answered by the entire sample and therefore, total responses vary from question to question. </w:t>
      </w:r>
    </w:p>
    <w:p w14:paraId="27E3962D" w14:textId="77777777" w:rsidR="00553FD5" w:rsidRPr="002805F3" w:rsidRDefault="00553FD5" w:rsidP="00C93734">
      <w:pPr>
        <w:pStyle w:val="Heading8"/>
        <w:jc w:val="both"/>
      </w:pPr>
      <w:r w:rsidRPr="007A1492">
        <w:t>Type</w:t>
      </w:r>
      <w:r w:rsidRPr="002805F3">
        <w:t xml:space="preserve"> of Business</w:t>
      </w:r>
    </w:p>
    <w:p w14:paraId="610501BB" w14:textId="77777777" w:rsidR="00553FD5" w:rsidRPr="002805F3" w:rsidRDefault="00553FD5" w:rsidP="00C93734">
      <w:pPr>
        <w:pStyle w:val="BodyText"/>
        <w:jc w:val="both"/>
        <w:rPr>
          <w:szCs w:val="22"/>
        </w:rPr>
      </w:pPr>
      <w:r w:rsidRPr="002805F3">
        <w:rPr>
          <w:szCs w:val="22"/>
        </w:rPr>
        <w:t xml:space="preserve">Respondents were asked to describe their type of business. As shown in </w:t>
      </w:r>
      <w:r w:rsidR="00531C76">
        <w:rPr>
          <w:noProof/>
          <w:lang w:eastAsia="en-GB"/>
        </w:rPr>
        <w:t>Figure 0-1</w:t>
      </w:r>
      <w:r w:rsidRPr="002805F3">
        <w:rPr>
          <w:szCs w:val="22"/>
        </w:rPr>
        <w:t xml:space="preserve">, A high proportion of firms in all sectors indicated that they are a stand-alone operation, with a higher proportion in Food </w:t>
      </w:r>
      <w:r w:rsidR="000B3776">
        <w:rPr>
          <w:szCs w:val="22"/>
        </w:rPr>
        <w:t>m</w:t>
      </w:r>
      <w:r w:rsidR="000B3776" w:rsidRPr="002805F3">
        <w:rPr>
          <w:szCs w:val="22"/>
        </w:rPr>
        <w:t xml:space="preserve">anufacturing </w:t>
      </w:r>
      <w:r w:rsidRPr="002805F3">
        <w:rPr>
          <w:szCs w:val="22"/>
        </w:rPr>
        <w:t xml:space="preserve">saying they were a single site (84%) and very few </w:t>
      </w:r>
      <w:r w:rsidR="000B3776">
        <w:rPr>
          <w:szCs w:val="22"/>
        </w:rPr>
        <w:t>indicating</w:t>
      </w:r>
      <w:r w:rsidR="000B3776" w:rsidRPr="002805F3">
        <w:rPr>
          <w:szCs w:val="22"/>
        </w:rPr>
        <w:t xml:space="preserve"> </w:t>
      </w:r>
      <w:r w:rsidRPr="002805F3">
        <w:rPr>
          <w:szCs w:val="22"/>
        </w:rPr>
        <w:t>that they are multi-sites. A lower proportion of businesses in Ports &amp; Logistics were single site establishments (50.7%)</w:t>
      </w:r>
    </w:p>
    <w:p w14:paraId="1820446B" w14:textId="77777777" w:rsidR="00553FD5" w:rsidRPr="002805F3" w:rsidRDefault="00553FD5" w:rsidP="00C93734">
      <w:pPr>
        <w:pStyle w:val="BodyText"/>
        <w:jc w:val="both"/>
        <w:rPr>
          <w:szCs w:val="22"/>
        </w:rPr>
      </w:pPr>
      <w:r w:rsidRPr="002805F3">
        <w:rPr>
          <w:szCs w:val="22"/>
        </w:rPr>
        <w:t xml:space="preserve">The high proportion of stand-alone operations indicates the importance of relatively small firms within each of the sectors. These results need to be considered in combination with analysis of employment and firm size-bands. It shows the importance of SMEs and </w:t>
      </w:r>
      <w:r>
        <w:rPr>
          <w:szCs w:val="22"/>
        </w:rPr>
        <w:t>micro-f</w:t>
      </w:r>
      <w:r w:rsidRPr="002805F3">
        <w:rPr>
          <w:szCs w:val="22"/>
        </w:rPr>
        <w:t xml:space="preserve">irms is heightened for some sectors compared with others. It also demonstrates a high degree of industrial maturity which comes about from the development of well established networks of suppliers and customers. </w:t>
      </w:r>
    </w:p>
    <w:p w14:paraId="28ED7C69" w14:textId="77777777" w:rsidR="00553FD5" w:rsidRPr="002805F3" w:rsidRDefault="00553FD5" w:rsidP="00DF4291">
      <w:pPr>
        <w:pStyle w:val="Caption"/>
      </w:pPr>
      <w:bookmarkStart w:id="653" w:name="_Ref391911661"/>
      <w:bookmarkStart w:id="654" w:name="_Toc383159679"/>
      <w:r>
        <w:rPr>
          <w:noProof/>
          <w:lang w:eastAsia="en-GB"/>
        </w:rPr>
        <w:t xml:space="preserve">Figure </w:t>
      </w:r>
      <w:fldSimple w:instr=" STYLEREF 1 \s  \* MERGEFORMAT ">
        <w:r w:rsidR="00E95E1A">
          <w:rPr>
            <w:noProof/>
            <w:lang w:eastAsia="en-GB"/>
          </w:rPr>
          <w:t>0</w:t>
        </w:r>
      </w:fldSimple>
      <w:r>
        <w:rPr>
          <w:noProof/>
          <w:lang w:eastAsia="en-GB"/>
        </w:rPr>
        <w:t>-</w:t>
      </w:r>
      <w:fldSimple w:instr=" SEQ Figure \* ARABIC \s 1  \* MERGEFORMAT ">
        <w:r w:rsidR="00E95E1A">
          <w:rPr>
            <w:noProof/>
            <w:lang w:eastAsia="en-GB"/>
          </w:rPr>
          <w:t>1</w:t>
        </w:r>
      </w:fldSimple>
      <w:bookmarkEnd w:id="653"/>
      <w:r>
        <w:rPr>
          <w:noProof/>
          <w:lang w:eastAsia="en-GB"/>
        </w:rPr>
        <w:tab/>
        <w:t>Description of Type of Business</w:t>
      </w:r>
      <w:r w:rsidR="00BA1CE7">
        <w:rPr>
          <w:noProof/>
          <w:lang w:eastAsia="en-GB"/>
        </w:rPr>
        <w:drawing>
          <wp:inline distT="0" distB="0" distL="0" distR="0" wp14:anchorId="6C02C051" wp14:editId="4098D2C5">
            <wp:extent cx="5943600" cy="3661410"/>
            <wp:effectExtent l="0" t="0" r="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bookmarkEnd w:id="654"/>
    </w:p>
    <w:p w14:paraId="39CAA32F" w14:textId="77777777" w:rsidR="00553FD5" w:rsidRPr="002805F3" w:rsidRDefault="00553FD5" w:rsidP="00C93734">
      <w:pPr>
        <w:pStyle w:val="TableSource"/>
        <w:jc w:val="both"/>
      </w:pPr>
      <w:r w:rsidRPr="002805F3">
        <w:t>Source: Hill Taylor and Atkins 2013. Atkins Ref: Survey –A13</w:t>
      </w:r>
    </w:p>
    <w:p w14:paraId="2DE31027" w14:textId="77777777" w:rsidR="00553FD5" w:rsidRPr="002805F3" w:rsidRDefault="00553FD5" w:rsidP="00C93734">
      <w:pPr>
        <w:pStyle w:val="Heading8"/>
        <w:jc w:val="both"/>
      </w:pPr>
      <w:r w:rsidRPr="002805F3">
        <w:t xml:space="preserve">Financial Performance </w:t>
      </w:r>
    </w:p>
    <w:p w14:paraId="7AEF65FB" w14:textId="77777777" w:rsidR="00553FD5" w:rsidRPr="002805F3" w:rsidRDefault="00553FD5" w:rsidP="00C93734">
      <w:pPr>
        <w:pStyle w:val="BodyText"/>
        <w:jc w:val="both"/>
        <w:rPr>
          <w:szCs w:val="22"/>
        </w:rPr>
      </w:pPr>
      <w:r w:rsidRPr="002805F3">
        <w:rPr>
          <w:szCs w:val="22"/>
        </w:rPr>
        <w:t xml:space="preserve">Respondents were asked what proportion of their annual turnover was attributable to total purchases, wages, rent and other costs, and gross profit. </w:t>
      </w:r>
      <w:r>
        <w:rPr>
          <w:szCs w:val="22"/>
        </w:rPr>
        <w:t xml:space="preserve">Pay roll is highest in Chemicals and Process Industries, whilst the lowest in Food Manufacturing. </w:t>
      </w:r>
      <w:r w:rsidRPr="002805F3">
        <w:rPr>
          <w:szCs w:val="22"/>
        </w:rPr>
        <w:t xml:space="preserve">These results demonstrate some of the reasoning behind increased mechanisation of activities in some of the core sectors due to high cost of </w:t>
      </w:r>
      <w:r>
        <w:rPr>
          <w:szCs w:val="22"/>
        </w:rPr>
        <w:t>w</w:t>
      </w:r>
      <w:r w:rsidRPr="002805F3">
        <w:rPr>
          <w:szCs w:val="22"/>
        </w:rPr>
        <w:t>ages</w:t>
      </w:r>
      <w:r>
        <w:rPr>
          <w:szCs w:val="22"/>
        </w:rPr>
        <w:t xml:space="preserve"> (e.g. in Chemicals and Process Industries) but also a need to increase the margin on products (e.g. Food manufacturing).</w:t>
      </w:r>
      <w:r w:rsidRPr="002805F3">
        <w:rPr>
          <w:szCs w:val="22"/>
        </w:rPr>
        <w:t xml:space="preserve"> </w:t>
      </w:r>
      <w:r>
        <w:rPr>
          <w:szCs w:val="22"/>
        </w:rPr>
        <w:t>Qualitative information from interviews suggested that the cost of land and property to Renewables may be smaller than other sectors due to</w:t>
      </w:r>
      <w:r w:rsidR="000B3776">
        <w:rPr>
          <w:szCs w:val="22"/>
        </w:rPr>
        <w:t xml:space="preserve"> existing</w:t>
      </w:r>
      <w:r>
        <w:rPr>
          <w:szCs w:val="22"/>
        </w:rPr>
        <w:t xml:space="preserve"> incentives and the current focus upon O&amp;M activities. </w:t>
      </w:r>
      <w:r w:rsidRPr="002805F3">
        <w:rPr>
          <w:szCs w:val="22"/>
        </w:rPr>
        <w:t xml:space="preserve">The results are shown in the </w:t>
      </w:r>
      <w:r w:rsidR="00531C76">
        <w:t xml:space="preserve">Table </w:t>
      </w:r>
      <w:r w:rsidR="00531C76">
        <w:rPr>
          <w:noProof/>
        </w:rPr>
        <w:t>0-14</w:t>
      </w:r>
      <w:r w:rsidR="00505915">
        <w:rPr>
          <w:szCs w:val="22"/>
        </w:rPr>
        <w:t xml:space="preserve"> </w:t>
      </w:r>
      <w:r w:rsidRPr="002805F3">
        <w:rPr>
          <w:szCs w:val="22"/>
        </w:rPr>
        <w:t xml:space="preserve">below. </w:t>
      </w:r>
    </w:p>
    <w:p w14:paraId="4D2848C4" w14:textId="77777777" w:rsidR="00E113F0" w:rsidRDefault="00E113F0">
      <w:pPr>
        <w:spacing w:after="200" w:line="276" w:lineRule="auto"/>
        <w:rPr>
          <w:b/>
          <w:bCs/>
          <w:szCs w:val="18"/>
        </w:rPr>
      </w:pPr>
      <w:bookmarkStart w:id="655" w:name="_Ref391911680"/>
      <w:bookmarkStart w:id="656" w:name="_Toc383159715"/>
      <w:r>
        <w:br w:type="page"/>
      </w:r>
    </w:p>
    <w:p w14:paraId="1D7C6757" w14:textId="77777777" w:rsidR="00553FD5" w:rsidRDefault="00553FD5" w:rsidP="00C93734">
      <w:pPr>
        <w:pStyle w:val="Caption"/>
        <w:jc w:val="both"/>
      </w:pPr>
      <w:r>
        <w:t xml:space="preserve">Table </w:t>
      </w:r>
      <w:fldSimple w:instr=" STYLEREF 1 \s  \* MERGEFORMAT ">
        <w:r w:rsidR="00E95E1A">
          <w:rPr>
            <w:noProof/>
          </w:rPr>
          <w:t>0</w:t>
        </w:r>
      </w:fldSimple>
      <w:r>
        <w:t>-</w:t>
      </w:r>
      <w:fldSimple w:instr=" SEQ Table \* ARABIC \s 1  \* MERGEFORMAT ">
        <w:r w:rsidR="00E95E1A">
          <w:rPr>
            <w:noProof/>
          </w:rPr>
          <w:t>14</w:t>
        </w:r>
      </w:fldSimple>
      <w:bookmarkEnd w:id="655"/>
      <w:r>
        <w:tab/>
        <w:t>Breakdown of Annual Turnover</w:t>
      </w:r>
      <w:bookmarkEnd w:id="656"/>
      <w:r>
        <w:t xml:space="preserve"> </w:t>
      </w:r>
    </w:p>
    <w:tbl>
      <w:tblPr>
        <w:tblStyle w:val="Atkins14pt"/>
        <w:tblW w:w="9639" w:type="dxa"/>
        <w:tblLayout w:type="fixed"/>
        <w:tblLook w:val="04A0" w:firstRow="1" w:lastRow="0" w:firstColumn="1" w:lastColumn="0" w:noHBand="0" w:noVBand="1"/>
      </w:tblPr>
      <w:tblGrid>
        <w:gridCol w:w="1843"/>
        <w:gridCol w:w="1559"/>
        <w:gridCol w:w="1559"/>
        <w:gridCol w:w="1559"/>
        <w:gridCol w:w="1559"/>
        <w:gridCol w:w="1560"/>
      </w:tblGrid>
      <w:tr w:rsidR="00553FD5" w:rsidRPr="00DC3863" w14:paraId="10BB45DB" w14:textId="77777777" w:rsidTr="007A149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843" w:type="dxa"/>
            <w:noWrap/>
            <w:hideMark/>
          </w:tcPr>
          <w:p w14:paraId="489529CE" w14:textId="77777777" w:rsidR="00553FD5" w:rsidRPr="00DC3863" w:rsidRDefault="00553FD5" w:rsidP="00C93734">
            <w:pPr>
              <w:pStyle w:val="TableHeading"/>
              <w:jc w:val="both"/>
              <w:rPr>
                <w:color w:val="394A58"/>
              </w:rPr>
            </w:pPr>
          </w:p>
        </w:tc>
        <w:tc>
          <w:tcPr>
            <w:tcW w:w="1559" w:type="dxa"/>
            <w:noWrap/>
            <w:hideMark/>
          </w:tcPr>
          <w:p w14:paraId="1D719C54" w14:textId="77777777" w:rsidR="00553FD5" w:rsidRPr="00DC3863" w:rsidRDefault="00553FD5" w:rsidP="00C93734">
            <w:pPr>
              <w:pStyle w:val="TableHeading"/>
              <w:jc w:val="both"/>
              <w:cnfStyle w:val="100000000000" w:firstRow="1" w:lastRow="0" w:firstColumn="0" w:lastColumn="0" w:oddVBand="0" w:evenVBand="0" w:oddHBand="0" w:evenHBand="0" w:firstRowFirstColumn="0" w:firstRowLastColumn="0" w:lastRowFirstColumn="0" w:lastRowLastColumn="0"/>
              <w:rPr>
                <w:color w:val="auto"/>
              </w:rPr>
            </w:pPr>
            <w:r w:rsidRPr="00DC3863">
              <w:rPr>
                <w:color w:val="auto"/>
              </w:rPr>
              <w:t>Renewables</w:t>
            </w:r>
          </w:p>
        </w:tc>
        <w:tc>
          <w:tcPr>
            <w:tcW w:w="1559" w:type="dxa"/>
            <w:noWrap/>
            <w:hideMark/>
          </w:tcPr>
          <w:p w14:paraId="2A8709D9" w14:textId="77777777" w:rsidR="00553FD5" w:rsidRPr="00DC3863" w:rsidRDefault="00553FD5" w:rsidP="00C93734">
            <w:pPr>
              <w:pStyle w:val="TableHeading"/>
              <w:jc w:val="both"/>
              <w:cnfStyle w:val="100000000000" w:firstRow="1" w:lastRow="0" w:firstColumn="0" w:lastColumn="0" w:oddVBand="0" w:evenVBand="0" w:oddHBand="0" w:evenHBand="0" w:firstRowFirstColumn="0" w:firstRowLastColumn="0" w:lastRowFirstColumn="0" w:lastRowLastColumn="0"/>
              <w:rPr>
                <w:color w:val="auto"/>
              </w:rPr>
            </w:pPr>
            <w:r w:rsidRPr="00DC3863">
              <w:rPr>
                <w:color w:val="auto"/>
              </w:rPr>
              <w:t>Ports &amp; Logistics</w:t>
            </w:r>
          </w:p>
        </w:tc>
        <w:tc>
          <w:tcPr>
            <w:tcW w:w="1559" w:type="dxa"/>
            <w:noWrap/>
            <w:hideMark/>
          </w:tcPr>
          <w:p w14:paraId="1991A0AD" w14:textId="77777777" w:rsidR="00553FD5" w:rsidRPr="00DC3863" w:rsidRDefault="00553FD5" w:rsidP="00C93734">
            <w:pPr>
              <w:pStyle w:val="TableHeading"/>
              <w:jc w:val="both"/>
              <w:cnfStyle w:val="100000000000" w:firstRow="1" w:lastRow="0" w:firstColumn="0" w:lastColumn="0" w:oddVBand="0" w:evenVBand="0" w:oddHBand="0" w:evenHBand="0" w:firstRowFirstColumn="0" w:firstRowLastColumn="0" w:lastRowFirstColumn="0" w:lastRowLastColumn="0"/>
              <w:rPr>
                <w:color w:val="auto"/>
              </w:rPr>
            </w:pPr>
            <w:r w:rsidRPr="00DC3863">
              <w:rPr>
                <w:color w:val="auto"/>
              </w:rPr>
              <w:t>Food manufacturing</w:t>
            </w:r>
          </w:p>
        </w:tc>
        <w:tc>
          <w:tcPr>
            <w:tcW w:w="1559" w:type="dxa"/>
            <w:noWrap/>
            <w:hideMark/>
          </w:tcPr>
          <w:p w14:paraId="02CDD455" w14:textId="77777777" w:rsidR="00553FD5" w:rsidRPr="00DC3863" w:rsidRDefault="00553FD5" w:rsidP="00C93734">
            <w:pPr>
              <w:pStyle w:val="TableHeading"/>
              <w:jc w:val="both"/>
              <w:cnfStyle w:val="100000000000" w:firstRow="1" w:lastRow="0" w:firstColumn="0" w:lastColumn="0" w:oddVBand="0" w:evenVBand="0" w:oddHBand="0" w:evenHBand="0" w:firstRowFirstColumn="0" w:firstRowLastColumn="0" w:lastRowFirstColumn="0" w:lastRowLastColumn="0"/>
              <w:rPr>
                <w:color w:val="auto"/>
              </w:rPr>
            </w:pPr>
            <w:r w:rsidRPr="00DC3863">
              <w:rPr>
                <w:color w:val="auto"/>
              </w:rPr>
              <w:t>Chemicals &amp; process industries</w:t>
            </w:r>
          </w:p>
        </w:tc>
        <w:tc>
          <w:tcPr>
            <w:tcW w:w="1560" w:type="dxa"/>
            <w:noWrap/>
            <w:hideMark/>
          </w:tcPr>
          <w:p w14:paraId="2D577F4C" w14:textId="77777777" w:rsidR="00553FD5" w:rsidRPr="00DC3863" w:rsidRDefault="00553FD5" w:rsidP="00C93734">
            <w:pPr>
              <w:pStyle w:val="TableHeading"/>
              <w:jc w:val="both"/>
              <w:cnfStyle w:val="100000000000" w:firstRow="1" w:lastRow="0" w:firstColumn="0" w:lastColumn="0" w:oddVBand="0" w:evenVBand="0" w:oddHBand="0" w:evenHBand="0" w:firstRowFirstColumn="0" w:firstRowLastColumn="0" w:lastRowFirstColumn="0" w:lastRowLastColumn="0"/>
              <w:rPr>
                <w:color w:val="auto"/>
              </w:rPr>
            </w:pPr>
            <w:r w:rsidRPr="00DC3863">
              <w:rPr>
                <w:color w:val="auto"/>
              </w:rPr>
              <w:t>Visitor Economy &amp; Retail</w:t>
            </w:r>
          </w:p>
        </w:tc>
      </w:tr>
      <w:tr w:rsidR="00553FD5" w:rsidRPr="00DC3863" w14:paraId="3A591A6D"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B73925C" w14:textId="77777777" w:rsidR="00553FD5" w:rsidRPr="00DC3863" w:rsidRDefault="00553FD5" w:rsidP="00C93734">
            <w:pPr>
              <w:pStyle w:val="TableHeading"/>
              <w:ind w:right="202"/>
              <w:jc w:val="both"/>
              <w:rPr>
                <w:b w:val="0"/>
                <w:color w:val="auto"/>
              </w:rPr>
            </w:pPr>
            <w:r w:rsidRPr="00DC3863">
              <w:rPr>
                <w:b w:val="0"/>
                <w:color w:val="auto"/>
              </w:rPr>
              <w:t>Total Purchases</w:t>
            </w:r>
          </w:p>
        </w:tc>
        <w:tc>
          <w:tcPr>
            <w:tcW w:w="1559" w:type="dxa"/>
            <w:noWrap/>
            <w:hideMark/>
          </w:tcPr>
          <w:p w14:paraId="1BC2CF48" w14:textId="77777777" w:rsidR="00553FD5" w:rsidRPr="00DC3863" w:rsidRDefault="00553FD5"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35%</w:t>
            </w:r>
          </w:p>
        </w:tc>
        <w:tc>
          <w:tcPr>
            <w:tcW w:w="1559" w:type="dxa"/>
            <w:noWrap/>
            <w:hideMark/>
          </w:tcPr>
          <w:p w14:paraId="1B96BA60" w14:textId="77777777" w:rsidR="00553FD5" w:rsidRPr="00DC3863" w:rsidRDefault="00553FD5"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41%</w:t>
            </w:r>
          </w:p>
        </w:tc>
        <w:tc>
          <w:tcPr>
            <w:tcW w:w="1559" w:type="dxa"/>
            <w:noWrap/>
            <w:hideMark/>
          </w:tcPr>
          <w:p w14:paraId="0078B7B7" w14:textId="77777777" w:rsidR="00553FD5" w:rsidRPr="00DC3863" w:rsidRDefault="00553FD5"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50%</w:t>
            </w:r>
          </w:p>
        </w:tc>
        <w:tc>
          <w:tcPr>
            <w:tcW w:w="1559" w:type="dxa"/>
            <w:noWrap/>
            <w:hideMark/>
          </w:tcPr>
          <w:p w14:paraId="322C9BDB" w14:textId="77777777" w:rsidR="00553FD5" w:rsidRPr="00DC3863" w:rsidRDefault="00553FD5"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34%</w:t>
            </w:r>
          </w:p>
        </w:tc>
        <w:tc>
          <w:tcPr>
            <w:tcW w:w="1560" w:type="dxa"/>
            <w:noWrap/>
            <w:hideMark/>
          </w:tcPr>
          <w:p w14:paraId="7463F91F" w14:textId="77777777" w:rsidR="00553FD5" w:rsidRPr="00DC3863" w:rsidRDefault="00553FD5"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36%</w:t>
            </w:r>
          </w:p>
        </w:tc>
      </w:tr>
      <w:tr w:rsidR="00553FD5" w:rsidRPr="00DC3863" w14:paraId="40015BF0"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757A915" w14:textId="77777777" w:rsidR="00553FD5" w:rsidRPr="00DC3863" w:rsidRDefault="00553FD5" w:rsidP="00C93734">
            <w:pPr>
              <w:pStyle w:val="TableHeading"/>
              <w:ind w:right="202"/>
              <w:jc w:val="both"/>
              <w:rPr>
                <w:b w:val="0"/>
                <w:color w:val="auto"/>
              </w:rPr>
            </w:pPr>
            <w:r w:rsidRPr="00DC3863">
              <w:rPr>
                <w:b w:val="0"/>
                <w:color w:val="auto"/>
              </w:rPr>
              <w:t>Payroll</w:t>
            </w:r>
          </w:p>
        </w:tc>
        <w:tc>
          <w:tcPr>
            <w:tcW w:w="1559" w:type="dxa"/>
            <w:noWrap/>
            <w:hideMark/>
          </w:tcPr>
          <w:p w14:paraId="48FE4A2B" w14:textId="77777777" w:rsidR="00553FD5" w:rsidRPr="00DC3863" w:rsidRDefault="00553FD5"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25%</w:t>
            </w:r>
          </w:p>
        </w:tc>
        <w:tc>
          <w:tcPr>
            <w:tcW w:w="1559" w:type="dxa"/>
            <w:noWrap/>
            <w:hideMark/>
          </w:tcPr>
          <w:p w14:paraId="5E702EA8" w14:textId="77777777" w:rsidR="00553FD5" w:rsidRPr="00DC3863" w:rsidRDefault="00553FD5"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25%</w:t>
            </w:r>
          </w:p>
        </w:tc>
        <w:tc>
          <w:tcPr>
            <w:tcW w:w="1559" w:type="dxa"/>
            <w:noWrap/>
            <w:hideMark/>
          </w:tcPr>
          <w:p w14:paraId="10BAD779" w14:textId="77777777" w:rsidR="00553FD5" w:rsidRPr="00DC3863" w:rsidRDefault="00553FD5"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17%</w:t>
            </w:r>
          </w:p>
        </w:tc>
        <w:tc>
          <w:tcPr>
            <w:tcW w:w="1559" w:type="dxa"/>
            <w:noWrap/>
            <w:hideMark/>
          </w:tcPr>
          <w:p w14:paraId="6AE8FAC5" w14:textId="77777777" w:rsidR="00553FD5" w:rsidRPr="00DC3863" w:rsidRDefault="00553FD5"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40%</w:t>
            </w:r>
          </w:p>
        </w:tc>
        <w:tc>
          <w:tcPr>
            <w:tcW w:w="1560" w:type="dxa"/>
            <w:noWrap/>
            <w:hideMark/>
          </w:tcPr>
          <w:p w14:paraId="06E95227" w14:textId="77777777" w:rsidR="00553FD5" w:rsidRPr="00DC3863" w:rsidRDefault="00553FD5"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23%</w:t>
            </w:r>
          </w:p>
        </w:tc>
      </w:tr>
      <w:tr w:rsidR="00553FD5" w:rsidRPr="00DC3863" w14:paraId="641EDC8E"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F30E1C1" w14:textId="77777777" w:rsidR="00553FD5" w:rsidRPr="00DC3863" w:rsidRDefault="00553FD5" w:rsidP="00C93734">
            <w:pPr>
              <w:pStyle w:val="TableHeading"/>
              <w:ind w:right="202"/>
              <w:jc w:val="both"/>
              <w:rPr>
                <w:b w:val="0"/>
                <w:color w:val="auto"/>
              </w:rPr>
            </w:pPr>
            <w:r w:rsidRPr="00DC3863">
              <w:rPr>
                <w:b w:val="0"/>
                <w:color w:val="auto"/>
              </w:rPr>
              <w:t>Land property</w:t>
            </w:r>
          </w:p>
        </w:tc>
        <w:tc>
          <w:tcPr>
            <w:tcW w:w="1559" w:type="dxa"/>
            <w:noWrap/>
            <w:hideMark/>
          </w:tcPr>
          <w:p w14:paraId="61515B3D" w14:textId="77777777" w:rsidR="00553FD5" w:rsidRPr="00DC3863" w:rsidRDefault="00553FD5"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Pr>
                <w:b w:val="0"/>
                <w:color w:val="auto"/>
              </w:rPr>
              <w:t>7</w:t>
            </w:r>
            <w:r w:rsidRPr="00DC3863">
              <w:rPr>
                <w:b w:val="0"/>
                <w:color w:val="auto"/>
              </w:rPr>
              <w:t>%</w:t>
            </w:r>
          </w:p>
        </w:tc>
        <w:tc>
          <w:tcPr>
            <w:tcW w:w="1559" w:type="dxa"/>
            <w:noWrap/>
            <w:hideMark/>
          </w:tcPr>
          <w:p w14:paraId="092620DC" w14:textId="77777777" w:rsidR="00553FD5" w:rsidRPr="00DC3863" w:rsidRDefault="00553FD5"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10%</w:t>
            </w:r>
          </w:p>
        </w:tc>
        <w:tc>
          <w:tcPr>
            <w:tcW w:w="1559" w:type="dxa"/>
            <w:noWrap/>
            <w:hideMark/>
          </w:tcPr>
          <w:p w14:paraId="16C74867" w14:textId="77777777" w:rsidR="00553FD5" w:rsidRPr="00DC3863" w:rsidRDefault="00553FD5"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11%</w:t>
            </w:r>
          </w:p>
        </w:tc>
        <w:tc>
          <w:tcPr>
            <w:tcW w:w="1559" w:type="dxa"/>
            <w:noWrap/>
            <w:hideMark/>
          </w:tcPr>
          <w:p w14:paraId="76315EE6" w14:textId="77777777" w:rsidR="00553FD5" w:rsidRPr="00DC3863" w:rsidRDefault="00553FD5"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Pr>
                <w:b w:val="0"/>
                <w:color w:val="auto"/>
              </w:rPr>
              <w:t>9</w:t>
            </w:r>
            <w:r w:rsidRPr="00DC3863">
              <w:rPr>
                <w:b w:val="0"/>
                <w:color w:val="auto"/>
              </w:rPr>
              <w:t>%</w:t>
            </w:r>
          </w:p>
        </w:tc>
        <w:tc>
          <w:tcPr>
            <w:tcW w:w="1560" w:type="dxa"/>
            <w:noWrap/>
            <w:hideMark/>
          </w:tcPr>
          <w:p w14:paraId="5F128255" w14:textId="77777777" w:rsidR="00553FD5" w:rsidRPr="00DC3863" w:rsidRDefault="00553FD5"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14%</w:t>
            </w:r>
          </w:p>
        </w:tc>
      </w:tr>
      <w:tr w:rsidR="00553FD5" w:rsidRPr="00DC3863" w14:paraId="3A8CCE6D"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F002016" w14:textId="77777777" w:rsidR="00553FD5" w:rsidRPr="00DC3863" w:rsidRDefault="00553FD5" w:rsidP="00C93734">
            <w:pPr>
              <w:pStyle w:val="TableHeading"/>
              <w:ind w:right="202"/>
              <w:jc w:val="both"/>
              <w:rPr>
                <w:b w:val="0"/>
                <w:color w:val="auto"/>
              </w:rPr>
            </w:pPr>
            <w:r w:rsidRPr="00DC3863">
              <w:rPr>
                <w:b w:val="0"/>
                <w:color w:val="auto"/>
              </w:rPr>
              <w:t>Gross Profit</w:t>
            </w:r>
          </w:p>
        </w:tc>
        <w:tc>
          <w:tcPr>
            <w:tcW w:w="1559" w:type="dxa"/>
            <w:noWrap/>
            <w:hideMark/>
          </w:tcPr>
          <w:p w14:paraId="12DBA012" w14:textId="77777777" w:rsidR="00553FD5" w:rsidRPr="00DC3863" w:rsidRDefault="00553FD5"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31%</w:t>
            </w:r>
          </w:p>
        </w:tc>
        <w:tc>
          <w:tcPr>
            <w:tcW w:w="1559" w:type="dxa"/>
            <w:noWrap/>
            <w:hideMark/>
          </w:tcPr>
          <w:p w14:paraId="0E988F3C" w14:textId="77777777" w:rsidR="00553FD5" w:rsidRPr="00DC3863" w:rsidRDefault="00553FD5"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26%</w:t>
            </w:r>
          </w:p>
        </w:tc>
        <w:tc>
          <w:tcPr>
            <w:tcW w:w="1559" w:type="dxa"/>
            <w:noWrap/>
            <w:hideMark/>
          </w:tcPr>
          <w:p w14:paraId="0DBBA939" w14:textId="77777777" w:rsidR="00553FD5" w:rsidRPr="00DC3863" w:rsidRDefault="00553FD5"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25%</w:t>
            </w:r>
          </w:p>
        </w:tc>
        <w:tc>
          <w:tcPr>
            <w:tcW w:w="1559" w:type="dxa"/>
            <w:noWrap/>
            <w:hideMark/>
          </w:tcPr>
          <w:p w14:paraId="73579A90" w14:textId="77777777" w:rsidR="00553FD5" w:rsidRPr="00DC3863" w:rsidRDefault="00553FD5"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17%</w:t>
            </w:r>
          </w:p>
        </w:tc>
        <w:tc>
          <w:tcPr>
            <w:tcW w:w="1560" w:type="dxa"/>
            <w:noWrap/>
            <w:hideMark/>
          </w:tcPr>
          <w:p w14:paraId="02D1829F" w14:textId="77777777" w:rsidR="00553FD5" w:rsidRPr="00DC3863" w:rsidRDefault="00553FD5" w:rsidP="00C93734">
            <w:pPr>
              <w:pStyle w:val="TableHeading"/>
              <w:ind w:right="202"/>
              <w:jc w:val="both"/>
              <w:cnfStyle w:val="000000000000" w:firstRow="0" w:lastRow="0" w:firstColumn="0" w:lastColumn="0" w:oddVBand="0" w:evenVBand="0" w:oddHBand="0" w:evenHBand="0" w:firstRowFirstColumn="0" w:firstRowLastColumn="0" w:lastRowFirstColumn="0" w:lastRowLastColumn="0"/>
              <w:rPr>
                <w:b w:val="0"/>
                <w:color w:val="auto"/>
              </w:rPr>
            </w:pPr>
            <w:r w:rsidRPr="00DC3863">
              <w:rPr>
                <w:b w:val="0"/>
                <w:color w:val="auto"/>
              </w:rPr>
              <w:t>25%</w:t>
            </w:r>
          </w:p>
        </w:tc>
      </w:tr>
    </w:tbl>
    <w:p w14:paraId="46D7FC13" w14:textId="77777777" w:rsidR="00553FD5" w:rsidRPr="002805F3" w:rsidRDefault="00553FD5" w:rsidP="00C93734">
      <w:pPr>
        <w:pStyle w:val="TableSource"/>
        <w:jc w:val="both"/>
      </w:pPr>
      <w:r w:rsidRPr="002805F3">
        <w:t>Source: Hill Taylor and Atkins 2013. Atkins Ref: Survey –A14</w:t>
      </w:r>
      <w:r>
        <w:t>. Note: Figures do not add up to 100% because of rounding.</w:t>
      </w:r>
    </w:p>
    <w:p w14:paraId="66EE3287" w14:textId="77777777" w:rsidR="00553FD5" w:rsidRPr="002805F3" w:rsidRDefault="00553FD5" w:rsidP="00C93734">
      <w:pPr>
        <w:pStyle w:val="Heading8"/>
        <w:jc w:val="both"/>
      </w:pPr>
      <w:r w:rsidRPr="002805F3">
        <w:t>Supply Chain</w:t>
      </w:r>
    </w:p>
    <w:p w14:paraId="5B1545C6" w14:textId="77777777" w:rsidR="00553FD5" w:rsidRPr="002805F3" w:rsidRDefault="00553FD5" w:rsidP="00C93734">
      <w:pPr>
        <w:pStyle w:val="BodyText"/>
        <w:jc w:val="both"/>
      </w:pPr>
      <w:r w:rsidRPr="002805F3">
        <w:t xml:space="preserve">Energy &amp; utilities, </w:t>
      </w:r>
      <w:r w:rsidR="000B3776">
        <w:t>m</w:t>
      </w:r>
      <w:r w:rsidR="000B3776" w:rsidRPr="002805F3">
        <w:t xml:space="preserve">anufactured </w:t>
      </w:r>
      <w:r w:rsidRPr="002805F3">
        <w:t xml:space="preserve">components &amp; products and </w:t>
      </w:r>
      <w:r w:rsidR="000B3776">
        <w:t>f</w:t>
      </w:r>
      <w:r w:rsidR="000B3776" w:rsidRPr="002805F3">
        <w:t xml:space="preserve">inancial </w:t>
      </w:r>
      <w:r w:rsidRPr="002805F3">
        <w:t>&amp; insurance services were most</w:t>
      </w:r>
      <w:r w:rsidR="000B3776">
        <w:t xml:space="preserve"> </w:t>
      </w:r>
      <w:r w:rsidRPr="002805F3">
        <w:t xml:space="preserve">cited as the types of goods and services most commonly purchased. </w:t>
      </w:r>
      <w:r>
        <w:t xml:space="preserve"> Some energy and utility concerns were identified in the interviews and this table shows how firms in the key sectors rely on energy &amp; utility products. Manufacturing as a wider economic activity is key across many of the key sectors (not </w:t>
      </w:r>
      <w:r w:rsidR="000B3776">
        <w:t xml:space="preserve">Visitor </w:t>
      </w:r>
      <w:r>
        <w:t>economy &amp; retail) and shows how the fortunes of the wider manufacturing sector are also important.</w:t>
      </w:r>
    </w:p>
    <w:p w14:paraId="5A22A9E0" w14:textId="77777777" w:rsidR="00553FD5" w:rsidRDefault="00553FD5" w:rsidP="00C93734">
      <w:pPr>
        <w:pStyle w:val="Caption"/>
        <w:jc w:val="both"/>
      </w:pPr>
      <w:bookmarkStart w:id="657" w:name="_Toc383159716"/>
      <w:r>
        <w:t xml:space="preserve">Table </w:t>
      </w:r>
      <w:fldSimple w:instr=" STYLEREF 1 \s  \* MERGEFORMAT ">
        <w:r w:rsidR="00E95E1A">
          <w:rPr>
            <w:noProof/>
          </w:rPr>
          <w:t>0</w:t>
        </w:r>
      </w:fldSimple>
      <w:r>
        <w:t>-</w:t>
      </w:r>
      <w:fldSimple w:instr=" SEQ Table \* ARABIC \s 1  \* MERGEFORMAT ">
        <w:r w:rsidR="00E95E1A">
          <w:rPr>
            <w:noProof/>
          </w:rPr>
          <w:t>15</w:t>
        </w:r>
      </w:fldSimple>
      <w:r>
        <w:tab/>
        <w:t>Types of Goods &amp; Services Purchased</w:t>
      </w:r>
      <w:bookmarkEnd w:id="657"/>
      <w:r>
        <w:t xml:space="preserve"> </w:t>
      </w:r>
    </w:p>
    <w:tbl>
      <w:tblPr>
        <w:tblStyle w:val="Atkins14pt"/>
        <w:tblW w:w="10060" w:type="dxa"/>
        <w:tblLook w:val="04A0" w:firstRow="1" w:lastRow="0" w:firstColumn="1" w:lastColumn="0" w:noHBand="0" w:noVBand="1"/>
      </w:tblPr>
      <w:tblGrid>
        <w:gridCol w:w="3261"/>
        <w:gridCol w:w="1427"/>
        <w:gridCol w:w="1282"/>
        <w:gridCol w:w="1611"/>
        <w:gridCol w:w="1243"/>
        <w:gridCol w:w="1236"/>
      </w:tblGrid>
      <w:tr w:rsidR="00553FD5" w:rsidRPr="002805F3" w14:paraId="1F6D75D5" w14:textId="77777777" w:rsidTr="007A149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61" w:type="dxa"/>
            <w:noWrap/>
            <w:hideMark/>
          </w:tcPr>
          <w:p w14:paraId="7EDBD442" w14:textId="77777777" w:rsidR="00553FD5" w:rsidRPr="00DC3863" w:rsidRDefault="00553FD5" w:rsidP="00C93734">
            <w:pPr>
              <w:spacing w:after="0"/>
              <w:jc w:val="both"/>
              <w:rPr>
                <w:color w:val="000000"/>
              </w:rPr>
            </w:pPr>
            <w:r>
              <w:rPr>
                <w:color w:val="000000"/>
              </w:rPr>
              <w:t>Supply Chain Element</w:t>
            </w:r>
          </w:p>
        </w:tc>
        <w:tc>
          <w:tcPr>
            <w:tcW w:w="1427" w:type="dxa"/>
            <w:noWrap/>
            <w:hideMark/>
          </w:tcPr>
          <w:p w14:paraId="526AD8AB" w14:textId="77777777" w:rsidR="00553FD5" w:rsidRPr="00DC3863" w:rsidRDefault="00553FD5" w:rsidP="00C93734">
            <w:pPr>
              <w:spacing w:after="0"/>
              <w:jc w:val="both"/>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Renewables</w:t>
            </w:r>
          </w:p>
        </w:tc>
        <w:tc>
          <w:tcPr>
            <w:tcW w:w="1282" w:type="dxa"/>
            <w:noWrap/>
            <w:hideMark/>
          </w:tcPr>
          <w:p w14:paraId="6806F927" w14:textId="77777777" w:rsidR="00553FD5" w:rsidRPr="00DC3863" w:rsidRDefault="00553FD5" w:rsidP="00C93734">
            <w:pPr>
              <w:spacing w:after="0"/>
              <w:jc w:val="both"/>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Ports &amp; Logistics</w:t>
            </w:r>
          </w:p>
        </w:tc>
        <w:tc>
          <w:tcPr>
            <w:tcW w:w="1611" w:type="dxa"/>
            <w:noWrap/>
            <w:hideMark/>
          </w:tcPr>
          <w:p w14:paraId="6E912F9F" w14:textId="77777777" w:rsidR="00553FD5" w:rsidRPr="00DC3863" w:rsidRDefault="00553FD5" w:rsidP="00C93734">
            <w:pPr>
              <w:spacing w:after="0"/>
              <w:jc w:val="both"/>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Food manufacturing</w:t>
            </w:r>
          </w:p>
        </w:tc>
        <w:tc>
          <w:tcPr>
            <w:tcW w:w="1243" w:type="dxa"/>
            <w:noWrap/>
            <w:hideMark/>
          </w:tcPr>
          <w:p w14:paraId="52DCDA86" w14:textId="77777777" w:rsidR="00553FD5" w:rsidRPr="00DC3863" w:rsidRDefault="00553FD5" w:rsidP="00C93734">
            <w:pPr>
              <w:spacing w:after="0"/>
              <w:jc w:val="both"/>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Chemicals &amp; process industries</w:t>
            </w:r>
          </w:p>
        </w:tc>
        <w:tc>
          <w:tcPr>
            <w:tcW w:w="1236" w:type="dxa"/>
            <w:noWrap/>
            <w:hideMark/>
          </w:tcPr>
          <w:p w14:paraId="7DB838F1" w14:textId="77777777" w:rsidR="00553FD5" w:rsidRPr="00DC3863" w:rsidRDefault="00553FD5" w:rsidP="00C93734">
            <w:pPr>
              <w:spacing w:after="0"/>
              <w:jc w:val="both"/>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Visitor Economy &amp; Retail</w:t>
            </w:r>
          </w:p>
        </w:tc>
      </w:tr>
      <w:tr w:rsidR="00553FD5" w:rsidRPr="002805F3" w14:paraId="49D11229"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454E1EA8" w14:textId="77777777" w:rsidR="00553FD5" w:rsidRPr="00DC3863" w:rsidRDefault="00553FD5" w:rsidP="00C93734">
            <w:pPr>
              <w:spacing w:after="0"/>
              <w:jc w:val="both"/>
              <w:rPr>
                <w:color w:val="000000"/>
              </w:rPr>
            </w:pPr>
            <w:r w:rsidRPr="00DC3863">
              <w:rPr>
                <w:color w:val="000000"/>
              </w:rPr>
              <w:t>Energy &amp; utilities</w:t>
            </w:r>
          </w:p>
        </w:tc>
        <w:tc>
          <w:tcPr>
            <w:tcW w:w="1427" w:type="dxa"/>
            <w:noWrap/>
            <w:hideMark/>
          </w:tcPr>
          <w:p w14:paraId="60FAE84C"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17.3%</w:t>
            </w:r>
          </w:p>
        </w:tc>
        <w:tc>
          <w:tcPr>
            <w:tcW w:w="1282" w:type="dxa"/>
            <w:noWrap/>
            <w:hideMark/>
          </w:tcPr>
          <w:p w14:paraId="14AEA093"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17.0%</w:t>
            </w:r>
          </w:p>
        </w:tc>
        <w:tc>
          <w:tcPr>
            <w:tcW w:w="1611" w:type="dxa"/>
            <w:noWrap/>
            <w:hideMark/>
          </w:tcPr>
          <w:p w14:paraId="0A52EFA3"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19.0%</w:t>
            </w:r>
          </w:p>
        </w:tc>
        <w:tc>
          <w:tcPr>
            <w:tcW w:w="1243" w:type="dxa"/>
            <w:noWrap/>
            <w:hideMark/>
          </w:tcPr>
          <w:p w14:paraId="2ABFF797"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15.0%</w:t>
            </w:r>
          </w:p>
        </w:tc>
        <w:tc>
          <w:tcPr>
            <w:tcW w:w="1236" w:type="dxa"/>
            <w:noWrap/>
            <w:hideMark/>
          </w:tcPr>
          <w:p w14:paraId="218A1840"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17.9%</w:t>
            </w:r>
          </w:p>
        </w:tc>
      </w:tr>
      <w:tr w:rsidR="00553FD5" w:rsidRPr="002805F3" w14:paraId="1B67984B"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4B29099" w14:textId="77777777" w:rsidR="00553FD5" w:rsidRPr="00DC3863" w:rsidRDefault="00553FD5" w:rsidP="00C93734">
            <w:pPr>
              <w:spacing w:after="0"/>
              <w:jc w:val="both"/>
              <w:rPr>
                <w:color w:val="000000"/>
              </w:rPr>
            </w:pPr>
            <w:r w:rsidRPr="00DC3863">
              <w:rPr>
                <w:color w:val="000000"/>
              </w:rPr>
              <w:t>Manufactured components &amp; products</w:t>
            </w:r>
          </w:p>
        </w:tc>
        <w:tc>
          <w:tcPr>
            <w:tcW w:w="1427" w:type="dxa"/>
            <w:noWrap/>
            <w:hideMark/>
          </w:tcPr>
          <w:p w14:paraId="01623865"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14.3%</w:t>
            </w:r>
          </w:p>
        </w:tc>
        <w:tc>
          <w:tcPr>
            <w:tcW w:w="1282" w:type="dxa"/>
            <w:noWrap/>
            <w:hideMark/>
          </w:tcPr>
          <w:p w14:paraId="301A2314"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13.0%</w:t>
            </w:r>
          </w:p>
        </w:tc>
        <w:tc>
          <w:tcPr>
            <w:tcW w:w="1611" w:type="dxa"/>
            <w:noWrap/>
            <w:hideMark/>
          </w:tcPr>
          <w:p w14:paraId="75C08C6E"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7.9%</w:t>
            </w:r>
          </w:p>
        </w:tc>
        <w:tc>
          <w:tcPr>
            <w:tcW w:w="1243" w:type="dxa"/>
            <w:noWrap/>
            <w:hideMark/>
          </w:tcPr>
          <w:p w14:paraId="76D85F51"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11.5%</w:t>
            </w:r>
          </w:p>
        </w:tc>
        <w:tc>
          <w:tcPr>
            <w:tcW w:w="1236" w:type="dxa"/>
            <w:noWrap/>
            <w:hideMark/>
          </w:tcPr>
          <w:p w14:paraId="65CD98B0"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6.1%</w:t>
            </w:r>
          </w:p>
        </w:tc>
      </w:tr>
      <w:tr w:rsidR="00553FD5" w:rsidRPr="002805F3" w14:paraId="0422F594"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04A2E7D" w14:textId="77777777" w:rsidR="00553FD5" w:rsidRPr="00DC3863" w:rsidRDefault="00553FD5" w:rsidP="00C93734">
            <w:pPr>
              <w:spacing w:after="0"/>
              <w:jc w:val="both"/>
              <w:rPr>
                <w:color w:val="000000"/>
              </w:rPr>
            </w:pPr>
            <w:r w:rsidRPr="00DC3863">
              <w:rPr>
                <w:color w:val="000000"/>
              </w:rPr>
              <w:t>Financial &amp; insurance services</w:t>
            </w:r>
          </w:p>
        </w:tc>
        <w:tc>
          <w:tcPr>
            <w:tcW w:w="1427" w:type="dxa"/>
            <w:noWrap/>
            <w:hideMark/>
          </w:tcPr>
          <w:p w14:paraId="68E668EB"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17.3%</w:t>
            </w:r>
          </w:p>
        </w:tc>
        <w:tc>
          <w:tcPr>
            <w:tcW w:w="1282" w:type="dxa"/>
            <w:noWrap/>
            <w:hideMark/>
          </w:tcPr>
          <w:p w14:paraId="6A53F4C8"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15.2%</w:t>
            </w:r>
          </w:p>
        </w:tc>
        <w:tc>
          <w:tcPr>
            <w:tcW w:w="1611" w:type="dxa"/>
            <w:noWrap/>
            <w:hideMark/>
          </w:tcPr>
          <w:p w14:paraId="31E28EB3"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17.8%</w:t>
            </w:r>
          </w:p>
        </w:tc>
        <w:tc>
          <w:tcPr>
            <w:tcW w:w="1243" w:type="dxa"/>
            <w:noWrap/>
            <w:hideMark/>
          </w:tcPr>
          <w:p w14:paraId="5B892E09"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14.2%</w:t>
            </w:r>
          </w:p>
        </w:tc>
        <w:tc>
          <w:tcPr>
            <w:tcW w:w="1236" w:type="dxa"/>
            <w:noWrap/>
            <w:hideMark/>
          </w:tcPr>
          <w:p w14:paraId="38B7F446"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16.6%</w:t>
            </w:r>
          </w:p>
        </w:tc>
      </w:tr>
      <w:tr w:rsidR="00553FD5" w:rsidRPr="002805F3" w14:paraId="6331BEE9"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4C33E191" w14:textId="77777777" w:rsidR="00553FD5" w:rsidRPr="00DC3863" w:rsidRDefault="00553FD5" w:rsidP="00C93734">
            <w:pPr>
              <w:spacing w:after="0"/>
              <w:jc w:val="both"/>
              <w:rPr>
                <w:color w:val="000000"/>
              </w:rPr>
            </w:pPr>
            <w:r w:rsidRPr="00DC3863">
              <w:rPr>
                <w:color w:val="000000"/>
              </w:rPr>
              <w:t>Business or professional services;</w:t>
            </w:r>
          </w:p>
        </w:tc>
        <w:tc>
          <w:tcPr>
            <w:tcW w:w="1427" w:type="dxa"/>
            <w:noWrap/>
            <w:hideMark/>
          </w:tcPr>
          <w:p w14:paraId="7D61575B"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9.2%</w:t>
            </w:r>
          </w:p>
        </w:tc>
        <w:tc>
          <w:tcPr>
            <w:tcW w:w="1282" w:type="dxa"/>
            <w:noWrap/>
            <w:hideMark/>
          </w:tcPr>
          <w:p w14:paraId="1A613C8A"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11.8%</w:t>
            </w:r>
          </w:p>
        </w:tc>
        <w:tc>
          <w:tcPr>
            <w:tcW w:w="1611" w:type="dxa"/>
            <w:noWrap/>
            <w:hideMark/>
          </w:tcPr>
          <w:p w14:paraId="1F5C44FD"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9.1%</w:t>
            </w:r>
          </w:p>
        </w:tc>
        <w:tc>
          <w:tcPr>
            <w:tcW w:w="1243" w:type="dxa"/>
            <w:noWrap/>
            <w:hideMark/>
          </w:tcPr>
          <w:p w14:paraId="31CF62FF"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10.6%</w:t>
            </w:r>
          </w:p>
        </w:tc>
        <w:tc>
          <w:tcPr>
            <w:tcW w:w="1236" w:type="dxa"/>
            <w:noWrap/>
            <w:hideMark/>
          </w:tcPr>
          <w:p w14:paraId="7C15963E"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7.8%</w:t>
            </w:r>
          </w:p>
        </w:tc>
      </w:tr>
      <w:tr w:rsidR="00553FD5" w:rsidRPr="002805F3" w14:paraId="1B3DDDF1"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675CA30" w14:textId="77777777" w:rsidR="00553FD5" w:rsidRPr="00DC3863" w:rsidRDefault="00553FD5" w:rsidP="00C93734">
            <w:pPr>
              <w:spacing w:after="0"/>
              <w:jc w:val="both"/>
              <w:rPr>
                <w:color w:val="000000"/>
              </w:rPr>
            </w:pPr>
            <w:r w:rsidRPr="00DC3863">
              <w:rPr>
                <w:color w:val="000000"/>
              </w:rPr>
              <w:t>Real estate services</w:t>
            </w:r>
          </w:p>
        </w:tc>
        <w:tc>
          <w:tcPr>
            <w:tcW w:w="1427" w:type="dxa"/>
            <w:noWrap/>
            <w:hideMark/>
          </w:tcPr>
          <w:p w14:paraId="6FDA493C"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1.0%</w:t>
            </w:r>
          </w:p>
        </w:tc>
        <w:tc>
          <w:tcPr>
            <w:tcW w:w="1282" w:type="dxa"/>
            <w:noWrap/>
            <w:hideMark/>
          </w:tcPr>
          <w:p w14:paraId="24386CAC"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2.2%</w:t>
            </w:r>
          </w:p>
        </w:tc>
        <w:tc>
          <w:tcPr>
            <w:tcW w:w="1611" w:type="dxa"/>
            <w:noWrap/>
            <w:hideMark/>
          </w:tcPr>
          <w:p w14:paraId="23ADCF4A"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1.2%</w:t>
            </w:r>
          </w:p>
        </w:tc>
        <w:tc>
          <w:tcPr>
            <w:tcW w:w="1243" w:type="dxa"/>
            <w:noWrap/>
            <w:hideMark/>
          </w:tcPr>
          <w:p w14:paraId="5DF60453"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3.5%</w:t>
            </w:r>
          </w:p>
        </w:tc>
        <w:tc>
          <w:tcPr>
            <w:tcW w:w="1236" w:type="dxa"/>
            <w:noWrap/>
            <w:hideMark/>
          </w:tcPr>
          <w:p w14:paraId="4210D811"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0.2%</w:t>
            </w:r>
          </w:p>
        </w:tc>
      </w:tr>
      <w:tr w:rsidR="00553FD5" w:rsidRPr="002805F3" w14:paraId="0876F2D1"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F783141" w14:textId="77777777" w:rsidR="00553FD5" w:rsidRPr="00DC3863" w:rsidRDefault="00553FD5" w:rsidP="00C93734">
            <w:pPr>
              <w:spacing w:after="0"/>
              <w:jc w:val="both"/>
              <w:rPr>
                <w:color w:val="000000"/>
              </w:rPr>
            </w:pPr>
            <w:r w:rsidRPr="00DC3863">
              <w:rPr>
                <w:color w:val="000000"/>
              </w:rPr>
              <w:t>Construction services</w:t>
            </w:r>
          </w:p>
        </w:tc>
        <w:tc>
          <w:tcPr>
            <w:tcW w:w="1427" w:type="dxa"/>
            <w:noWrap/>
            <w:hideMark/>
          </w:tcPr>
          <w:p w14:paraId="31066820"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6.1%</w:t>
            </w:r>
          </w:p>
        </w:tc>
        <w:tc>
          <w:tcPr>
            <w:tcW w:w="1282" w:type="dxa"/>
            <w:noWrap/>
            <w:hideMark/>
          </w:tcPr>
          <w:p w14:paraId="5DD56179"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2.5%</w:t>
            </w:r>
          </w:p>
        </w:tc>
        <w:tc>
          <w:tcPr>
            <w:tcW w:w="1611" w:type="dxa"/>
            <w:noWrap/>
            <w:hideMark/>
          </w:tcPr>
          <w:p w14:paraId="5E095498"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2.0%</w:t>
            </w:r>
          </w:p>
        </w:tc>
        <w:tc>
          <w:tcPr>
            <w:tcW w:w="1243" w:type="dxa"/>
            <w:noWrap/>
            <w:hideMark/>
          </w:tcPr>
          <w:p w14:paraId="26FF2BCE"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4.4%</w:t>
            </w:r>
          </w:p>
        </w:tc>
        <w:tc>
          <w:tcPr>
            <w:tcW w:w="1236" w:type="dxa"/>
            <w:noWrap/>
            <w:hideMark/>
          </w:tcPr>
          <w:p w14:paraId="2640367C"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2.0%</w:t>
            </w:r>
          </w:p>
        </w:tc>
      </w:tr>
      <w:tr w:rsidR="00553FD5" w:rsidRPr="002805F3" w14:paraId="0BDF37CA"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564DDF24" w14:textId="77777777" w:rsidR="00553FD5" w:rsidRPr="00DC3863" w:rsidRDefault="00553FD5" w:rsidP="00C93734">
            <w:pPr>
              <w:spacing w:after="0"/>
              <w:jc w:val="both"/>
              <w:rPr>
                <w:color w:val="000000"/>
              </w:rPr>
            </w:pPr>
            <w:r w:rsidRPr="00DC3863">
              <w:rPr>
                <w:color w:val="000000"/>
              </w:rPr>
              <w:t>Wholesale retail goods</w:t>
            </w:r>
          </w:p>
        </w:tc>
        <w:tc>
          <w:tcPr>
            <w:tcW w:w="1427" w:type="dxa"/>
            <w:noWrap/>
            <w:hideMark/>
          </w:tcPr>
          <w:p w14:paraId="04765028"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8.2%</w:t>
            </w:r>
          </w:p>
        </w:tc>
        <w:tc>
          <w:tcPr>
            <w:tcW w:w="1282" w:type="dxa"/>
            <w:noWrap/>
            <w:hideMark/>
          </w:tcPr>
          <w:p w14:paraId="49EDCD79"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6.5%</w:t>
            </w:r>
          </w:p>
        </w:tc>
        <w:tc>
          <w:tcPr>
            <w:tcW w:w="1611" w:type="dxa"/>
            <w:noWrap/>
            <w:hideMark/>
          </w:tcPr>
          <w:p w14:paraId="42F0649D"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10.3%</w:t>
            </w:r>
          </w:p>
        </w:tc>
        <w:tc>
          <w:tcPr>
            <w:tcW w:w="1243" w:type="dxa"/>
            <w:noWrap/>
            <w:hideMark/>
          </w:tcPr>
          <w:p w14:paraId="1B50A3B8"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8.8%</w:t>
            </w:r>
          </w:p>
        </w:tc>
        <w:tc>
          <w:tcPr>
            <w:tcW w:w="1236" w:type="dxa"/>
            <w:noWrap/>
            <w:hideMark/>
          </w:tcPr>
          <w:p w14:paraId="7FA584A9"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14.9%</w:t>
            </w:r>
          </w:p>
        </w:tc>
      </w:tr>
      <w:tr w:rsidR="00553FD5" w:rsidRPr="002805F3" w14:paraId="29EDBD2F"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D6C058C" w14:textId="77777777" w:rsidR="00553FD5" w:rsidRPr="00DC3863" w:rsidRDefault="00553FD5" w:rsidP="00C93734">
            <w:pPr>
              <w:spacing w:after="0"/>
              <w:jc w:val="both"/>
              <w:rPr>
                <w:color w:val="000000"/>
              </w:rPr>
            </w:pPr>
            <w:r w:rsidRPr="00DC3863">
              <w:rPr>
                <w:color w:val="000000"/>
              </w:rPr>
              <w:t>Retail services (high street)</w:t>
            </w:r>
          </w:p>
        </w:tc>
        <w:tc>
          <w:tcPr>
            <w:tcW w:w="1427" w:type="dxa"/>
            <w:noWrap/>
            <w:hideMark/>
          </w:tcPr>
          <w:p w14:paraId="041D7214"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1.0%</w:t>
            </w:r>
          </w:p>
        </w:tc>
        <w:tc>
          <w:tcPr>
            <w:tcW w:w="1282" w:type="dxa"/>
            <w:noWrap/>
            <w:hideMark/>
          </w:tcPr>
          <w:p w14:paraId="78AE0ECD"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0.6%</w:t>
            </w:r>
          </w:p>
        </w:tc>
        <w:tc>
          <w:tcPr>
            <w:tcW w:w="1611" w:type="dxa"/>
            <w:noWrap/>
            <w:hideMark/>
          </w:tcPr>
          <w:p w14:paraId="487ACEC0"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0.0%</w:t>
            </w:r>
          </w:p>
        </w:tc>
        <w:tc>
          <w:tcPr>
            <w:tcW w:w="1243" w:type="dxa"/>
            <w:noWrap/>
            <w:hideMark/>
          </w:tcPr>
          <w:p w14:paraId="2A5A7464"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0.9%</w:t>
            </w:r>
          </w:p>
        </w:tc>
        <w:tc>
          <w:tcPr>
            <w:tcW w:w="1236" w:type="dxa"/>
            <w:noWrap/>
            <w:hideMark/>
          </w:tcPr>
          <w:p w14:paraId="6B2FF598"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1.7%</w:t>
            </w:r>
          </w:p>
        </w:tc>
      </w:tr>
      <w:tr w:rsidR="00553FD5" w:rsidRPr="002805F3" w14:paraId="2D305FF5"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07F7C62" w14:textId="77777777" w:rsidR="00553FD5" w:rsidRPr="00DC3863" w:rsidRDefault="00553FD5" w:rsidP="00C93734">
            <w:pPr>
              <w:spacing w:after="0"/>
              <w:jc w:val="both"/>
              <w:rPr>
                <w:color w:val="000000"/>
              </w:rPr>
            </w:pPr>
            <w:r w:rsidRPr="00DC3863">
              <w:rPr>
                <w:color w:val="000000"/>
              </w:rPr>
              <w:t>Retail - other retail goods &amp; services</w:t>
            </w:r>
          </w:p>
        </w:tc>
        <w:tc>
          <w:tcPr>
            <w:tcW w:w="1427" w:type="dxa"/>
            <w:noWrap/>
            <w:hideMark/>
          </w:tcPr>
          <w:p w14:paraId="55D379F1"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2.0%</w:t>
            </w:r>
          </w:p>
        </w:tc>
        <w:tc>
          <w:tcPr>
            <w:tcW w:w="1282" w:type="dxa"/>
            <w:noWrap/>
            <w:hideMark/>
          </w:tcPr>
          <w:p w14:paraId="2CF9F130"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1.2%</w:t>
            </w:r>
          </w:p>
        </w:tc>
        <w:tc>
          <w:tcPr>
            <w:tcW w:w="1611" w:type="dxa"/>
            <w:noWrap/>
            <w:hideMark/>
          </w:tcPr>
          <w:p w14:paraId="0BA681BA"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1.2%</w:t>
            </w:r>
          </w:p>
        </w:tc>
        <w:tc>
          <w:tcPr>
            <w:tcW w:w="1243" w:type="dxa"/>
            <w:noWrap/>
            <w:hideMark/>
          </w:tcPr>
          <w:p w14:paraId="0DCB7465"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0.9%</w:t>
            </w:r>
          </w:p>
        </w:tc>
        <w:tc>
          <w:tcPr>
            <w:tcW w:w="1236" w:type="dxa"/>
            <w:noWrap/>
            <w:hideMark/>
          </w:tcPr>
          <w:p w14:paraId="513D0688"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1.9%</w:t>
            </w:r>
          </w:p>
        </w:tc>
      </w:tr>
      <w:tr w:rsidR="00553FD5" w:rsidRPr="002805F3" w14:paraId="5A513DD9"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33DDF799" w14:textId="77777777" w:rsidR="00553FD5" w:rsidRPr="00DC3863" w:rsidRDefault="00553FD5" w:rsidP="00C93734">
            <w:pPr>
              <w:spacing w:after="0"/>
              <w:jc w:val="both"/>
              <w:rPr>
                <w:color w:val="000000"/>
              </w:rPr>
            </w:pPr>
            <w:r w:rsidRPr="00DC3863">
              <w:rPr>
                <w:color w:val="000000"/>
              </w:rPr>
              <w:t>Catering and food</w:t>
            </w:r>
          </w:p>
        </w:tc>
        <w:tc>
          <w:tcPr>
            <w:tcW w:w="1427" w:type="dxa"/>
            <w:noWrap/>
            <w:hideMark/>
          </w:tcPr>
          <w:p w14:paraId="657067E5"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2.0%</w:t>
            </w:r>
          </w:p>
        </w:tc>
        <w:tc>
          <w:tcPr>
            <w:tcW w:w="1282" w:type="dxa"/>
            <w:noWrap/>
            <w:hideMark/>
          </w:tcPr>
          <w:p w14:paraId="244EA8B1"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2.8%</w:t>
            </w:r>
          </w:p>
        </w:tc>
        <w:tc>
          <w:tcPr>
            <w:tcW w:w="1611" w:type="dxa"/>
            <w:noWrap/>
            <w:hideMark/>
          </w:tcPr>
          <w:p w14:paraId="78AA425F"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15.0%</w:t>
            </w:r>
          </w:p>
        </w:tc>
        <w:tc>
          <w:tcPr>
            <w:tcW w:w="1243" w:type="dxa"/>
            <w:noWrap/>
            <w:hideMark/>
          </w:tcPr>
          <w:p w14:paraId="36C13FEE"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3.5%</w:t>
            </w:r>
          </w:p>
        </w:tc>
        <w:tc>
          <w:tcPr>
            <w:tcW w:w="1236" w:type="dxa"/>
            <w:noWrap/>
            <w:hideMark/>
          </w:tcPr>
          <w:p w14:paraId="2EBE6C65"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14.0%</w:t>
            </w:r>
          </w:p>
        </w:tc>
      </w:tr>
      <w:tr w:rsidR="00553FD5" w:rsidRPr="002805F3" w14:paraId="0CF471C2"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9BEA1E5" w14:textId="77777777" w:rsidR="00553FD5" w:rsidRPr="00DC3863" w:rsidRDefault="00553FD5" w:rsidP="00C93734">
            <w:pPr>
              <w:spacing w:after="0"/>
              <w:jc w:val="both"/>
              <w:rPr>
                <w:color w:val="000000"/>
              </w:rPr>
            </w:pPr>
            <w:r w:rsidRPr="00DC3863">
              <w:rPr>
                <w:color w:val="000000"/>
              </w:rPr>
              <w:t>Education &amp; research</w:t>
            </w:r>
          </w:p>
        </w:tc>
        <w:tc>
          <w:tcPr>
            <w:tcW w:w="1427" w:type="dxa"/>
            <w:noWrap/>
            <w:hideMark/>
          </w:tcPr>
          <w:p w14:paraId="2155B5E5"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6.1%</w:t>
            </w:r>
          </w:p>
        </w:tc>
        <w:tc>
          <w:tcPr>
            <w:tcW w:w="1282" w:type="dxa"/>
            <w:noWrap/>
            <w:hideMark/>
          </w:tcPr>
          <w:p w14:paraId="702FD4A6"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5.9%</w:t>
            </w:r>
          </w:p>
        </w:tc>
        <w:tc>
          <w:tcPr>
            <w:tcW w:w="1611" w:type="dxa"/>
            <w:noWrap/>
            <w:hideMark/>
          </w:tcPr>
          <w:p w14:paraId="75FDE8ED"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3.2%</w:t>
            </w:r>
          </w:p>
        </w:tc>
        <w:tc>
          <w:tcPr>
            <w:tcW w:w="1243" w:type="dxa"/>
            <w:noWrap/>
            <w:hideMark/>
          </w:tcPr>
          <w:p w14:paraId="28DDB96B"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5.3%</w:t>
            </w:r>
          </w:p>
        </w:tc>
        <w:tc>
          <w:tcPr>
            <w:tcW w:w="1236" w:type="dxa"/>
            <w:noWrap/>
            <w:hideMark/>
          </w:tcPr>
          <w:p w14:paraId="5D1F184F"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2.8%</w:t>
            </w:r>
          </w:p>
        </w:tc>
      </w:tr>
      <w:tr w:rsidR="00553FD5" w:rsidRPr="002805F3" w14:paraId="45CA4C23"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18BCD7E6" w14:textId="77777777" w:rsidR="00553FD5" w:rsidRPr="00DC3863" w:rsidRDefault="00553FD5" w:rsidP="00C93734">
            <w:pPr>
              <w:spacing w:after="0"/>
              <w:jc w:val="both"/>
              <w:rPr>
                <w:color w:val="000000"/>
              </w:rPr>
            </w:pPr>
            <w:r w:rsidRPr="00DC3863">
              <w:rPr>
                <w:color w:val="000000"/>
              </w:rPr>
              <w:t>Public sector services</w:t>
            </w:r>
          </w:p>
        </w:tc>
        <w:tc>
          <w:tcPr>
            <w:tcW w:w="1427" w:type="dxa"/>
            <w:noWrap/>
            <w:hideMark/>
          </w:tcPr>
          <w:p w14:paraId="1FB363C7"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3.1%</w:t>
            </w:r>
          </w:p>
        </w:tc>
        <w:tc>
          <w:tcPr>
            <w:tcW w:w="1282" w:type="dxa"/>
            <w:noWrap/>
            <w:hideMark/>
          </w:tcPr>
          <w:p w14:paraId="40079F3C"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1.5%</w:t>
            </w:r>
          </w:p>
        </w:tc>
        <w:tc>
          <w:tcPr>
            <w:tcW w:w="1611" w:type="dxa"/>
            <w:noWrap/>
            <w:hideMark/>
          </w:tcPr>
          <w:p w14:paraId="7F74A7BF"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1.2%</w:t>
            </w:r>
          </w:p>
        </w:tc>
        <w:tc>
          <w:tcPr>
            <w:tcW w:w="1243" w:type="dxa"/>
            <w:noWrap/>
            <w:hideMark/>
          </w:tcPr>
          <w:p w14:paraId="39543A41"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1.8%</w:t>
            </w:r>
          </w:p>
        </w:tc>
        <w:tc>
          <w:tcPr>
            <w:tcW w:w="1236" w:type="dxa"/>
            <w:noWrap/>
            <w:hideMark/>
          </w:tcPr>
          <w:p w14:paraId="6F4BB0CB"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1.9%</w:t>
            </w:r>
          </w:p>
        </w:tc>
      </w:tr>
      <w:tr w:rsidR="00553FD5" w:rsidRPr="002805F3" w14:paraId="1D0C2D95"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CD7C63C" w14:textId="77777777" w:rsidR="00553FD5" w:rsidRPr="00DC3863" w:rsidRDefault="00553FD5" w:rsidP="00C93734">
            <w:pPr>
              <w:spacing w:after="0"/>
              <w:jc w:val="both"/>
              <w:rPr>
                <w:color w:val="000000"/>
              </w:rPr>
            </w:pPr>
            <w:r w:rsidRPr="00DC3863">
              <w:rPr>
                <w:color w:val="000000"/>
              </w:rPr>
              <w:t>Leisure and tourism services</w:t>
            </w:r>
          </w:p>
        </w:tc>
        <w:tc>
          <w:tcPr>
            <w:tcW w:w="1427" w:type="dxa"/>
            <w:noWrap/>
            <w:hideMark/>
          </w:tcPr>
          <w:p w14:paraId="7CDCDEBC"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0.0%</w:t>
            </w:r>
          </w:p>
        </w:tc>
        <w:tc>
          <w:tcPr>
            <w:tcW w:w="1282" w:type="dxa"/>
            <w:noWrap/>
            <w:hideMark/>
          </w:tcPr>
          <w:p w14:paraId="4059C4B6"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0.6%</w:t>
            </w:r>
          </w:p>
        </w:tc>
        <w:tc>
          <w:tcPr>
            <w:tcW w:w="1611" w:type="dxa"/>
            <w:noWrap/>
            <w:hideMark/>
          </w:tcPr>
          <w:p w14:paraId="4EDC620B"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1.2%</w:t>
            </w:r>
          </w:p>
        </w:tc>
        <w:tc>
          <w:tcPr>
            <w:tcW w:w="1243" w:type="dxa"/>
            <w:noWrap/>
            <w:hideMark/>
          </w:tcPr>
          <w:p w14:paraId="77AA175C"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0.0%</w:t>
            </w:r>
          </w:p>
        </w:tc>
        <w:tc>
          <w:tcPr>
            <w:tcW w:w="1236" w:type="dxa"/>
            <w:noWrap/>
            <w:hideMark/>
          </w:tcPr>
          <w:p w14:paraId="534F1CAE"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6.0%</w:t>
            </w:r>
          </w:p>
        </w:tc>
      </w:tr>
      <w:tr w:rsidR="00553FD5" w:rsidRPr="002805F3" w14:paraId="70912AC5"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73D75F5" w14:textId="77777777" w:rsidR="00553FD5" w:rsidRPr="00DC3863" w:rsidRDefault="00553FD5" w:rsidP="00C93734">
            <w:pPr>
              <w:spacing w:after="0"/>
              <w:jc w:val="both"/>
              <w:rPr>
                <w:color w:val="000000"/>
              </w:rPr>
            </w:pPr>
            <w:r w:rsidRPr="00DC3863">
              <w:rPr>
                <w:color w:val="000000"/>
              </w:rPr>
              <w:t>Logistics, freight service, storage &amp; distribution services</w:t>
            </w:r>
          </w:p>
        </w:tc>
        <w:tc>
          <w:tcPr>
            <w:tcW w:w="1427" w:type="dxa"/>
            <w:noWrap/>
            <w:hideMark/>
          </w:tcPr>
          <w:p w14:paraId="0BE32720"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5.1%</w:t>
            </w:r>
          </w:p>
        </w:tc>
        <w:tc>
          <w:tcPr>
            <w:tcW w:w="1282" w:type="dxa"/>
            <w:noWrap/>
            <w:hideMark/>
          </w:tcPr>
          <w:p w14:paraId="2460B87D"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10.2%</w:t>
            </w:r>
          </w:p>
        </w:tc>
        <w:tc>
          <w:tcPr>
            <w:tcW w:w="1611" w:type="dxa"/>
            <w:noWrap/>
            <w:hideMark/>
          </w:tcPr>
          <w:p w14:paraId="2D92604A"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7.9%</w:t>
            </w:r>
          </w:p>
        </w:tc>
        <w:tc>
          <w:tcPr>
            <w:tcW w:w="1243" w:type="dxa"/>
            <w:noWrap/>
            <w:hideMark/>
          </w:tcPr>
          <w:p w14:paraId="6384B84B"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9.7%</w:t>
            </w:r>
          </w:p>
        </w:tc>
        <w:tc>
          <w:tcPr>
            <w:tcW w:w="1236" w:type="dxa"/>
            <w:noWrap/>
            <w:hideMark/>
          </w:tcPr>
          <w:p w14:paraId="759F0509"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2.4%</w:t>
            </w:r>
          </w:p>
        </w:tc>
      </w:tr>
      <w:tr w:rsidR="00553FD5" w:rsidRPr="002805F3" w14:paraId="6F2DB728"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C22B531" w14:textId="77777777" w:rsidR="00553FD5" w:rsidRPr="00DC3863" w:rsidRDefault="00553FD5" w:rsidP="00C93734">
            <w:pPr>
              <w:spacing w:after="0"/>
              <w:jc w:val="both"/>
              <w:rPr>
                <w:color w:val="000000"/>
              </w:rPr>
            </w:pPr>
            <w:r w:rsidRPr="00DC3863">
              <w:rPr>
                <w:color w:val="000000"/>
              </w:rPr>
              <w:t>Other transport services</w:t>
            </w:r>
          </w:p>
        </w:tc>
        <w:tc>
          <w:tcPr>
            <w:tcW w:w="1427" w:type="dxa"/>
            <w:noWrap/>
            <w:hideMark/>
          </w:tcPr>
          <w:p w14:paraId="2A8DC263"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5.1%</w:t>
            </w:r>
          </w:p>
        </w:tc>
        <w:tc>
          <w:tcPr>
            <w:tcW w:w="1282" w:type="dxa"/>
            <w:noWrap/>
            <w:hideMark/>
          </w:tcPr>
          <w:p w14:paraId="1B67228A"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5.9%</w:t>
            </w:r>
          </w:p>
        </w:tc>
        <w:tc>
          <w:tcPr>
            <w:tcW w:w="1611" w:type="dxa"/>
            <w:noWrap/>
            <w:hideMark/>
          </w:tcPr>
          <w:p w14:paraId="5EA4C20D"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2.8%</w:t>
            </w:r>
          </w:p>
        </w:tc>
        <w:tc>
          <w:tcPr>
            <w:tcW w:w="1243" w:type="dxa"/>
            <w:noWrap/>
            <w:hideMark/>
          </w:tcPr>
          <w:p w14:paraId="71B55638"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5.3%</w:t>
            </w:r>
          </w:p>
        </w:tc>
        <w:tc>
          <w:tcPr>
            <w:tcW w:w="1236" w:type="dxa"/>
            <w:noWrap/>
            <w:hideMark/>
          </w:tcPr>
          <w:p w14:paraId="54B998F4"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1.5%</w:t>
            </w:r>
          </w:p>
        </w:tc>
      </w:tr>
      <w:tr w:rsidR="00553FD5" w:rsidRPr="002805F3" w14:paraId="7C056B15"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47D876A9" w14:textId="77777777" w:rsidR="00553FD5" w:rsidRPr="00DC3863" w:rsidRDefault="00553FD5" w:rsidP="00C93734">
            <w:pPr>
              <w:spacing w:after="0"/>
              <w:jc w:val="both"/>
              <w:rPr>
                <w:color w:val="000000"/>
              </w:rPr>
            </w:pPr>
            <w:r w:rsidRPr="00DC3863">
              <w:rPr>
                <w:color w:val="000000"/>
              </w:rPr>
              <w:t>Minerals &amp; aggregates supply</w:t>
            </w:r>
          </w:p>
        </w:tc>
        <w:tc>
          <w:tcPr>
            <w:tcW w:w="1427" w:type="dxa"/>
            <w:noWrap/>
            <w:hideMark/>
          </w:tcPr>
          <w:p w14:paraId="564D186B"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2.0%</w:t>
            </w:r>
          </w:p>
        </w:tc>
        <w:tc>
          <w:tcPr>
            <w:tcW w:w="1282" w:type="dxa"/>
            <w:noWrap/>
            <w:hideMark/>
          </w:tcPr>
          <w:p w14:paraId="66AEB7B5"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1.2%</w:t>
            </w:r>
          </w:p>
        </w:tc>
        <w:tc>
          <w:tcPr>
            <w:tcW w:w="1611" w:type="dxa"/>
            <w:noWrap/>
            <w:hideMark/>
          </w:tcPr>
          <w:p w14:paraId="57CA77BD"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0.4%</w:t>
            </w:r>
          </w:p>
        </w:tc>
        <w:tc>
          <w:tcPr>
            <w:tcW w:w="1243" w:type="dxa"/>
            <w:noWrap/>
            <w:hideMark/>
          </w:tcPr>
          <w:p w14:paraId="0D607776"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3.5%</w:t>
            </w:r>
          </w:p>
        </w:tc>
        <w:tc>
          <w:tcPr>
            <w:tcW w:w="1236" w:type="dxa"/>
            <w:noWrap/>
            <w:hideMark/>
          </w:tcPr>
          <w:p w14:paraId="48D3AFA0"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0.4%</w:t>
            </w:r>
          </w:p>
        </w:tc>
      </w:tr>
      <w:tr w:rsidR="00553FD5" w:rsidRPr="002805F3" w14:paraId="2B0D19B7"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6E9FC49" w14:textId="77777777" w:rsidR="00553FD5" w:rsidRPr="00DC3863" w:rsidRDefault="00553FD5" w:rsidP="00C93734">
            <w:pPr>
              <w:spacing w:after="0"/>
              <w:jc w:val="both"/>
              <w:rPr>
                <w:color w:val="000000"/>
              </w:rPr>
            </w:pPr>
            <w:r w:rsidRPr="00DC3863">
              <w:rPr>
                <w:color w:val="000000"/>
              </w:rPr>
              <w:t>Other</w:t>
            </w:r>
          </w:p>
        </w:tc>
        <w:tc>
          <w:tcPr>
            <w:tcW w:w="1427" w:type="dxa"/>
            <w:noWrap/>
            <w:hideMark/>
          </w:tcPr>
          <w:p w14:paraId="09807FDF"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0.0%</w:t>
            </w:r>
          </w:p>
        </w:tc>
        <w:tc>
          <w:tcPr>
            <w:tcW w:w="1282" w:type="dxa"/>
            <w:noWrap/>
            <w:hideMark/>
          </w:tcPr>
          <w:p w14:paraId="21B65186"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1.9%</w:t>
            </w:r>
          </w:p>
        </w:tc>
        <w:tc>
          <w:tcPr>
            <w:tcW w:w="1611" w:type="dxa"/>
            <w:noWrap/>
            <w:hideMark/>
          </w:tcPr>
          <w:p w14:paraId="6A624E67"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0.0%</w:t>
            </w:r>
          </w:p>
        </w:tc>
        <w:tc>
          <w:tcPr>
            <w:tcW w:w="1243" w:type="dxa"/>
            <w:noWrap/>
            <w:hideMark/>
          </w:tcPr>
          <w:p w14:paraId="5866C59E"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0.9%</w:t>
            </w:r>
          </w:p>
        </w:tc>
        <w:tc>
          <w:tcPr>
            <w:tcW w:w="1236" w:type="dxa"/>
            <w:noWrap/>
            <w:hideMark/>
          </w:tcPr>
          <w:p w14:paraId="79B8366E" w14:textId="77777777" w:rsidR="00553FD5" w:rsidRPr="00DC3863"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2.0%</w:t>
            </w:r>
          </w:p>
        </w:tc>
      </w:tr>
    </w:tbl>
    <w:p w14:paraId="30A04FC8" w14:textId="77777777" w:rsidR="00553FD5" w:rsidRPr="002805F3" w:rsidRDefault="00553FD5" w:rsidP="00C93734">
      <w:pPr>
        <w:pStyle w:val="TableSource"/>
        <w:jc w:val="both"/>
      </w:pPr>
      <w:r w:rsidRPr="002805F3">
        <w:t>Source: Hill Taylor and Atkins 2013. Atkins Ref: Survey –A1</w:t>
      </w:r>
      <w:r w:rsidR="00A41064">
        <w:t>5</w:t>
      </w:r>
      <w:r>
        <w:t xml:space="preserve">. Note: Figures do not add up to 100% because of small results being excluded </w:t>
      </w:r>
    </w:p>
    <w:p w14:paraId="11217E61" w14:textId="77777777" w:rsidR="00553FD5" w:rsidRPr="002805F3" w:rsidRDefault="00553FD5" w:rsidP="00C93734">
      <w:pPr>
        <w:pStyle w:val="BodyText"/>
        <w:jc w:val="both"/>
        <w:rPr>
          <w:szCs w:val="22"/>
        </w:rPr>
      </w:pPr>
      <w:r w:rsidRPr="002805F3">
        <w:rPr>
          <w:szCs w:val="22"/>
        </w:rPr>
        <w:t>A high proportion of the customers and suppliers for all sectors are located within the Lincolnshire &amp; Humber. There is also a significant proportion of each sector’s customer base and suppliers concentrated within the Yorkshire &amp; Humber area. These represent key supplier source markets and customer bases for the sectors (</w:t>
      </w:r>
      <w:r w:rsidR="00155D59">
        <w:t xml:space="preserve">Table </w:t>
      </w:r>
      <w:r w:rsidR="00155D59">
        <w:rPr>
          <w:noProof/>
        </w:rPr>
        <w:t>0</w:t>
      </w:r>
      <w:r w:rsidR="00155D59">
        <w:t>-</w:t>
      </w:r>
      <w:r w:rsidR="00155D59">
        <w:rPr>
          <w:noProof/>
        </w:rPr>
        <w:t>16</w:t>
      </w:r>
      <w:r w:rsidRPr="002805F3">
        <w:rPr>
          <w:szCs w:val="22"/>
        </w:rPr>
        <w:t xml:space="preserve">). </w:t>
      </w:r>
      <w:r>
        <w:rPr>
          <w:szCs w:val="22"/>
        </w:rPr>
        <w:t xml:space="preserve">As expected, Ports &amp; Logistics has the most geographically spread customer and supplier base. This represents </w:t>
      </w:r>
      <w:r w:rsidR="000B3776">
        <w:rPr>
          <w:szCs w:val="22"/>
        </w:rPr>
        <w:t xml:space="preserve">an opportunity </w:t>
      </w:r>
      <w:r>
        <w:rPr>
          <w:szCs w:val="22"/>
        </w:rPr>
        <w:t>for future export</w:t>
      </w:r>
      <w:r w:rsidR="000B3776">
        <w:rPr>
          <w:szCs w:val="22"/>
        </w:rPr>
        <w:t xml:space="preserve"> activities</w:t>
      </w:r>
      <w:r>
        <w:rPr>
          <w:szCs w:val="22"/>
        </w:rPr>
        <w:t xml:space="preserve"> and supply chain linkages to be made in other countries, especially where linkages already exist (Nordic countries).</w:t>
      </w:r>
    </w:p>
    <w:p w14:paraId="4CFA1718" w14:textId="77777777" w:rsidR="00553FD5" w:rsidRDefault="00553FD5" w:rsidP="00C93734">
      <w:pPr>
        <w:pStyle w:val="Caption"/>
        <w:jc w:val="both"/>
      </w:pPr>
      <w:bookmarkStart w:id="658" w:name="_Ref391921022"/>
      <w:bookmarkStart w:id="659" w:name="_Toc383159717"/>
      <w:r>
        <w:t xml:space="preserve">Table </w:t>
      </w:r>
      <w:fldSimple w:instr=" STYLEREF 1 \s  \* MERGEFORMAT ">
        <w:r w:rsidR="00E95E1A">
          <w:rPr>
            <w:noProof/>
          </w:rPr>
          <w:t>0</w:t>
        </w:r>
      </w:fldSimple>
      <w:r>
        <w:t>-</w:t>
      </w:r>
      <w:fldSimple w:instr=" SEQ Table \* ARABIC \s 1  \* MERGEFORMAT ">
        <w:r w:rsidR="00E95E1A">
          <w:rPr>
            <w:noProof/>
          </w:rPr>
          <w:t>16</w:t>
        </w:r>
      </w:fldSimple>
      <w:bookmarkEnd w:id="658"/>
      <w:r>
        <w:tab/>
        <w:t>Location of Suppliers &amp; Clients</w:t>
      </w:r>
      <w:bookmarkEnd w:id="659"/>
      <w:r>
        <w:t xml:space="preserve"> </w:t>
      </w:r>
    </w:p>
    <w:tbl>
      <w:tblPr>
        <w:tblStyle w:val="Atkins14pt"/>
        <w:tblW w:w="10030" w:type="dxa"/>
        <w:tblLook w:val="04A0" w:firstRow="1" w:lastRow="0" w:firstColumn="1" w:lastColumn="0" w:noHBand="0" w:noVBand="1"/>
      </w:tblPr>
      <w:tblGrid>
        <w:gridCol w:w="1023"/>
        <w:gridCol w:w="947"/>
        <w:gridCol w:w="846"/>
        <w:gridCol w:w="946"/>
        <w:gridCol w:w="846"/>
        <w:gridCol w:w="946"/>
        <w:gridCol w:w="846"/>
        <w:gridCol w:w="946"/>
        <w:gridCol w:w="846"/>
        <w:gridCol w:w="992"/>
        <w:gridCol w:w="846"/>
      </w:tblGrid>
      <w:tr w:rsidR="00553FD5" w:rsidRPr="00DC3863" w14:paraId="2AB9E457" w14:textId="77777777" w:rsidTr="007A149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023" w:type="dxa"/>
            <w:vMerge w:val="restart"/>
            <w:noWrap/>
            <w:hideMark/>
          </w:tcPr>
          <w:p w14:paraId="3154D4FA" w14:textId="77777777" w:rsidR="00553FD5" w:rsidRPr="00DC3863" w:rsidRDefault="00553FD5" w:rsidP="00C93734">
            <w:pPr>
              <w:jc w:val="both"/>
              <w:rPr>
                <w:color w:val="000000"/>
                <w:sz w:val="16"/>
                <w:szCs w:val="16"/>
              </w:rPr>
            </w:pPr>
          </w:p>
        </w:tc>
        <w:tc>
          <w:tcPr>
            <w:tcW w:w="1793" w:type="dxa"/>
            <w:gridSpan w:val="2"/>
            <w:noWrap/>
            <w:hideMark/>
          </w:tcPr>
          <w:p w14:paraId="1E7B4BD2" w14:textId="77777777" w:rsidR="00553FD5" w:rsidRPr="00DC3863" w:rsidRDefault="00553FD5" w:rsidP="00C93734">
            <w:pPr>
              <w:jc w:val="both"/>
              <w:cnfStyle w:val="100000000000" w:firstRow="1"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Renewables</w:t>
            </w:r>
          </w:p>
        </w:tc>
        <w:tc>
          <w:tcPr>
            <w:tcW w:w="1792" w:type="dxa"/>
            <w:gridSpan w:val="2"/>
            <w:noWrap/>
            <w:hideMark/>
          </w:tcPr>
          <w:p w14:paraId="7B187853" w14:textId="77777777" w:rsidR="00553FD5" w:rsidRPr="00DC3863" w:rsidRDefault="00553FD5" w:rsidP="00C93734">
            <w:pPr>
              <w:jc w:val="both"/>
              <w:cnfStyle w:val="100000000000" w:firstRow="1"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Ports &amp; Logistics</w:t>
            </w:r>
          </w:p>
        </w:tc>
        <w:tc>
          <w:tcPr>
            <w:tcW w:w="1792" w:type="dxa"/>
            <w:gridSpan w:val="2"/>
            <w:noWrap/>
            <w:hideMark/>
          </w:tcPr>
          <w:p w14:paraId="74CCFB77" w14:textId="77777777" w:rsidR="00553FD5" w:rsidRPr="00DC3863" w:rsidRDefault="00553FD5" w:rsidP="00C93734">
            <w:pPr>
              <w:jc w:val="both"/>
              <w:cnfStyle w:val="100000000000" w:firstRow="1"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Food manufacturing</w:t>
            </w:r>
          </w:p>
        </w:tc>
        <w:tc>
          <w:tcPr>
            <w:tcW w:w="1792" w:type="dxa"/>
            <w:gridSpan w:val="2"/>
            <w:noWrap/>
            <w:hideMark/>
          </w:tcPr>
          <w:p w14:paraId="76D7F30C" w14:textId="77777777" w:rsidR="00553FD5" w:rsidRPr="00DC3863" w:rsidRDefault="00553FD5" w:rsidP="00C93734">
            <w:pPr>
              <w:jc w:val="both"/>
              <w:cnfStyle w:val="100000000000" w:firstRow="1"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Chemicals &amp; process industries</w:t>
            </w:r>
          </w:p>
        </w:tc>
        <w:tc>
          <w:tcPr>
            <w:tcW w:w="1838" w:type="dxa"/>
            <w:gridSpan w:val="2"/>
            <w:noWrap/>
            <w:hideMark/>
          </w:tcPr>
          <w:p w14:paraId="55940613" w14:textId="77777777" w:rsidR="00553FD5" w:rsidRPr="00DC3863" w:rsidRDefault="00553FD5" w:rsidP="00C93734">
            <w:pPr>
              <w:jc w:val="both"/>
              <w:cnfStyle w:val="100000000000" w:firstRow="1"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Visitor Economy &amp; Retail</w:t>
            </w:r>
          </w:p>
        </w:tc>
      </w:tr>
      <w:tr w:rsidR="000E33E6" w:rsidRPr="00DC3863" w14:paraId="10EA528B"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1023" w:type="dxa"/>
            <w:vMerge/>
            <w:noWrap/>
            <w:hideMark/>
          </w:tcPr>
          <w:p w14:paraId="3879A47D" w14:textId="77777777" w:rsidR="00553FD5" w:rsidRPr="00DC3863" w:rsidRDefault="00553FD5" w:rsidP="00C93734">
            <w:pPr>
              <w:jc w:val="both"/>
              <w:rPr>
                <w:color w:val="000000"/>
                <w:sz w:val="16"/>
                <w:szCs w:val="16"/>
              </w:rPr>
            </w:pPr>
          </w:p>
        </w:tc>
        <w:tc>
          <w:tcPr>
            <w:tcW w:w="947" w:type="dxa"/>
            <w:shd w:val="clear" w:color="auto" w:fill="E6E4DE" w:themeFill="accent6"/>
            <w:noWrap/>
            <w:hideMark/>
          </w:tcPr>
          <w:p w14:paraId="2DA822CF"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4"/>
                <w:szCs w:val="16"/>
              </w:rPr>
            </w:pPr>
            <w:r w:rsidRPr="00DC3863">
              <w:rPr>
                <w:b/>
                <w:color w:val="000000"/>
                <w:sz w:val="14"/>
                <w:szCs w:val="16"/>
              </w:rPr>
              <w:t>Customers</w:t>
            </w:r>
          </w:p>
        </w:tc>
        <w:tc>
          <w:tcPr>
            <w:tcW w:w="846" w:type="dxa"/>
            <w:shd w:val="clear" w:color="auto" w:fill="E6E4DE" w:themeFill="accent6"/>
            <w:noWrap/>
            <w:hideMark/>
          </w:tcPr>
          <w:p w14:paraId="264C190C"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4"/>
                <w:szCs w:val="16"/>
              </w:rPr>
            </w:pPr>
            <w:r w:rsidRPr="00DC3863">
              <w:rPr>
                <w:b/>
                <w:color w:val="000000"/>
                <w:sz w:val="14"/>
                <w:szCs w:val="16"/>
              </w:rPr>
              <w:t>Suppliers</w:t>
            </w:r>
          </w:p>
        </w:tc>
        <w:tc>
          <w:tcPr>
            <w:tcW w:w="946" w:type="dxa"/>
            <w:shd w:val="clear" w:color="auto" w:fill="E6E4DE" w:themeFill="accent6"/>
            <w:noWrap/>
            <w:hideMark/>
          </w:tcPr>
          <w:p w14:paraId="50699D87"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4"/>
                <w:szCs w:val="16"/>
              </w:rPr>
            </w:pPr>
            <w:r w:rsidRPr="00DC3863">
              <w:rPr>
                <w:b/>
                <w:color w:val="000000"/>
                <w:sz w:val="14"/>
                <w:szCs w:val="16"/>
              </w:rPr>
              <w:t>Customers</w:t>
            </w:r>
          </w:p>
        </w:tc>
        <w:tc>
          <w:tcPr>
            <w:tcW w:w="846" w:type="dxa"/>
            <w:shd w:val="clear" w:color="auto" w:fill="E6E4DE" w:themeFill="accent6"/>
            <w:noWrap/>
            <w:hideMark/>
          </w:tcPr>
          <w:p w14:paraId="7ECD1869"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4"/>
                <w:szCs w:val="16"/>
              </w:rPr>
            </w:pPr>
            <w:r w:rsidRPr="00DC3863">
              <w:rPr>
                <w:b/>
                <w:color w:val="000000"/>
                <w:sz w:val="14"/>
                <w:szCs w:val="16"/>
              </w:rPr>
              <w:t>Suppliers</w:t>
            </w:r>
          </w:p>
        </w:tc>
        <w:tc>
          <w:tcPr>
            <w:tcW w:w="946" w:type="dxa"/>
            <w:shd w:val="clear" w:color="auto" w:fill="E6E4DE" w:themeFill="accent6"/>
            <w:noWrap/>
            <w:hideMark/>
          </w:tcPr>
          <w:p w14:paraId="1D2E6237"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4"/>
                <w:szCs w:val="16"/>
              </w:rPr>
            </w:pPr>
            <w:r w:rsidRPr="00DC3863">
              <w:rPr>
                <w:b/>
                <w:color w:val="000000"/>
                <w:sz w:val="14"/>
                <w:szCs w:val="16"/>
              </w:rPr>
              <w:t>Customers</w:t>
            </w:r>
          </w:p>
        </w:tc>
        <w:tc>
          <w:tcPr>
            <w:tcW w:w="846" w:type="dxa"/>
            <w:shd w:val="clear" w:color="auto" w:fill="E6E4DE" w:themeFill="accent6"/>
            <w:noWrap/>
            <w:hideMark/>
          </w:tcPr>
          <w:p w14:paraId="177AAB61"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4"/>
                <w:szCs w:val="16"/>
              </w:rPr>
            </w:pPr>
            <w:r w:rsidRPr="00DC3863">
              <w:rPr>
                <w:b/>
                <w:color w:val="000000"/>
                <w:sz w:val="14"/>
                <w:szCs w:val="16"/>
              </w:rPr>
              <w:t>Suppliers</w:t>
            </w:r>
          </w:p>
        </w:tc>
        <w:tc>
          <w:tcPr>
            <w:tcW w:w="946" w:type="dxa"/>
            <w:shd w:val="clear" w:color="auto" w:fill="E6E4DE" w:themeFill="accent6"/>
            <w:noWrap/>
            <w:hideMark/>
          </w:tcPr>
          <w:p w14:paraId="580D6215"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4"/>
                <w:szCs w:val="16"/>
              </w:rPr>
            </w:pPr>
            <w:r w:rsidRPr="00DC3863">
              <w:rPr>
                <w:b/>
                <w:color w:val="000000"/>
                <w:sz w:val="14"/>
                <w:szCs w:val="16"/>
              </w:rPr>
              <w:t>Customers</w:t>
            </w:r>
          </w:p>
        </w:tc>
        <w:tc>
          <w:tcPr>
            <w:tcW w:w="846" w:type="dxa"/>
            <w:shd w:val="clear" w:color="auto" w:fill="E6E4DE" w:themeFill="accent6"/>
            <w:noWrap/>
            <w:hideMark/>
          </w:tcPr>
          <w:p w14:paraId="1478A22A"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4"/>
                <w:szCs w:val="16"/>
              </w:rPr>
            </w:pPr>
            <w:r w:rsidRPr="00DC3863">
              <w:rPr>
                <w:b/>
                <w:color w:val="000000"/>
                <w:sz w:val="14"/>
                <w:szCs w:val="16"/>
              </w:rPr>
              <w:t>Suppliers</w:t>
            </w:r>
          </w:p>
        </w:tc>
        <w:tc>
          <w:tcPr>
            <w:tcW w:w="992" w:type="dxa"/>
            <w:shd w:val="clear" w:color="auto" w:fill="E6E4DE" w:themeFill="accent6"/>
            <w:noWrap/>
            <w:hideMark/>
          </w:tcPr>
          <w:p w14:paraId="72F1D343"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4"/>
                <w:szCs w:val="16"/>
              </w:rPr>
            </w:pPr>
            <w:r w:rsidRPr="00DC3863">
              <w:rPr>
                <w:b/>
                <w:color w:val="000000"/>
                <w:sz w:val="14"/>
                <w:szCs w:val="16"/>
              </w:rPr>
              <w:t>Customers</w:t>
            </w:r>
          </w:p>
        </w:tc>
        <w:tc>
          <w:tcPr>
            <w:tcW w:w="846" w:type="dxa"/>
            <w:shd w:val="clear" w:color="auto" w:fill="E6E4DE" w:themeFill="accent6"/>
            <w:noWrap/>
            <w:hideMark/>
          </w:tcPr>
          <w:p w14:paraId="42429F69"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4"/>
                <w:szCs w:val="16"/>
              </w:rPr>
            </w:pPr>
            <w:r w:rsidRPr="00DC3863">
              <w:rPr>
                <w:b/>
                <w:color w:val="000000"/>
                <w:sz w:val="14"/>
                <w:szCs w:val="16"/>
              </w:rPr>
              <w:t>Suppliers</w:t>
            </w:r>
          </w:p>
        </w:tc>
      </w:tr>
      <w:tr w:rsidR="00553FD5" w:rsidRPr="00DC3863" w14:paraId="1732860C"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086D5858" w14:textId="77777777" w:rsidR="00553FD5" w:rsidRPr="00DC3863" w:rsidRDefault="00553FD5" w:rsidP="00C93734">
            <w:pPr>
              <w:jc w:val="both"/>
              <w:rPr>
                <w:color w:val="000000"/>
                <w:sz w:val="16"/>
                <w:szCs w:val="16"/>
              </w:rPr>
            </w:pPr>
            <w:r w:rsidRPr="00DC3863">
              <w:rPr>
                <w:color w:val="000000"/>
                <w:sz w:val="16"/>
                <w:szCs w:val="16"/>
              </w:rPr>
              <w:t>Lincolnshire / Humber</w:t>
            </w:r>
          </w:p>
        </w:tc>
        <w:tc>
          <w:tcPr>
            <w:tcW w:w="947" w:type="dxa"/>
            <w:noWrap/>
            <w:hideMark/>
          </w:tcPr>
          <w:p w14:paraId="65E2E422"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39.4%</w:t>
            </w:r>
          </w:p>
        </w:tc>
        <w:tc>
          <w:tcPr>
            <w:tcW w:w="846" w:type="dxa"/>
            <w:noWrap/>
            <w:hideMark/>
          </w:tcPr>
          <w:p w14:paraId="4C56E715"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37.1%</w:t>
            </w:r>
          </w:p>
        </w:tc>
        <w:tc>
          <w:tcPr>
            <w:tcW w:w="946" w:type="dxa"/>
            <w:noWrap/>
            <w:hideMark/>
          </w:tcPr>
          <w:p w14:paraId="3CEBFEB3"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17.0%</w:t>
            </w:r>
          </w:p>
        </w:tc>
        <w:tc>
          <w:tcPr>
            <w:tcW w:w="846" w:type="dxa"/>
            <w:noWrap/>
            <w:hideMark/>
          </w:tcPr>
          <w:p w14:paraId="4496EC59"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34.3%</w:t>
            </w:r>
          </w:p>
        </w:tc>
        <w:tc>
          <w:tcPr>
            <w:tcW w:w="946" w:type="dxa"/>
            <w:noWrap/>
            <w:hideMark/>
          </w:tcPr>
          <w:p w14:paraId="6CF5EB92"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31.3%</w:t>
            </w:r>
          </w:p>
        </w:tc>
        <w:tc>
          <w:tcPr>
            <w:tcW w:w="846" w:type="dxa"/>
            <w:noWrap/>
            <w:hideMark/>
          </w:tcPr>
          <w:p w14:paraId="315B26B1"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41.1%</w:t>
            </w:r>
          </w:p>
        </w:tc>
        <w:tc>
          <w:tcPr>
            <w:tcW w:w="946" w:type="dxa"/>
            <w:noWrap/>
            <w:hideMark/>
          </w:tcPr>
          <w:p w14:paraId="10E82873"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22.4%</w:t>
            </w:r>
          </w:p>
        </w:tc>
        <w:tc>
          <w:tcPr>
            <w:tcW w:w="846" w:type="dxa"/>
            <w:noWrap/>
            <w:hideMark/>
          </w:tcPr>
          <w:p w14:paraId="35647694"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26.5%</w:t>
            </w:r>
          </w:p>
        </w:tc>
        <w:tc>
          <w:tcPr>
            <w:tcW w:w="992" w:type="dxa"/>
            <w:noWrap/>
            <w:hideMark/>
          </w:tcPr>
          <w:p w14:paraId="6A25EB72"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51.2%</w:t>
            </w:r>
          </w:p>
        </w:tc>
        <w:tc>
          <w:tcPr>
            <w:tcW w:w="846" w:type="dxa"/>
            <w:noWrap/>
            <w:hideMark/>
          </w:tcPr>
          <w:p w14:paraId="4BC672E5"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52.7%</w:t>
            </w:r>
          </w:p>
        </w:tc>
      </w:tr>
      <w:tr w:rsidR="00553FD5" w:rsidRPr="00DC3863" w14:paraId="35B288A8"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084D3F72" w14:textId="77777777" w:rsidR="00553FD5" w:rsidRPr="00DC3863" w:rsidRDefault="00553FD5" w:rsidP="00C93734">
            <w:pPr>
              <w:jc w:val="both"/>
              <w:rPr>
                <w:color w:val="000000"/>
                <w:sz w:val="16"/>
                <w:szCs w:val="16"/>
              </w:rPr>
            </w:pPr>
            <w:r w:rsidRPr="00DC3863">
              <w:rPr>
                <w:color w:val="000000"/>
                <w:sz w:val="16"/>
                <w:szCs w:val="16"/>
              </w:rPr>
              <w:t>Elsewhere in Yorkshire and Humber</w:t>
            </w:r>
          </w:p>
        </w:tc>
        <w:tc>
          <w:tcPr>
            <w:tcW w:w="947" w:type="dxa"/>
            <w:noWrap/>
            <w:hideMark/>
          </w:tcPr>
          <w:p w14:paraId="1687BE06"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12.1%</w:t>
            </w:r>
          </w:p>
        </w:tc>
        <w:tc>
          <w:tcPr>
            <w:tcW w:w="846" w:type="dxa"/>
            <w:noWrap/>
            <w:hideMark/>
          </w:tcPr>
          <w:p w14:paraId="7091BC33"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17.1%</w:t>
            </w:r>
          </w:p>
        </w:tc>
        <w:tc>
          <w:tcPr>
            <w:tcW w:w="946" w:type="dxa"/>
            <w:noWrap/>
            <w:hideMark/>
          </w:tcPr>
          <w:p w14:paraId="21EDF06F"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9.3%</w:t>
            </w:r>
          </w:p>
        </w:tc>
        <w:tc>
          <w:tcPr>
            <w:tcW w:w="846" w:type="dxa"/>
            <w:noWrap/>
            <w:hideMark/>
          </w:tcPr>
          <w:p w14:paraId="402D8833"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18.2%</w:t>
            </w:r>
          </w:p>
        </w:tc>
        <w:tc>
          <w:tcPr>
            <w:tcW w:w="946" w:type="dxa"/>
            <w:noWrap/>
            <w:hideMark/>
          </w:tcPr>
          <w:p w14:paraId="2DCED702"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13.0%</w:t>
            </w:r>
          </w:p>
        </w:tc>
        <w:tc>
          <w:tcPr>
            <w:tcW w:w="846" w:type="dxa"/>
            <w:noWrap/>
            <w:hideMark/>
          </w:tcPr>
          <w:p w14:paraId="731B3054"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16.7%</w:t>
            </w:r>
          </w:p>
        </w:tc>
        <w:tc>
          <w:tcPr>
            <w:tcW w:w="946" w:type="dxa"/>
            <w:noWrap/>
            <w:hideMark/>
          </w:tcPr>
          <w:p w14:paraId="751A0717"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6.1%</w:t>
            </w:r>
          </w:p>
        </w:tc>
        <w:tc>
          <w:tcPr>
            <w:tcW w:w="846" w:type="dxa"/>
            <w:noWrap/>
            <w:hideMark/>
          </w:tcPr>
          <w:p w14:paraId="028EF1DF"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20.4%</w:t>
            </w:r>
          </w:p>
        </w:tc>
        <w:tc>
          <w:tcPr>
            <w:tcW w:w="992" w:type="dxa"/>
            <w:noWrap/>
            <w:hideMark/>
          </w:tcPr>
          <w:p w14:paraId="40E1BCDF"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12.1%</w:t>
            </w:r>
          </w:p>
        </w:tc>
        <w:tc>
          <w:tcPr>
            <w:tcW w:w="846" w:type="dxa"/>
            <w:noWrap/>
            <w:hideMark/>
          </w:tcPr>
          <w:p w14:paraId="2F178E15"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18.3%</w:t>
            </w:r>
          </w:p>
        </w:tc>
      </w:tr>
      <w:tr w:rsidR="000E33E6" w:rsidRPr="00DC3863" w14:paraId="049B83FB"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1023" w:type="dxa"/>
            <w:shd w:val="clear" w:color="auto" w:fill="E6E4DE" w:themeFill="accent6"/>
            <w:noWrap/>
            <w:hideMark/>
          </w:tcPr>
          <w:p w14:paraId="1D316462" w14:textId="77777777" w:rsidR="00553FD5" w:rsidRPr="00DC3863" w:rsidRDefault="00553FD5" w:rsidP="00C93734">
            <w:pPr>
              <w:jc w:val="both"/>
              <w:rPr>
                <w:b/>
                <w:color w:val="000000"/>
                <w:sz w:val="16"/>
                <w:szCs w:val="16"/>
              </w:rPr>
            </w:pPr>
            <w:r w:rsidRPr="00DC3863">
              <w:rPr>
                <w:b/>
                <w:color w:val="000000"/>
                <w:sz w:val="16"/>
                <w:szCs w:val="16"/>
              </w:rPr>
              <w:t>Local Area</w:t>
            </w:r>
          </w:p>
        </w:tc>
        <w:tc>
          <w:tcPr>
            <w:tcW w:w="947" w:type="dxa"/>
            <w:shd w:val="clear" w:color="auto" w:fill="E6E4DE" w:themeFill="accent6"/>
            <w:noWrap/>
            <w:hideMark/>
          </w:tcPr>
          <w:p w14:paraId="0AE4C4CB"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6"/>
                <w:szCs w:val="16"/>
              </w:rPr>
            </w:pPr>
            <w:r w:rsidRPr="00DC3863">
              <w:rPr>
                <w:b/>
                <w:color w:val="000000"/>
                <w:sz w:val="16"/>
                <w:szCs w:val="16"/>
              </w:rPr>
              <w:t>51.5%</w:t>
            </w:r>
          </w:p>
        </w:tc>
        <w:tc>
          <w:tcPr>
            <w:tcW w:w="846" w:type="dxa"/>
            <w:shd w:val="clear" w:color="auto" w:fill="E6E4DE" w:themeFill="accent6"/>
            <w:noWrap/>
            <w:hideMark/>
          </w:tcPr>
          <w:p w14:paraId="055E5446"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6"/>
                <w:szCs w:val="16"/>
              </w:rPr>
            </w:pPr>
            <w:r w:rsidRPr="00DC3863">
              <w:rPr>
                <w:b/>
                <w:color w:val="000000"/>
                <w:sz w:val="16"/>
                <w:szCs w:val="16"/>
              </w:rPr>
              <w:t>54.3%</w:t>
            </w:r>
          </w:p>
        </w:tc>
        <w:tc>
          <w:tcPr>
            <w:tcW w:w="946" w:type="dxa"/>
            <w:shd w:val="clear" w:color="auto" w:fill="E6E4DE" w:themeFill="accent6"/>
            <w:noWrap/>
            <w:hideMark/>
          </w:tcPr>
          <w:p w14:paraId="0ED3C192"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6"/>
                <w:szCs w:val="16"/>
              </w:rPr>
            </w:pPr>
            <w:r w:rsidRPr="00DC3863">
              <w:rPr>
                <w:b/>
                <w:color w:val="000000"/>
                <w:sz w:val="16"/>
                <w:szCs w:val="16"/>
              </w:rPr>
              <w:t>26.3%</w:t>
            </w:r>
          </w:p>
        </w:tc>
        <w:tc>
          <w:tcPr>
            <w:tcW w:w="846" w:type="dxa"/>
            <w:shd w:val="clear" w:color="auto" w:fill="E6E4DE" w:themeFill="accent6"/>
            <w:noWrap/>
            <w:hideMark/>
          </w:tcPr>
          <w:p w14:paraId="6CB5C418"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6"/>
                <w:szCs w:val="16"/>
              </w:rPr>
            </w:pPr>
            <w:r w:rsidRPr="00DC3863">
              <w:rPr>
                <w:b/>
                <w:color w:val="000000"/>
                <w:sz w:val="16"/>
                <w:szCs w:val="16"/>
              </w:rPr>
              <w:t>52.4%</w:t>
            </w:r>
          </w:p>
        </w:tc>
        <w:tc>
          <w:tcPr>
            <w:tcW w:w="946" w:type="dxa"/>
            <w:shd w:val="clear" w:color="auto" w:fill="E6E4DE" w:themeFill="accent6"/>
            <w:noWrap/>
            <w:hideMark/>
          </w:tcPr>
          <w:p w14:paraId="1430C68E"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6"/>
                <w:szCs w:val="16"/>
              </w:rPr>
            </w:pPr>
            <w:r w:rsidRPr="00DC3863">
              <w:rPr>
                <w:b/>
                <w:color w:val="000000"/>
                <w:sz w:val="16"/>
                <w:szCs w:val="16"/>
              </w:rPr>
              <w:t>44.3%</w:t>
            </w:r>
          </w:p>
        </w:tc>
        <w:tc>
          <w:tcPr>
            <w:tcW w:w="846" w:type="dxa"/>
            <w:shd w:val="clear" w:color="auto" w:fill="E6E4DE" w:themeFill="accent6"/>
            <w:noWrap/>
            <w:hideMark/>
          </w:tcPr>
          <w:p w14:paraId="2E3DF68D"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6"/>
                <w:szCs w:val="16"/>
              </w:rPr>
            </w:pPr>
            <w:r w:rsidRPr="00DC3863">
              <w:rPr>
                <w:b/>
                <w:color w:val="000000"/>
                <w:sz w:val="16"/>
                <w:szCs w:val="16"/>
              </w:rPr>
              <w:t>57.8%</w:t>
            </w:r>
          </w:p>
        </w:tc>
        <w:tc>
          <w:tcPr>
            <w:tcW w:w="946" w:type="dxa"/>
            <w:shd w:val="clear" w:color="auto" w:fill="E6E4DE" w:themeFill="accent6"/>
            <w:noWrap/>
            <w:hideMark/>
          </w:tcPr>
          <w:p w14:paraId="1A284535"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6"/>
                <w:szCs w:val="16"/>
              </w:rPr>
            </w:pPr>
            <w:r w:rsidRPr="00DC3863">
              <w:rPr>
                <w:b/>
                <w:color w:val="000000"/>
                <w:sz w:val="16"/>
                <w:szCs w:val="16"/>
              </w:rPr>
              <w:t>28.6%</w:t>
            </w:r>
          </w:p>
        </w:tc>
        <w:tc>
          <w:tcPr>
            <w:tcW w:w="846" w:type="dxa"/>
            <w:shd w:val="clear" w:color="auto" w:fill="E6E4DE" w:themeFill="accent6"/>
            <w:noWrap/>
            <w:hideMark/>
          </w:tcPr>
          <w:p w14:paraId="15F3CEC2"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6"/>
                <w:szCs w:val="16"/>
              </w:rPr>
            </w:pPr>
            <w:r w:rsidRPr="00DC3863">
              <w:rPr>
                <w:b/>
                <w:color w:val="000000"/>
                <w:sz w:val="16"/>
                <w:szCs w:val="16"/>
              </w:rPr>
              <w:t>46.9%</w:t>
            </w:r>
          </w:p>
        </w:tc>
        <w:tc>
          <w:tcPr>
            <w:tcW w:w="992" w:type="dxa"/>
            <w:shd w:val="clear" w:color="auto" w:fill="E6E4DE" w:themeFill="accent6"/>
            <w:noWrap/>
            <w:hideMark/>
          </w:tcPr>
          <w:p w14:paraId="454FAD69"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6"/>
                <w:szCs w:val="16"/>
              </w:rPr>
            </w:pPr>
            <w:r w:rsidRPr="00DC3863">
              <w:rPr>
                <w:b/>
                <w:color w:val="000000"/>
                <w:sz w:val="16"/>
                <w:szCs w:val="16"/>
              </w:rPr>
              <w:t>63.3%</w:t>
            </w:r>
          </w:p>
        </w:tc>
        <w:tc>
          <w:tcPr>
            <w:tcW w:w="846" w:type="dxa"/>
            <w:shd w:val="clear" w:color="auto" w:fill="E6E4DE" w:themeFill="accent6"/>
            <w:noWrap/>
            <w:hideMark/>
          </w:tcPr>
          <w:p w14:paraId="1CBC732F"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6"/>
                <w:szCs w:val="16"/>
              </w:rPr>
            </w:pPr>
            <w:r w:rsidRPr="00DC3863">
              <w:rPr>
                <w:b/>
                <w:color w:val="000000"/>
                <w:sz w:val="16"/>
                <w:szCs w:val="16"/>
              </w:rPr>
              <w:t>71.0%</w:t>
            </w:r>
          </w:p>
        </w:tc>
      </w:tr>
      <w:tr w:rsidR="000E33E6" w:rsidRPr="00DC3863" w14:paraId="3A39F7BE"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1023" w:type="dxa"/>
            <w:shd w:val="clear" w:color="auto" w:fill="E6E4DE" w:themeFill="accent6"/>
            <w:noWrap/>
            <w:hideMark/>
          </w:tcPr>
          <w:p w14:paraId="5D22E69C" w14:textId="77777777" w:rsidR="00553FD5" w:rsidRPr="00DC3863" w:rsidRDefault="00553FD5" w:rsidP="00C93734">
            <w:pPr>
              <w:jc w:val="both"/>
              <w:rPr>
                <w:b/>
                <w:color w:val="000000"/>
                <w:sz w:val="16"/>
                <w:szCs w:val="16"/>
              </w:rPr>
            </w:pPr>
            <w:r w:rsidRPr="00DC3863">
              <w:rPr>
                <w:b/>
                <w:color w:val="000000"/>
                <w:sz w:val="16"/>
                <w:szCs w:val="16"/>
              </w:rPr>
              <w:t>UK</w:t>
            </w:r>
          </w:p>
        </w:tc>
        <w:tc>
          <w:tcPr>
            <w:tcW w:w="947" w:type="dxa"/>
            <w:shd w:val="clear" w:color="auto" w:fill="E6E4DE" w:themeFill="accent6"/>
            <w:noWrap/>
            <w:hideMark/>
          </w:tcPr>
          <w:p w14:paraId="1EF5D1E1"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6"/>
                <w:szCs w:val="16"/>
              </w:rPr>
            </w:pPr>
            <w:r w:rsidRPr="00DC3863">
              <w:rPr>
                <w:b/>
                <w:color w:val="000000"/>
                <w:sz w:val="16"/>
                <w:szCs w:val="16"/>
              </w:rPr>
              <w:t>69.7%</w:t>
            </w:r>
          </w:p>
        </w:tc>
        <w:tc>
          <w:tcPr>
            <w:tcW w:w="846" w:type="dxa"/>
            <w:shd w:val="clear" w:color="auto" w:fill="E6E4DE" w:themeFill="accent6"/>
            <w:noWrap/>
            <w:hideMark/>
          </w:tcPr>
          <w:p w14:paraId="57816B18"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6"/>
                <w:szCs w:val="16"/>
              </w:rPr>
            </w:pPr>
            <w:r w:rsidRPr="00DC3863">
              <w:rPr>
                <w:b/>
                <w:color w:val="000000"/>
                <w:sz w:val="16"/>
                <w:szCs w:val="16"/>
              </w:rPr>
              <w:t>88.6%</w:t>
            </w:r>
          </w:p>
        </w:tc>
        <w:tc>
          <w:tcPr>
            <w:tcW w:w="946" w:type="dxa"/>
            <w:shd w:val="clear" w:color="auto" w:fill="E6E4DE" w:themeFill="accent6"/>
            <w:noWrap/>
            <w:hideMark/>
          </w:tcPr>
          <w:p w14:paraId="1AF66711"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6"/>
                <w:szCs w:val="16"/>
              </w:rPr>
            </w:pPr>
            <w:r w:rsidRPr="00DC3863">
              <w:rPr>
                <w:b/>
                <w:color w:val="000000"/>
                <w:sz w:val="16"/>
                <w:szCs w:val="16"/>
              </w:rPr>
              <w:t>61.3%</w:t>
            </w:r>
          </w:p>
        </w:tc>
        <w:tc>
          <w:tcPr>
            <w:tcW w:w="846" w:type="dxa"/>
            <w:shd w:val="clear" w:color="auto" w:fill="E6E4DE" w:themeFill="accent6"/>
            <w:noWrap/>
            <w:hideMark/>
          </w:tcPr>
          <w:p w14:paraId="79DCA780"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6"/>
                <w:szCs w:val="16"/>
              </w:rPr>
            </w:pPr>
            <w:r w:rsidRPr="00DC3863">
              <w:rPr>
                <w:b/>
                <w:color w:val="000000"/>
                <w:sz w:val="16"/>
                <w:szCs w:val="16"/>
              </w:rPr>
              <w:t>79.7%</w:t>
            </w:r>
          </w:p>
        </w:tc>
        <w:tc>
          <w:tcPr>
            <w:tcW w:w="946" w:type="dxa"/>
            <w:shd w:val="clear" w:color="auto" w:fill="E6E4DE" w:themeFill="accent6"/>
            <w:noWrap/>
            <w:hideMark/>
          </w:tcPr>
          <w:p w14:paraId="2112DFC6"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6"/>
                <w:szCs w:val="16"/>
              </w:rPr>
            </w:pPr>
            <w:r w:rsidRPr="00DC3863">
              <w:rPr>
                <w:b/>
                <w:color w:val="000000"/>
                <w:sz w:val="16"/>
                <w:szCs w:val="16"/>
              </w:rPr>
              <w:t>84.0%</w:t>
            </w:r>
          </w:p>
        </w:tc>
        <w:tc>
          <w:tcPr>
            <w:tcW w:w="846" w:type="dxa"/>
            <w:shd w:val="clear" w:color="auto" w:fill="E6E4DE" w:themeFill="accent6"/>
            <w:noWrap/>
            <w:hideMark/>
          </w:tcPr>
          <w:p w14:paraId="6C1F7596"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6"/>
                <w:szCs w:val="16"/>
              </w:rPr>
            </w:pPr>
            <w:r w:rsidRPr="00DC3863">
              <w:rPr>
                <w:b/>
                <w:color w:val="000000"/>
                <w:sz w:val="16"/>
                <w:szCs w:val="16"/>
              </w:rPr>
              <w:t>77.8%</w:t>
            </w:r>
          </w:p>
        </w:tc>
        <w:tc>
          <w:tcPr>
            <w:tcW w:w="946" w:type="dxa"/>
            <w:shd w:val="clear" w:color="auto" w:fill="E6E4DE" w:themeFill="accent6"/>
            <w:noWrap/>
            <w:hideMark/>
          </w:tcPr>
          <w:p w14:paraId="0DEEE059"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6"/>
                <w:szCs w:val="16"/>
              </w:rPr>
            </w:pPr>
            <w:r w:rsidRPr="00DC3863">
              <w:rPr>
                <w:b/>
                <w:color w:val="000000"/>
                <w:sz w:val="16"/>
                <w:szCs w:val="16"/>
              </w:rPr>
              <w:t>63.3%</w:t>
            </w:r>
          </w:p>
        </w:tc>
        <w:tc>
          <w:tcPr>
            <w:tcW w:w="846" w:type="dxa"/>
            <w:shd w:val="clear" w:color="auto" w:fill="E6E4DE" w:themeFill="accent6"/>
            <w:noWrap/>
            <w:hideMark/>
          </w:tcPr>
          <w:p w14:paraId="20217CB1"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6"/>
                <w:szCs w:val="16"/>
              </w:rPr>
            </w:pPr>
            <w:r w:rsidRPr="00DC3863">
              <w:rPr>
                <w:b/>
                <w:color w:val="000000"/>
                <w:sz w:val="16"/>
                <w:szCs w:val="16"/>
              </w:rPr>
              <w:t>79.6%</w:t>
            </w:r>
          </w:p>
        </w:tc>
        <w:tc>
          <w:tcPr>
            <w:tcW w:w="992" w:type="dxa"/>
            <w:shd w:val="clear" w:color="auto" w:fill="E6E4DE" w:themeFill="accent6"/>
            <w:noWrap/>
            <w:hideMark/>
          </w:tcPr>
          <w:p w14:paraId="3FB95B48"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6"/>
                <w:szCs w:val="16"/>
              </w:rPr>
            </w:pPr>
            <w:r w:rsidRPr="00DC3863">
              <w:rPr>
                <w:b/>
                <w:color w:val="000000"/>
                <w:sz w:val="16"/>
                <w:szCs w:val="16"/>
              </w:rPr>
              <w:t>81.6%</w:t>
            </w:r>
          </w:p>
        </w:tc>
        <w:tc>
          <w:tcPr>
            <w:tcW w:w="846" w:type="dxa"/>
            <w:shd w:val="clear" w:color="auto" w:fill="E6E4DE" w:themeFill="accent6"/>
            <w:noWrap/>
            <w:hideMark/>
          </w:tcPr>
          <w:p w14:paraId="44EFAFD9"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b/>
                <w:color w:val="000000"/>
                <w:sz w:val="16"/>
                <w:szCs w:val="16"/>
              </w:rPr>
            </w:pPr>
            <w:r w:rsidRPr="00DC3863">
              <w:rPr>
                <w:b/>
                <w:color w:val="000000"/>
                <w:sz w:val="16"/>
                <w:szCs w:val="16"/>
              </w:rPr>
              <w:t>95.7%</w:t>
            </w:r>
          </w:p>
        </w:tc>
      </w:tr>
      <w:tr w:rsidR="00553FD5" w:rsidRPr="00DC3863" w14:paraId="6D09F170"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5CE1FAAE" w14:textId="77777777" w:rsidR="00553FD5" w:rsidRPr="00DC3863" w:rsidRDefault="00553FD5" w:rsidP="00C93734">
            <w:pPr>
              <w:jc w:val="both"/>
              <w:rPr>
                <w:color w:val="000000"/>
                <w:sz w:val="16"/>
                <w:szCs w:val="16"/>
              </w:rPr>
            </w:pPr>
            <w:r w:rsidRPr="00DC3863">
              <w:rPr>
                <w:color w:val="000000"/>
                <w:sz w:val="16"/>
                <w:szCs w:val="16"/>
              </w:rPr>
              <w:t>Europe (other than UK);</w:t>
            </w:r>
          </w:p>
        </w:tc>
        <w:tc>
          <w:tcPr>
            <w:tcW w:w="947" w:type="dxa"/>
            <w:noWrap/>
            <w:hideMark/>
          </w:tcPr>
          <w:p w14:paraId="645ACA10"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6.1%</w:t>
            </w:r>
          </w:p>
        </w:tc>
        <w:tc>
          <w:tcPr>
            <w:tcW w:w="846" w:type="dxa"/>
            <w:noWrap/>
            <w:hideMark/>
          </w:tcPr>
          <w:p w14:paraId="0A06B463"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5.7%</w:t>
            </w:r>
          </w:p>
        </w:tc>
        <w:tc>
          <w:tcPr>
            <w:tcW w:w="946" w:type="dxa"/>
            <w:noWrap/>
            <w:hideMark/>
          </w:tcPr>
          <w:p w14:paraId="3E42F502"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7.7%</w:t>
            </w:r>
          </w:p>
        </w:tc>
        <w:tc>
          <w:tcPr>
            <w:tcW w:w="846" w:type="dxa"/>
            <w:noWrap/>
            <w:hideMark/>
          </w:tcPr>
          <w:p w14:paraId="29BE2CAA"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9.1%</w:t>
            </w:r>
          </w:p>
        </w:tc>
        <w:tc>
          <w:tcPr>
            <w:tcW w:w="946" w:type="dxa"/>
            <w:noWrap/>
            <w:hideMark/>
          </w:tcPr>
          <w:p w14:paraId="7FC42E8D"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4.6%</w:t>
            </w:r>
          </w:p>
        </w:tc>
        <w:tc>
          <w:tcPr>
            <w:tcW w:w="846" w:type="dxa"/>
            <w:noWrap/>
            <w:hideMark/>
          </w:tcPr>
          <w:p w14:paraId="243ACB4A"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13.3%</w:t>
            </w:r>
          </w:p>
        </w:tc>
        <w:tc>
          <w:tcPr>
            <w:tcW w:w="946" w:type="dxa"/>
            <w:noWrap/>
            <w:hideMark/>
          </w:tcPr>
          <w:p w14:paraId="7E95974B"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10.2%</w:t>
            </w:r>
          </w:p>
        </w:tc>
        <w:tc>
          <w:tcPr>
            <w:tcW w:w="846" w:type="dxa"/>
            <w:noWrap/>
            <w:hideMark/>
          </w:tcPr>
          <w:p w14:paraId="4BDA080A"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10.2%</w:t>
            </w:r>
          </w:p>
        </w:tc>
        <w:tc>
          <w:tcPr>
            <w:tcW w:w="992" w:type="dxa"/>
            <w:noWrap/>
            <w:hideMark/>
          </w:tcPr>
          <w:p w14:paraId="067341C6"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4.8%</w:t>
            </w:r>
          </w:p>
        </w:tc>
        <w:tc>
          <w:tcPr>
            <w:tcW w:w="846" w:type="dxa"/>
            <w:noWrap/>
            <w:hideMark/>
          </w:tcPr>
          <w:p w14:paraId="0EAF101D"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2.7%</w:t>
            </w:r>
          </w:p>
        </w:tc>
      </w:tr>
      <w:tr w:rsidR="00553FD5" w:rsidRPr="00DC3863" w14:paraId="3FBC2758"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31804BC7" w14:textId="77777777" w:rsidR="00553FD5" w:rsidRPr="00DC3863" w:rsidRDefault="00553FD5" w:rsidP="00C93734">
            <w:pPr>
              <w:jc w:val="both"/>
              <w:rPr>
                <w:color w:val="000000"/>
                <w:sz w:val="16"/>
                <w:szCs w:val="16"/>
              </w:rPr>
            </w:pPr>
            <w:r w:rsidRPr="00DC3863">
              <w:rPr>
                <w:color w:val="000000"/>
                <w:sz w:val="16"/>
                <w:szCs w:val="16"/>
              </w:rPr>
              <w:t>USA;</w:t>
            </w:r>
          </w:p>
        </w:tc>
        <w:tc>
          <w:tcPr>
            <w:tcW w:w="947" w:type="dxa"/>
            <w:noWrap/>
            <w:hideMark/>
          </w:tcPr>
          <w:p w14:paraId="21E7CEF6"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0.0%</w:t>
            </w:r>
          </w:p>
        </w:tc>
        <w:tc>
          <w:tcPr>
            <w:tcW w:w="846" w:type="dxa"/>
            <w:noWrap/>
            <w:hideMark/>
          </w:tcPr>
          <w:p w14:paraId="54FB79A6"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0.0%</w:t>
            </w:r>
          </w:p>
        </w:tc>
        <w:tc>
          <w:tcPr>
            <w:tcW w:w="946" w:type="dxa"/>
            <w:noWrap/>
            <w:hideMark/>
          </w:tcPr>
          <w:p w14:paraId="4E76BDAE"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3.1%</w:t>
            </w:r>
          </w:p>
        </w:tc>
        <w:tc>
          <w:tcPr>
            <w:tcW w:w="846" w:type="dxa"/>
            <w:noWrap/>
            <w:hideMark/>
          </w:tcPr>
          <w:p w14:paraId="3C579706"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0.7%</w:t>
            </w:r>
          </w:p>
        </w:tc>
        <w:tc>
          <w:tcPr>
            <w:tcW w:w="946" w:type="dxa"/>
            <w:noWrap/>
            <w:hideMark/>
          </w:tcPr>
          <w:p w14:paraId="0749A0B8"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0.0%</w:t>
            </w:r>
          </w:p>
        </w:tc>
        <w:tc>
          <w:tcPr>
            <w:tcW w:w="846" w:type="dxa"/>
            <w:noWrap/>
            <w:hideMark/>
          </w:tcPr>
          <w:p w14:paraId="2EA756A9"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0.0%</w:t>
            </w:r>
          </w:p>
        </w:tc>
        <w:tc>
          <w:tcPr>
            <w:tcW w:w="946" w:type="dxa"/>
            <w:noWrap/>
            <w:hideMark/>
          </w:tcPr>
          <w:p w14:paraId="64B4647D"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0.0%</w:t>
            </w:r>
          </w:p>
        </w:tc>
        <w:tc>
          <w:tcPr>
            <w:tcW w:w="846" w:type="dxa"/>
            <w:noWrap/>
            <w:hideMark/>
          </w:tcPr>
          <w:p w14:paraId="777FFA1B"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0.0%</w:t>
            </w:r>
          </w:p>
        </w:tc>
        <w:tc>
          <w:tcPr>
            <w:tcW w:w="992" w:type="dxa"/>
            <w:noWrap/>
            <w:hideMark/>
          </w:tcPr>
          <w:p w14:paraId="03AAD0D4"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0.5%</w:t>
            </w:r>
          </w:p>
        </w:tc>
        <w:tc>
          <w:tcPr>
            <w:tcW w:w="846" w:type="dxa"/>
            <w:noWrap/>
            <w:hideMark/>
          </w:tcPr>
          <w:p w14:paraId="4B1A0199"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0.5%</w:t>
            </w:r>
          </w:p>
        </w:tc>
      </w:tr>
      <w:tr w:rsidR="00553FD5" w:rsidRPr="00DC3863" w14:paraId="7A8642B2"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303E2FDD" w14:textId="77777777" w:rsidR="00553FD5" w:rsidRPr="00DC3863" w:rsidRDefault="00553FD5" w:rsidP="00C93734">
            <w:pPr>
              <w:jc w:val="both"/>
              <w:rPr>
                <w:color w:val="000000"/>
                <w:sz w:val="16"/>
                <w:szCs w:val="16"/>
              </w:rPr>
            </w:pPr>
            <w:r w:rsidRPr="00DC3863">
              <w:rPr>
                <w:color w:val="000000"/>
                <w:sz w:val="16"/>
                <w:szCs w:val="16"/>
              </w:rPr>
              <w:t>China</w:t>
            </w:r>
          </w:p>
        </w:tc>
        <w:tc>
          <w:tcPr>
            <w:tcW w:w="947" w:type="dxa"/>
            <w:noWrap/>
            <w:hideMark/>
          </w:tcPr>
          <w:p w14:paraId="5CBF0368"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0.0%</w:t>
            </w:r>
          </w:p>
        </w:tc>
        <w:tc>
          <w:tcPr>
            <w:tcW w:w="846" w:type="dxa"/>
            <w:noWrap/>
            <w:hideMark/>
          </w:tcPr>
          <w:p w14:paraId="26F2899F"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0.0%</w:t>
            </w:r>
          </w:p>
        </w:tc>
        <w:tc>
          <w:tcPr>
            <w:tcW w:w="946" w:type="dxa"/>
            <w:noWrap/>
            <w:hideMark/>
          </w:tcPr>
          <w:p w14:paraId="41964E43"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2.1%</w:t>
            </w:r>
          </w:p>
        </w:tc>
        <w:tc>
          <w:tcPr>
            <w:tcW w:w="846" w:type="dxa"/>
            <w:noWrap/>
            <w:hideMark/>
          </w:tcPr>
          <w:p w14:paraId="3E452E57"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2.1%</w:t>
            </w:r>
          </w:p>
        </w:tc>
        <w:tc>
          <w:tcPr>
            <w:tcW w:w="946" w:type="dxa"/>
            <w:noWrap/>
            <w:hideMark/>
          </w:tcPr>
          <w:p w14:paraId="7F0F9CD0"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0.0%</w:t>
            </w:r>
          </w:p>
        </w:tc>
        <w:tc>
          <w:tcPr>
            <w:tcW w:w="846" w:type="dxa"/>
            <w:noWrap/>
            <w:hideMark/>
          </w:tcPr>
          <w:p w14:paraId="14FFD645"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2.2%</w:t>
            </w:r>
          </w:p>
        </w:tc>
        <w:tc>
          <w:tcPr>
            <w:tcW w:w="946" w:type="dxa"/>
            <w:noWrap/>
            <w:hideMark/>
          </w:tcPr>
          <w:p w14:paraId="35CBCE8A"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0.0%</w:t>
            </w:r>
          </w:p>
        </w:tc>
        <w:tc>
          <w:tcPr>
            <w:tcW w:w="846" w:type="dxa"/>
            <w:noWrap/>
            <w:hideMark/>
          </w:tcPr>
          <w:p w14:paraId="66BF43D2"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0.0%</w:t>
            </w:r>
          </w:p>
        </w:tc>
        <w:tc>
          <w:tcPr>
            <w:tcW w:w="992" w:type="dxa"/>
            <w:noWrap/>
            <w:hideMark/>
          </w:tcPr>
          <w:p w14:paraId="5299B843"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0.0%</w:t>
            </w:r>
          </w:p>
        </w:tc>
        <w:tc>
          <w:tcPr>
            <w:tcW w:w="846" w:type="dxa"/>
            <w:noWrap/>
            <w:hideMark/>
          </w:tcPr>
          <w:p w14:paraId="6E3ECE89"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0.0%</w:t>
            </w:r>
          </w:p>
        </w:tc>
      </w:tr>
      <w:tr w:rsidR="00553FD5" w:rsidRPr="00DC3863" w14:paraId="0E6C874B"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0BB99A48" w14:textId="77777777" w:rsidR="00553FD5" w:rsidRPr="00DC3863" w:rsidRDefault="00553FD5" w:rsidP="00C93734">
            <w:pPr>
              <w:jc w:val="both"/>
              <w:rPr>
                <w:color w:val="000000"/>
                <w:sz w:val="16"/>
                <w:szCs w:val="16"/>
              </w:rPr>
            </w:pPr>
            <w:r w:rsidRPr="00DC3863">
              <w:rPr>
                <w:color w:val="000000"/>
                <w:sz w:val="16"/>
                <w:szCs w:val="16"/>
              </w:rPr>
              <w:t>Far East;</w:t>
            </w:r>
          </w:p>
        </w:tc>
        <w:tc>
          <w:tcPr>
            <w:tcW w:w="947" w:type="dxa"/>
            <w:noWrap/>
            <w:hideMark/>
          </w:tcPr>
          <w:p w14:paraId="6A607A1F"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0.0%</w:t>
            </w:r>
          </w:p>
        </w:tc>
        <w:tc>
          <w:tcPr>
            <w:tcW w:w="846" w:type="dxa"/>
            <w:noWrap/>
            <w:hideMark/>
          </w:tcPr>
          <w:p w14:paraId="1239D96C"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2.9%</w:t>
            </w:r>
          </w:p>
        </w:tc>
        <w:tc>
          <w:tcPr>
            <w:tcW w:w="946" w:type="dxa"/>
            <w:noWrap/>
            <w:hideMark/>
          </w:tcPr>
          <w:p w14:paraId="5056B5C3"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2.1%</w:t>
            </w:r>
          </w:p>
        </w:tc>
        <w:tc>
          <w:tcPr>
            <w:tcW w:w="846" w:type="dxa"/>
            <w:noWrap/>
            <w:hideMark/>
          </w:tcPr>
          <w:p w14:paraId="2987D627"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1.4%</w:t>
            </w:r>
          </w:p>
        </w:tc>
        <w:tc>
          <w:tcPr>
            <w:tcW w:w="946" w:type="dxa"/>
            <w:noWrap/>
            <w:hideMark/>
          </w:tcPr>
          <w:p w14:paraId="5B2F679D"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0.0%</w:t>
            </w:r>
          </w:p>
        </w:tc>
        <w:tc>
          <w:tcPr>
            <w:tcW w:w="846" w:type="dxa"/>
            <w:noWrap/>
            <w:hideMark/>
          </w:tcPr>
          <w:p w14:paraId="44A6DCE2"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1.1%</w:t>
            </w:r>
          </w:p>
        </w:tc>
        <w:tc>
          <w:tcPr>
            <w:tcW w:w="946" w:type="dxa"/>
            <w:noWrap/>
            <w:hideMark/>
          </w:tcPr>
          <w:p w14:paraId="5074A4B0"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2.0%</w:t>
            </w:r>
          </w:p>
        </w:tc>
        <w:tc>
          <w:tcPr>
            <w:tcW w:w="846" w:type="dxa"/>
            <w:noWrap/>
            <w:hideMark/>
          </w:tcPr>
          <w:p w14:paraId="25DEE4EE"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2.0%</w:t>
            </w:r>
          </w:p>
        </w:tc>
        <w:tc>
          <w:tcPr>
            <w:tcW w:w="992" w:type="dxa"/>
            <w:noWrap/>
            <w:hideMark/>
          </w:tcPr>
          <w:p w14:paraId="73015500"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0.0%</w:t>
            </w:r>
          </w:p>
        </w:tc>
        <w:tc>
          <w:tcPr>
            <w:tcW w:w="846" w:type="dxa"/>
            <w:noWrap/>
            <w:hideMark/>
          </w:tcPr>
          <w:p w14:paraId="1526D956"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0.5%</w:t>
            </w:r>
          </w:p>
        </w:tc>
      </w:tr>
      <w:tr w:rsidR="00553FD5" w:rsidRPr="00DC3863" w14:paraId="11249D0C"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748F13EC" w14:textId="77777777" w:rsidR="00553FD5" w:rsidRPr="00DC3863" w:rsidRDefault="00553FD5" w:rsidP="00C93734">
            <w:pPr>
              <w:jc w:val="both"/>
              <w:rPr>
                <w:color w:val="000000"/>
                <w:sz w:val="16"/>
                <w:szCs w:val="16"/>
              </w:rPr>
            </w:pPr>
            <w:r w:rsidRPr="00DC3863">
              <w:rPr>
                <w:color w:val="000000"/>
                <w:sz w:val="16"/>
                <w:szCs w:val="16"/>
              </w:rPr>
              <w:t>Other Worldwide locations</w:t>
            </w:r>
          </w:p>
        </w:tc>
        <w:tc>
          <w:tcPr>
            <w:tcW w:w="947" w:type="dxa"/>
            <w:noWrap/>
            <w:hideMark/>
          </w:tcPr>
          <w:p w14:paraId="2FFC301C"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6.1%</w:t>
            </w:r>
          </w:p>
        </w:tc>
        <w:tc>
          <w:tcPr>
            <w:tcW w:w="846" w:type="dxa"/>
            <w:noWrap/>
            <w:hideMark/>
          </w:tcPr>
          <w:p w14:paraId="78CE60E2"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2.9%</w:t>
            </w:r>
          </w:p>
        </w:tc>
        <w:tc>
          <w:tcPr>
            <w:tcW w:w="946" w:type="dxa"/>
            <w:noWrap/>
            <w:hideMark/>
          </w:tcPr>
          <w:p w14:paraId="2067BF94"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7.7%</w:t>
            </w:r>
          </w:p>
        </w:tc>
        <w:tc>
          <w:tcPr>
            <w:tcW w:w="846" w:type="dxa"/>
            <w:noWrap/>
            <w:hideMark/>
          </w:tcPr>
          <w:p w14:paraId="472D65CF"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7.0%</w:t>
            </w:r>
          </w:p>
        </w:tc>
        <w:tc>
          <w:tcPr>
            <w:tcW w:w="946" w:type="dxa"/>
            <w:noWrap/>
            <w:hideMark/>
          </w:tcPr>
          <w:p w14:paraId="33A79642"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1.5%</w:t>
            </w:r>
          </w:p>
        </w:tc>
        <w:tc>
          <w:tcPr>
            <w:tcW w:w="846" w:type="dxa"/>
            <w:noWrap/>
            <w:hideMark/>
          </w:tcPr>
          <w:p w14:paraId="3F3C3692"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5.6%</w:t>
            </w:r>
          </w:p>
        </w:tc>
        <w:tc>
          <w:tcPr>
            <w:tcW w:w="946" w:type="dxa"/>
            <w:noWrap/>
            <w:hideMark/>
          </w:tcPr>
          <w:p w14:paraId="04065BA8"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8.2%</w:t>
            </w:r>
          </w:p>
        </w:tc>
        <w:tc>
          <w:tcPr>
            <w:tcW w:w="846" w:type="dxa"/>
            <w:noWrap/>
            <w:hideMark/>
          </w:tcPr>
          <w:p w14:paraId="02F6DCA1"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8.2%</w:t>
            </w:r>
          </w:p>
        </w:tc>
        <w:tc>
          <w:tcPr>
            <w:tcW w:w="992" w:type="dxa"/>
            <w:noWrap/>
            <w:hideMark/>
          </w:tcPr>
          <w:p w14:paraId="537AC07D"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1.4%</w:t>
            </w:r>
          </w:p>
        </w:tc>
        <w:tc>
          <w:tcPr>
            <w:tcW w:w="846" w:type="dxa"/>
            <w:noWrap/>
            <w:hideMark/>
          </w:tcPr>
          <w:p w14:paraId="27375780" w14:textId="77777777" w:rsidR="00553FD5" w:rsidRPr="00DC3863" w:rsidRDefault="00553FD5" w:rsidP="00C93734">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DC3863">
              <w:rPr>
                <w:color w:val="000000"/>
                <w:sz w:val="16"/>
                <w:szCs w:val="16"/>
              </w:rPr>
              <w:t>0.5%</w:t>
            </w:r>
          </w:p>
        </w:tc>
      </w:tr>
    </w:tbl>
    <w:p w14:paraId="44A99D24" w14:textId="77777777" w:rsidR="00553FD5" w:rsidRPr="002805F3" w:rsidRDefault="00553FD5" w:rsidP="00C93734">
      <w:pPr>
        <w:pStyle w:val="TableSource"/>
        <w:jc w:val="both"/>
      </w:pPr>
      <w:r w:rsidRPr="002805F3">
        <w:t>Source: Hill Taylor and Atkins 2013. Atkins Ref: Survey –A17/K3</w:t>
      </w:r>
      <w:r>
        <w:t>. Note: Figures do not add up to 100% because of small results being excluded</w:t>
      </w:r>
    </w:p>
    <w:p w14:paraId="39FE485E" w14:textId="77777777" w:rsidR="00553FD5" w:rsidRPr="002805F3" w:rsidRDefault="00553FD5" w:rsidP="00C93734">
      <w:pPr>
        <w:pStyle w:val="Heading8"/>
        <w:jc w:val="both"/>
      </w:pPr>
      <w:r w:rsidRPr="002805F3">
        <w:t>Workforce</w:t>
      </w:r>
    </w:p>
    <w:p w14:paraId="6B2B1344" w14:textId="77777777" w:rsidR="00553FD5" w:rsidRPr="002805F3" w:rsidRDefault="00553FD5" w:rsidP="00C93734">
      <w:pPr>
        <w:pStyle w:val="BodyText"/>
        <w:jc w:val="both"/>
        <w:rPr>
          <w:szCs w:val="22"/>
        </w:rPr>
      </w:pPr>
      <w:r w:rsidRPr="002805F3">
        <w:rPr>
          <w:szCs w:val="22"/>
        </w:rPr>
        <w:t>Respondents were asked whether their business is currently affected by any serious skills shortages. Around 22.4% of all respondents said they were currently experiencing skills shortages (</w:t>
      </w:r>
      <w:r w:rsidR="00531C76">
        <w:t xml:space="preserve">Figure </w:t>
      </w:r>
      <w:r w:rsidR="00531C76">
        <w:rPr>
          <w:noProof/>
        </w:rPr>
        <w:t>0-2</w:t>
      </w:r>
      <w:r w:rsidRPr="002805F3">
        <w:rPr>
          <w:szCs w:val="22"/>
        </w:rPr>
        <w:t xml:space="preserve">) with Ports &amp; Logistics the sector which had the highest proportion of businesses with skills shortages. Food Manufacturing had the lowest proportion of respondents with skills shortages, whilst Renewables identified </w:t>
      </w:r>
      <w:r w:rsidR="00C337D4">
        <w:rPr>
          <w:szCs w:val="22"/>
        </w:rPr>
        <w:t xml:space="preserve">the issue as </w:t>
      </w:r>
      <w:r w:rsidRPr="002805F3">
        <w:rPr>
          <w:szCs w:val="22"/>
        </w:rPr>
        <w:t xml:space="preserve">a potential challenge </w:t>
      </w:r>
      <w:r w:rsidR="00C337D4">
        <w:rPr>
          <w:szCs w:val="22"/>
        </w:rPr>
        <w:t>to</w:t>
      </w:r>
      <w:r w:rsidR="00C337D4" w:rsidRPr="002805F3">
        <w:rPr>
          <w:szCs w:val="22"/>
        </w:rPr>
        <w:t xml:space="preserve"> </w:t>
      </w:r>
      <w:r w:rsidRPr="002805F3">
        <w:rPr>
          <w:szCs w:val="22"/>
        </w:rPr>
        <w:t>future growth, with a third of businesses</w:t>
      </w:r>
      <w:r w:rsidR="00C337D4">
        <w:rPr>
          <w:szCs w:val="22"/>
        </w:rPr>
        <w:t xml:space="preserve"> surveyed in the sector</w:t>
      </w:r>
      <w:r w:rsidRPr="002805F3">
        <w:rPr>
          <w:szCs w:val="22"/>
        </w:rPr>
        <w:t xml:space="preserve"> identifying skills shortages.</w:t>
      </w:r>
      <w:r>
        <w:rPr>
          <w:szCs w:val="22"/>
        </w:rPr>
        <w:t xml:space="preserve"> Although</w:t>
      </w:r>
      <w:r w:rsidR="00C337D4">
        <w:rPr>
          <w:szCs w:val="22"/>
        </w:rPr>
        <w:t xml:space="preserve"> a</w:t>
      </w:r>
      <w:r>
        <w:rPr>
          <w:szCs w:val="22"/>
        </w:rPr>
        <w:t xml:space="preserve"> comparatively low proportion</w:t>
      </w:r>
      <w:r w:rsidR="00C337D4">
        <w:rPr>
          <w:szCs w:val="22"/>
        </w:rPr>
        <w:t xml:space="preserve"> of businesses</w:t>
      </w:r>
      <w:r>
        <w:rPr>
          <w:szCs w:val="22"/>
        </w:rPr>
        <w:t xml:space="preserve"> </w:t>
      </w:r>
      <w:r w:rsidR="00C337D4">
        <w:rPr>
          <w:szCs w:val="22"/>
        </w:rPr>
        <w:t xml:space="preserve">identifed </w:t>
      </w:r>
      <w:r>
        <w:rPr>
          <w:szCs w:val="22"/>
        </w:rPr>
        <w:t xml:space="preserve">skills shortages, the figure for some sectors is higher than the UK’s </w:t>
      </w:r>
      <w:r w:rsidR="00C337D4">
        <w:rPr>
          <w:szCs w:val="22"/>
        </w:rPr>
        <w:t xml:space="preserve">aggregate proportion of </w:t>
      </w:r>
      <w:r>
        <w:rPr>
          <w:szCs w:val="22"/>
        </w:rPr>
        <w:t>skills shortage</w:t>
      </w:r>
      <w:r w:rsidR="00C337D4">
        <w:rPr>
          <w:szCs w:val="22"/>
        </w:rPr>
        <w:t xml:space="preserve"> </w:t>
      </w:r>
      <w:r>
        <w:rPr>
          <w:szCs w:val="22"/>
        </w:rPr>
        <w:t>vacancies (around 22%)</w:t>
      </w:r>
      <w:r>
        <w:rPr>
          <w:rStyle w:val="FootnoteReference"/>
          <w:szCs w:val="22"/>
        </w:rPr>
        <w:footnoteReference w:id="33"/>
      </w:r>
      <w:r>
        <w:rPr>
          <w:szCs w:val="22"/>
        </w:rPr>
        <w:t>. As noted by UKCES, this could be a significant barrier to future growth.</w:t>
      </w:r>
    </w:p>
    <w:p w14:paraId="6E8EFEBA" w14:textId="77777777" w:rsidR="00553FD5" w:rsidRPr="002805F3" w:rsidRDefault="00553FD5" w:rsidP="00DF4291">
      <w:pPr>
        <w:pStyle w:val="Caption"/>
      </w:pPr>
      <w:bookmarkStart w:id="660" w:name="_Ref391911706"/>
      <w:bookmarkStart w:id="661" w:name="_Toc383159680"/>
      <w:r>
        <w:t xml:space="preserve">Figure </w:t>
      </w:r>
      <w:fldSimple w:instr=" STYLEREF 1 \s  \* MERGEFORMAT ">
        <w:r w:rsidR="00E95E1A">
          <w:rPr>
            <w:noProof/>
          </w:rPr>
          <w:t>0</w:t>
        </w:r>
      </w:fldSimple>
      <w:r>
        <w:t>-</w:t>
      </w:r>
      <w:fldSimple w:instr=" SEQ Figure \* ARABIC \s 1  \* MERGEFORMAT ">
        <w:r w:rsidR="00E95E1A">
          <w:rPr>
            <w:noProof/>
          </w:rPr>
          <w:t>2</w:t>
        </w:r>
      </w:fldSimple>
      <w:bookmarkEnd w:id="660"/>
      <w:r>
        <w:tab/>
        <w:t>Skills Shortages</w:t>
      </w:r>
      <w:r w:rsidR="00BA1CE7">
        <w:rPr>
          <w:noProof/>
          <w:lang w:eastAsia="en-GB"/>
        </w:rPr>
        <w:drawing>
          <wp:inline distT="0" distB="0" distL="0" distR="0" wp14:anchorId="41DAA669" wp14:editId="7C2ED19F">
            <wp:extent cx="6226475" cy="3295291"/>
            <wp:effectExtent l="0" t="0" r="0" b="0"/>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bookmarkEnd w:id="661"/>
    </w:p>
    <w:p w14:paraId="7ECF1C7A" w14:textId="77777777" w:rsidR="00553FD5" w:rsidRPr="002805F3" w:rsidRDefault="00553FD5" w:rsidP="00C93734">
      <w:pPr>
        <w:pStyle w:val="TableSource"/>
        <w:jc w:val="both"/>
      </w:pPr>
      <w:r w:rsidRPr="002805F3">
        <w:t>Source: Hill Taylor and Atkins 2013. Atkins Ref: Survey –A19</w:t>
      </w:r>
    </w:p>
    <w:p w14:paraId="6A847EB6" w14:textId="77777777" w:rsidR="00553FD5" w:rsidRPr="002805F3" w:rsidRDefault="00553FD5" w:rsidP="00C93734">
      <w:pPr>
        <w:pStyle w:val="BodyText"/>
        <w:jc w:val="both"/>
        <w:rPr>
          <w:szCs w:val="22"/>
        </w:rPr>
      </w:pPr>
      <w:r w:rsidRPr="002805F3">
        <w:rPr>
          <w:szCs w:val="22"/>
        </w:rPr>
        <w:t xml:space="preserve">When asked about the types of skills where there </w:t>
      </w:r>
      <w:r w:rsidR="00202482">
        <w:rPr>
          <w:szCs w:val="22"/>
        </w:rPr>
        <w:t>are</w:t>
      </w:r>
      <w:r w:rsidRPr="002805F3">
        <w:rPr>
          <w:szCs w:val="22"/>
        </w:rPr>
        <w:t xml:space="preserve"> particular shortage</w:t>
      </w:r>
      <w:r w:rsidR="00202482">
        <w:rPr>
          <w:szCs w:val="22"/>
        </w:rPr>
        <w:t>s</w:t>
      </w:r>
      <w:r w:rsidRPr="002805F3">
        <w:rPr>
          <w:szCs w:val="22"/>
        </w:rPr>
        <w:t xml:space="preserve">, low response rates make any analysis difficult. However, managerial proficiency, engineering expertise, basic literacy and numeracy and driving skills </w:t>
      </w:r>
      <w:r w:rsidR="00202482">
        <w:rPr>
          <w:szCs w:val="22"/>
        </w:rPr>
        <w:t xml:space="preserve">were </w:t>
      </w:r>
      <w:r w:rsidRPr="002805F3">
        <w:rPr>
          <w:szCs w:val="22"/>
        </w:rPr>
        <w:t>identified as issues for firms.</w:t>
      </w:r>
      <w:r>
        <w:rPr>
          <w:szCs w:val="22"/>
        </w:rPr>
        <w:t xml:space="preserve"> This supports the qualitative findings from interviews</w:t>
      </w:r>
      <w:r w:rsidR="00202482">
        <w:rPr>
          <w:szCs w:val="22"/>
        </w:rPr>
        <w:t>,</w:t>
      </w:r>
      <w:r>
        <w:rPr>
          <w:szCs w:val="22"/>
        </w:rPr>
        <w:t xml:space="preserve"> which identified engineers, drivers and managerial and professional staff as occupations that firms </w:t>
      </w:r>
      <w:r w:rsidR="00202482">
        <w:rPr>
          <w:szCs w:val="22"/>
        </w:rPr>
        <w:t xml:space="preserve">experienced </w:t>
      </w:r>
      <w:r>
        <w:rPr>
          <w:szCs w:val="22"/>
        </w:rPr>
        <w:t>difficult</w:t>
      </w:r>
      <w:r w:rsidR="00202482">
        <w:rPr>
          <w:szCs w:val="22"/>
        </w:rPr>
        <w:t>y</w:t>
      </w:r>
      <w:r>
        <w:rPr>
          <w:szCs w:val="22"/>
        </w:rPr>
        <w:t xml:space="preserve"> in recruiting.</w:t>
      </w:r>
    </w:p>
    <w:p w14:paraId="77FDF8D6" w14:textId="77777777" w:rsidR="00553FD5" w:rsidRPr="002805F3" w:rsidRDefault="00553FD5" w:rsidP="00C93734">
      <w:pPr>
        <w:pStyle w:val="Heading8"/>
        <w:jc w:val="both"/>
      </w:pPr>
      <w:r w:rsidRPr="002805F3">
        <w:t>Future Growth</w:t>
      </w:r>
    </w:p>
    <w:p w14:paraId="65401915" w14:textId="77777777" w:rsidR="00553FD5" w:rsidRPr="002805F3" w:rsidRDefault="00553FD5" w:rsidP="00C93734">
      <w:pPr>
        <w:pStyle w:val="BodyText"/>
        <w:jc w:val="both"/>
      </w:pPr>
      <w:r w:rsidRPr="002805F3">
        <w:t xml:space="preserve">Over the past three years </w:t>
      </w:r>
      <w:r w:rsidR="00202482">
        <w:t>more</w:t>
      </w:r>
      <w:r w:rsidR="00202482" w:rsidRPr="002805F3">
        <w:t xml:space="preserve"> </w:t>
      </w:r>
      <w:r w:rsidRPr="002805F3">
        <w:t xml:space="preserve">companies </w:t>
      </w:r>
      <w:r w:rsidR="00202482" w:rsidRPr="002805F3">
        <w:t xml:space="preserve">have increased </w:t>
      </w:r>
      <w:r w:rsidR="00202482">
        <w:t>rather</w:t>
      </w:r>
      <w:r w:rsidR="00202482" w:rsidRPr="002805F3">
        <w:t xml:space="preserve"> than decreased in size </w:t>
      </w:r>
      <w:r w:rsidRPr="002805F3">
        <w:t xml:space="preserve">in </w:t>
      </w:r>
      <w:r w:rsidR="00202482">
        <w:t>most</w:t>
      </w:r>
      <w:r w:rsidR="00202482" w:rsidRPr="002805F3">
        <w:t xml:space="preserve"> </w:t>
      </w:r>
      <w:r w:rsidRPr="002805F3">
        <w:t>sectors</w:t>
      </w:r>
      <w:r w:rsidR="00202482">
        <w:t>. However, in</w:t>
      </w:r>
      <w:r w:rsidRPr="002805F3">
        <w:t xml:space="preserve"> Food Manufacturing similar proportions of firms</w:t>
      </w:r>
      <w:r w:rsidR="00202482">
        <w:t xml:space="preserve"> increased and decreased in size</w:t>
      </w:r>
      <w:r w:rsidRPr="002805F3">
        <w:t xml:space="preserve"> and</w:t>
      </w:r>
      <w:r w:rsidR="00202482">
        <w:t xml:space="preserve"> in</w:t>
      </w:r>
      <w:r w:rsidRPr="002805F3">
        <w:t xml:space="preserve"> Visitor Economy and Retail</w:t>
      </w:r>
      <w:r w:rsidR="00202482">
        <w:t xml:space="preserve">, by a small margin, </w:t>
      </w:r>
      <w:r w:rsidRPr="002805F3">
        <w:t>more</w:t>
      </w:r>
      <w:r w:rsidR="00202482">
        <w:t xml:space="preserve"> firms</w:t>
      </w:r>
      <w:r w:rsidRPr="002805F3">
        <w:t xml:space="preserve"> decreased in size). </w:t>
      </w:r>
      <w:r>
        <w:t>This represents the challenges that many firms</w:t>
      </w:r>
      <w:r w:rsidR="00202482">
        <w:t xml:space="preserve"> in these sectors</w:t>
      </w:r>
      <w:r>
        <w:t xml:space="preserve"> have faced following the recession of 2008/09. </w:t>
      </w:r>
      <w:r w:rsidR="00202482">
        <w:t xml:space="preserve">However, the </w:t>
      </w:r>
      <w:r>
        <w:t xml:space="preserve">stability of many firms represents </w:t>
      </w:r>
      <w:r w:rsidR="00202482">
        <w:t>the</w:t>
      </w:r>
      <w:r>
        <w:t xml:space="preserve"> strength </w:t>
      </w:r>
      <w:r w:rsidR="00202482">
        <w:t xml:space="preserve">of </w:t>
      </w:r>
      <w:r>
        <w:t>the local economy, with firms noting in the qualitative interviews that businesses had work</w:t>
      </w:r>
      <w:r w:rsidR="00202482">
        <w:t>ed</w:t>
      </w:r>
      <w:r>
        <w:t xml:space="preserve"> hard to </w:t>
      </w:r>
      <w:r w:rsidR="00202482">
        <w:t>maintain the scale of operations</w:t>
      </w:r>
      <w:r>
        <w:t>.</w:t>
      </w:r>
    </w:p>
    <w:p w14:paraId="670F37D5" w14:textId="77777777" w:rsidR="00553FD5" w:rsidRDefault="00553FD5" w:rsidP="00C93734">
      <w:pPr>
        <w:pStyle w:val="Caption"/>
        <w:jc w:val="both"/>
      </w:pPr>
      <w:bookmarkStart w:id="662" w:name="_Toc383159718"/>
      <w:r>
        <w:t xml:space="preserve">Table </w:t>
      </w:r>
      <w:fldSimple w:instr=" STYLEREF 1 \s  \* MERGEFORMAT ">
        <w:r w:rsidR="00E95E1A">
          <w:rPr>
            <w:noProof/>
          </w:rPr>
          <w:t>0</w:t>
        </w:r>
      </w:fldSimple>
      <w:r>
        <w:t>-</w:t>
      </w:r>
      <w:fldSimple w:instr=" SEQ Table \* ARABIC \s 1  \* MERGEFORMAT ">
        <w:r w:rsidR="00E95E1A">
          <w:rPr>
            <w:noProof/>
          </w:rPr>
          <w:t>17</w:t>
        </w:r>
      </w:fldSimple>
      <w:r>
        <w:tab/>
        <w:t>Size of Workforce</w:t>
      </w:r>
      <w:bookmarkEnd w:id="662"/>
    </w:p>
    <w:tbl>
      <w:tblPr>
        <w:tblStyle w:val="Atkins14pt"/>
        <w:tblW w:w="9639" w:type="dxa"/>
        <w:tblLayout w:type="fixed"/>
        <w:tblLook w:val="04A0" w:firstRow="1" w:lastRow="0" w:firstColumn="1" w:lastColumn="0" w:noHBand="0" w:noVBand="1"/>
      </w:tblPr>
      <w:tblGrid>
        <w:gridCol w:w="1474"/>
        <w:gridCol w:w="1633"/>
        <w:gridCol w:w="1633"/>
        <w:gridCol w:w="1633"/>
        <w:gridCol w:w="1633"/>
        <w:gridCol w:w="1633"/>
      </w:tblGrid>
      <w:tr w:rsidR="00553FD5" w:rsidRPr="002805F3" w14:paraId="4E64B6F4" w14:textId="77777777" w:rsidTr="007A149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74" w:type="dxa"/>
            <w:noWrap/>
            <w:hideMark/>
          </w:tcPr>
          <w:p w14:paraId="4DDDD439" w14:textId="77777777" w:rsidR="00553FD5" w:rsidRPr="00DC3863" w:rsidRDefault="00553FD5" w:rsidP="00C93734">
            <w:pPr>
              <w:jc w:val="both"/>
              <w:rPr>
                <w:color w:val="000000"/>
              </w:rPr>
            </w:pPr>
            <w:r w:rsidRPr="00DC3863">
              <w:rPr>
                <w:color w:val="000000"/>
              </w:rPr>
              <w:t>Movement</w:t>
            </w:r>
          </w:p>
        </w:tc>
        <w:tc>
          <w:tcPr>
            <w:tcW w:w="1633" w:type="dxa"/>
            <w:noWrap/>
            <w:hideMark/>
          </w:tcPr>
          <w:p w14:paraId="5223737C" w14:textId="77777777" w:rsidR="00553FD5" w:rsidRPr="00DC3863" w:rsidRDefault="00553FD5" w:rsidP="00C93734">
            <w:pPr>
              <w:jc w:val="both"/>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Renewables</w:t>
            </w:r>
          </w:p>
        </w:tc>
        <w:tc>
          <w:tcPr>
            <w:tcW w:w="1633" w:type="dxa"/>
            <w:noWrap/>
            <w:hideMark/>
          </w:tcPr>
          <w:p w14:paraId="351241A7" w14:textId="77777777" w:rsidR="00553FD5" w:rsidRPr="00DC3863" w:rsidRDefault="00553FD5" w:rsidP="00C93734">
            <w:pPr>
              <w:jc w:val="both"/>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Ports &amp; Logistics</w:t>
            </w:r>
          </w:p>
        </w:tc>
        <w:tc>
          <w:tcPr>
            <w:tcW w:w="1633" w:type="dxa"/>
            <w:noWrap/>
            <w:hideMark/>
          </w:tcPr>
          <w:p w14:paraId="186D62D6" w14:textId="77777777" w:rsidR="00553FD5" w:rsidRPr="00DC3863" w:rsidRDefault="00553FD5" w:rsidP="00C93734">
            <w:pPr>
              <w:jc w:val="both"/>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Food manufacturing</w:t>
            </w:r>
          </w:p>
        </w:tc>
        <w:tc>
          <w:tcPr>
            <w:tcW w:w="1633" w:type="dxa"/>
            <w:noWrap/>
            <w:hideMark/>
          </w:tcPr>
          <w:p w14:paraId="377563F0" w14:textId="77777777" w:rsidR="00553FD5" w:rsidRPr="00DC3863" w:rsidRDefault="00553FD5" w:rsidP="00C93734">
            <w:pPr>
              <w:jc w:val="both"/>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Chemicals &amp; process industries</w:t>
            </w:r>
          </w:p>
        </w:tc>
        <w:tc>
          <w:tcPr>
            <w:tcW w:w="1633" w:type="dxa"/>
            <w:noWrap/>
            <w:hideMark/>
          </w:tcPr>
          <w:p w14:paraId="2D87D0DF" w14:textId="77777777" w:rsidR="00553FD5" w:rsidRPr="00DC3863" w:rsidRDefault="00553FD5" w:rsidP="00C93734">
            <w:pPr>
              <w:jc w:val="both"/>
              <w:cnfStyle w:val="100000000000" w:firstRow="1" w:lastRow="0" w:firstColumn="0" w:lastColumn="0" w:oddVBand="0" w:evenVBand="0" w:oddHBand="0" w:evenHBand="0" w:firstRowFirstColumn="0" w:firstRowLastColumn="0" w:lastRowFirstColumn="0" w:lastRowLastColumn="0"/>
              <w:rPr>
                <w:color w:val="000000"/>
              </w:rPr>
            </w:pPr>
            <w:r w:rsidRPr="00DC3863">
              <w:rPr>
                <w:color w:val="000000"/>
              </w:rPr>
              <w:t>Visitor Economy &amp; Retail</w:t>
            </w:r>
          </w:p>
        </w:tc>
      </w:tr>
      <w:tr w:rsidR="00553FD5" w:rsidRPr="002805F3" w14:paraId="3F7664F9"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08CB9479" w14:textId="77777777" w:rsidR="00553FD5" w:rsidRPr="00DC3863" w:rsidRDefault="00553FD5" w:rsidP="00C93734">
            <w:pPr>
              <w:spacing w:after="120"/>
              <w:jc w:val="both"/>
              <w:rPr>
                <w:color w:val="000000"/>
              </w:rPr>
            </w:pPr>
            <w:r w:rsidRPr="00DC3863">
              <w:rPr>
                <w:color w:val="000000"/>
              </w:rPr>
              <w:t>Increased</w:t>
            </w:r>
          </w:p>
        </w:tc>
        <w:tc>
          <w:tcPr>
            <w:tcW w:w="1633" w:type="dxa"/>
            <w:noWrap/>
            <w:hideMark/>
          </w:tcPr>
          <w:p w14:paraId="050B93AB" w14:textId="77777777" w:rsidR="00553FD5" w:rsidRPr="00DC3863" w:rsidRDefault="00553FD5"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35.0%</w:t>
            </w:r>
          </w:p>
        </w:tc>
        <w:tc>
          <w:tcPr>
            <w:tcW w:w="1633" w:type="dxa"/>
            <w:noWrap/>
            <w:hideMark/>
          </w:tcPr>
          <w:p w14:paraId="282CB2F5" w14:textId="77777777" w:rsidR="00553FD5" w:rsidRPr="00DC3863" w:rsidRDefault="00553FD5"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36.2%</w:t>
            </w:r>
          </w:p>
        </w:tc>
        <w:tc>
          <w:tcPr>
            <w:tcW w:w="1633" w:type="dxa"/>
            <w:noWrap/>
            <w:hideMark/>
          </w:tcPr>
          <w:p w14:paraId="55DA1E72" w14:textId="77777777" w:rsidR="00553FD5" w:rsidRPr="00DC3863" w:rsidRDefault="00553FD5"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17.5%</w:t>
            </w:r>
          </w:p>
        </w:tc>
        <w:tc>
          <w:tcPr>
            <w:tcW w:w="1633" w:type="dxa"/>
            <w:noWrap/>
            <w:hideMark/>
          </w:tcPr>
          <w:p w14:paraId="2BCED328" w14:textId="77777777" w:rsidR="00553FD5" w:rsidRPr="00DC3863" w:rsidRDefault="00553FD5"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42.9%</w:t>
            </w:r>
          </w:p>
        </w:tc>
        <w:tc>
          <w:tcPr>
            <w:tcW w:w="1633" w:type="dxa"/>
            <w:noWrap/>
            <w:hideMark/>
          </w:tcPr>
          <w:p w14:paraId="388773E8" w14:textId="77777777" w:rsidR="00553FD5" w:rsidRPr="00DC3863" w:rsidRDefault="00553FD5"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18.1%</w:t>
            </w:r>
          </w:p>
        </w:tc>
      </w:tr>
      <w:tr w:rsidR="00553FD5" w:rsidRPr="002805F3" w14:paraId="083BB01B"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3C0C6831" w14:textId="77777777" w:rsidR="00553FD5" w:rsidRPr="00DC3863" w:rsidRDefault="00553FD5" w:rsidP="00C93734">
            <w:pPr>
              <w:spacing w:after="120"/>
              <w:jc w:val="both"/>
              <w:rPr>
                <w:color w:val="000000"/>
              </w:rPr>
            </w:pPr>
            <w:r w:rsidRPr="00DC3863">
              <w:rPr>
                <w:color w:val="000000"/>
              </w:rPr>
              <w:t>Decreased</w:t>
            </w:r>
          </w:p>
        </w:tc>
        <w:tc>
          <w:tcPr>
            <w:tcW w:w="1633" w:type="dxa"/>
            <w:noWrap/>
            <w:hideMark/>
          </w:tcPr>
          <w:p w14:paraId="4306016F" w14:textId="77777777" w:rsidR="00553FD5" w:rsidRPr="00DC3863" w:rsidRDefault="00553FD5"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5.0%</w:t>
            </w:r>
          </w:p>
        </w:tc>
        <w:tc>
          <w:tcPr>
            <w:tcW w:w="1633" w:type="dxa"/>
            <w:noWrap/>
            <w:hideMark/>
          </w:tcPr>
          <w:p w14:paraId="5871CCCD" w14:textId="77777777" w:rsidR="00553FD5" w:rsidRPr="00DC3863" w:rsidRDefault="00553FD5"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15.9%</w:t>
            </w:r>
          </w:p>
        </w:tc>
        <w:tc>
          <w:tcPr>
            <w:tcW w:w="1633" w:type="dxa"/>
            <w:noWrap/>
            <w:hideMark/>
          </w:tcPr>
          <w:p w14:paraId="20CAA745" w14:textId="77777777" w:rsidR="00553FD5" w:rsidRPr="00DC3863" w:rsidRDefault="00553FD5"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17.5%</w:t>
            </w:r>
          </w:p>
        </w:tc>
        <w:tc>
          <w:tcPr>
            <w:tcW w:w="1633" w:type="dxa"/>
            <w:noWrap/>
            <w:hideMark/>
          </w:tcPr>
          <w:p w14:paraId="197FD0E5" w14:textId="77777777" w:rsidR="00553FD5" w:rsidRPr="00DC3863" w:rsidRDefault="00553FD5"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14.3%</w:t>
            </w:r>
          </w:p>
        </w:tc>
        <w:tc>
          <w:tcPr>
            <w:tcW w:w="1633" w:type="dxa"/>
            <w:noWrap/>
            <w:hideMark/>
          </w:tcPr>
          <w:p w14:paraId="577D97F6" w14:textId="77777777" w:rsidR="00553FD5" w:rsidRPr="00DC3863" w:rsidRDefault="00553FD5"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18.9%</w:t>
            </w:r>
          </w:p>
        </w:tc>
      </w:tr>
      <w:tr w:rsidR="00553FD5" w:rsidRPr="002805F3" w14:paraId="7DE2EAF0"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74DFB952" w14:textId="77777777" w:rsidR="00553FD5" w:rsidRPr="00DC3863" w:rsidRDefault="00553FD5" w:rsidP="00C93734">
            <w:pPr>
              <w:spacing w:after="120"/>
              <w:jc w:val="both"/>
              <w:rPr>
                <w:color w:val="000000"/>
              </w:rPr>
            </w:pPr>
            <w:r w:rsidRPr="00DC3863">
              <w:rPr>
                <w:color w:val="000000"/>
              </w:rPr>
              <w:t>Remained stable</w:t>
            </w:r>
          </w:p>
        </w:tc>
        <w:tc>
          <w:tcPr>
            <w:tcW w:w="1633" w:type="dxa"/>
            <w:noWrap/>
            <w:hideMark/>
          </w:tcPr>
          <w:p w14:paraId="45D583DD" w14:textId="77777777" w:rsidR="00553FD5" w:rsidRPr="00DC3863" w:rsidRDefault="00553FD5"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60.0%</w:t>
            </w:r>
          </w:p>
        </w:tc>
        <w:tc>
          <w:tcPr>
            <w:tcW w:w="1633" w:type="dxa"/>
            <w:noWrap/>
            <w:hideMark/>
          </w:tcPr>
          <w:p w14:paraId="2B307F8A" w14:textId="77777777" w:rsidR="00553FD5" w:rsidRPr="00DC3863" w:rsidRDefault="00553FD5"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47.8%</w:t>
            </w:r>
          </w:p>
        </w:tc>
        <w:tc>
          <w:tcPr>
            <w:tcW w:w="1633" w:type="dxa"/>
            <w:noWrap/>
            <w:hideMark/>
          </w:tcPr>
          <w:p w14:paraId="7E99AB31" w14:textId="77777777" w:rsidR="00553FD5" w:rsidRPr="00DC3863" w:rsidRDefault="00553FD5"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64.9%</w:t>
            </w:r>
          </w:p>
        </w:tc>
        <w:tc>
          <w:tcPr>
            <w:tcW w:w="1633" w:type="dxa"/>
            <w:noWrap/>
            <w:hideMark/>
          </w:tcPr>
          <w:p w14:paraId="684983BD" w14:textId="77777777" w:rsidR="00553FD5" w:rsidRPr="00DC3863" w:rsidRDefault="00553FD5"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42.9%</w:t>
            </w:r>
          </w:p>
        </w:tc>
        <w:tc>
          <w:tcPr>
            <w:tcW w:w="1633" w:type="dxa"/>
            <w:noWrap/>
            <w:hideMark/>
          </w:tcPr>
          <w:p w14:paraId="674FDD1F" w14:textId="77777777" w:rsidR="00553FD5" w:rsidRPr="00DC3863" w:rsidRDefault="00553FD5" w:rsidP="00C93734">
            <w:pPr>
              <w:spacing w:after="120"/>
              <w:ind w:right="130"/>
              <w:jc w:val="both"/>
              <w:cnfStyle w:val="000000000000" w:firstRow="0" w:lastRow="0" w:firstColumn="0" w:lastColumn="0" w:oddVBand="0" w:evenVBand="0" w:oddHBand="0" w:evenHBand="0" w:firstRowFirstColumn="0" w:firstRowLastColumn="0" w:lastRowFirstColumn="0" w:lastRowLastColumn="0"/>
              <w:rPr>
                <w:color w:val="000000"/>
              </w:rPr>
            </w:pPr>
            <w:r w:rsidRPr="00DC3863">
              <w:rPr>
                <w:color w:val="000000"/>
              </w:rPr>
              <w:t>63.0%</w:t>
            </w:r>
          </w:p>
        </w:tc>
      </w:tr>
    </w:tbl>
    <w:p w14:paraId="055C02FC" w14:textId="77777777" w:rsidR="00553FD5" w:rsidRPr="002805F3" w:rsidRDefault="00553FD5" w:rsidP="00C93734">
      <w:pPr>
        <w:pStyle w:val="TableSource"/>
        <w:jc w:val="both"/>
      </w:pPr>
      <w:r w:rsidRPr="002805F3">
        <w:t>Source: Hill Taylor and Atkins 2013. Atkins Ref: Survey –A20</w:t>
      </w:r>
    </w:p>
    <w:p w14:paraId="35EB3286" w14:textId="77777777" w:rsidR="00553FD5" w:rsidRPr="002805F3" w:rsidRDefault="00553FD5" w:rsidP="00C93734">
      <w:pPr>
        <w:pStyle w:val="BodyText"/>
        <w:jc w:val="both"/>
      </w:pPr>
      <w:r w:rsidRPr="002805F3">
        <w:t xml:space="preserve">Over half of companies in </w:t>
      </w:r>
      <w:r w:rsidR="00B6613D">
        <w:t xml:space="preserve">the </w:t>
      </w:r>
      <w:r w:rsidRPr="002805F3">
        <w:t xml:space="preserve">Chemicals &amp; Process Industries (57.1%) and Ports &amp; Logistics (60.9%) </w:t>
      </w:r>
      <w:r w:rsidR="00B6613D">
        <w:t xml:space="preserve">sectors </w:t>
      </w:r>
      <w:r w:rsidRPr="002805F3">
        <w:t xml:space="preserve">and </w:t>
      </w:r>
      <w:r w:rsidR="00B6613D">
        <w:t>50%</w:t>
      </w:r>
      <w:r w:rsidR="00B6613D" w:rsidRPr="002805F3">
        <w:t xml:space="preserve"> </w:t>
      </w:r>
      <w:r w:rsidRPr="002805F3">
        <w:t>of businesses in Renewables indicated that they intended to invest and expand over the next five years.</w:t>
      </w:r>
      <w:r>
        <w:t xml:space="preserve"> </w:t>
      </w:r>
      <w:r w:rsidR="00B6613D">
        <w:t>This</w:t>
      </w:r>
      <w:r>
        <w:t xml:space="preserve"> reflects the qualitative interviews</w:t>
      </w:r>
      <w:r w:rsidR="00B6613D">
        <w:t>,</w:t>
      </w:r>
      <w:r>
        <w:t xml:space="preserve"> </w:t>
      </w:r>
      <w:r w:rsidR="00B6613D">
        <w:t xml:space="preserve">where </w:t>
      </w:r>
      <w:r>
        <w:t xml:space="preserve">firms </w:t>
      </w:r>
      <w:r w:rsidR="00B6613D">
        <w:t xml:space="preserve">noted </w:t>
      </w:r>
      <w:r>
        <w:t xml:space="preserve">that over the past few years they had </w:t>
      </w:r>
      <w:r w:rsidR="00B6613D">
        <w:t>focused on</w:t>
      </w:r>
      <w:r>
        <w:t xml:space="preserve"> ‘keep</w:t>
      </w:r>
      <w:r w:rsidR="00B6613D">
        <w:t>ing</w:t>
      </w:r>
      <w:r>
        <w:t xml:space="preserve"> their head above water’ and now could </w:t>
      </w:r>
      <w:r w:rsidR="00B6613D">
        <w:t xml:space="preserve">explore </w:t>
      </w:r>
      <w:r>
        <w:t xml:space="preserve">future opportunities for growth. Further support for firms in </w:t>
      </w:r>
      <w:r w:rsidR="00B6613D">
        <w:t xml:space="preserve">the </w:t>
      </w:r>
      <w:r>
        <w:t>Visitor Economy and Retail and Food Manufacturing</w:t>
      </w:r>
      <w:r w:rsidR="00B6613D">
        <w:t xml:space="preserve"> sectors</w:t>
      </w:r>
      <w:r>
        <w:t xml:space="preserve"> looking to expand is a potential focus for future local </w:t>
      </w:r>
      <w:r w:rsidR="00B6613D">
        <w:t>action</w:t>
      </w:r>
      <w:r>
        <w:t>.</w:t>
      </w:r>
    </w:p>
    <w:p w14:paraId="1AFE0245" w14:textId="77777777" w:rsidR="00553FD5" w:rsidRPr="002805F3" w:rsidRDefault="00553FD5" w:rsidP="00DF4291">
      <w:pPr>
        <w:pStyle w:val="Caption"/>
      </w:pPr>
      <w:bookmarkStart w:id="663" w:name="_Toc383159681"/>
      <w:r>
        <w:t xml:space="preserve">Figure </w:t>
      </w:r>
      <w:fldSimple w:instr=" STYLEREF 1 \s  \* MERGEFORMAT ">
        <w:r w:rsidR="00E95E1A">
          <w:rPr>
            <w:noProof/>
          </w:rPr>
          <w:t>0</w:t>
        </w:r>
      </w:fldSimple>
      <w:r>
        <w:t>-</w:t>
      </w:r>
      <w:fldSimple w:instr=" SEQ Figure \* ARABIC \s 1  \* MERGEFORMAT ">
        <w:r w:rsidR="00E95E1A">
          <w:rPr>
            <w:noProof/>
          </w:rPr>
          <w:t>3</w:t>
        </w:r>
      </w:fldSimple>
      <w:r>
        <w:tab/>
        <w:t>Planning to expand or invest</w:t>
      </w:r>
      <w:r w:rsidR="00BA1CE7">
        <w:rPr>
          <w:noProof/>
          <w:lang w:eastAsia="en-GB"/>
        </w:rPr>
        <w:drawing>
          <wp:inline distT="0" distB="0" distL="0" distR="0" wp14:anchorId="2B2CCBE8" wp14:editId="70974298">
            <wp:extent cx="5943600" cy="2687955"/>
            <wp:effectExtent l="0" t="0" r="0" b="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bookmarkEnd w:id="663"/>
    </w:p>
    <w:p w14:paraId="1DA9BE67" w14:textId="77777777" w:rsidR="00553FD5" w:rsidRPr="002805F3" w:rsidRDefault="00553FD5" w:rsidP="00C93734">
      <w:pPr>
        <w:pStyle w:val="TableSource"/>
        <w:jc w:val="both"/>
      </w:pPr>
      <w:r w:rsidRPr="002805F3">
        <w:t>Source: Hill Taylor and Atkins 2013. Atkins Ref: Survey –A21</w:t>
      </w:r>
    </w:p>
    <w:p w14:paraId="13FA24C7" w14:textId="77777777" w:rsidR="00553FD5" w:rsidRPr="002805F3" w:rsidRDefault="00553FD5" w:rsidP="00C93734">
      <w:pPr>
        <w:pStyle w:val="BodyText"/>
        <w:jc w:val="both"/>
      </w:pPr>
      <w:r w:rsidRPr="002805F3">
        <w:rPr>
          <w:szCs w:val="22"/>
        </w:rPr>
        <w:t xml:space="preserve">Of the companies that indicated that they intend to expand in the future, the most prevalent area of expected growth is set to be in workforce </w:t>
      </w:r>
      <w:r w:rsidR="00B6613D">
        <w:rPr>
          <w:szCs w:val="22"/>
        </w:rPr>
        <w:t>expansion</w:t>
      </w:r>
      <w:r w:rsidR="00B6613D" w:rsidRPr="002805F3">
        <w:rPr>
          <w:szCs w:val="22"/>
        </w:rPr>
        <w:t xml:space="preserve"> </w:t>
      </w:r>
      <w:r w:rsidRPr="002805F3">
        <w:rPr>
          <w:szCs w:val="22"/>
        </w:rPr>
        <w:t xml:space="preserve">(32%). </w:t>
      </w:r>
      <w:r w:rsidR="00B6613D">
        <w:rPr>
          <w:szCs w:val="22"/>
        </w:rPr>
        <w:t>L</w:t>
      </w:r>
      <w:r w:rsidRPr="002805F3">
        <w:rPr>
          <w:szCs w:val="22"/>
        </w:rPr>
        <w:t xml:space="preserve">and </w:t>
      </w:r>
      <w:r w:rsidR="00B6613D">
        <w:rPr>
          <w:szCs w:val="22"/>
        </w:rPr>
        <w:t>and</w:t>
      </w:r>
      <w:r w:rsidR="00B6613D" w:rsidRPr="002805F3">
        <w:rPr>
          <w:szCs w:val="22"/>
        </w:rPr>
        <w:t xml:space="preserve"> </w:t>
      </w:r>
      <w:r w:rsidRPr="002805F3">
        <w:rPr>
          <w:szCs w:val="22"/>
        </w:rPr>
        <w:t xml:space="preserve">property (17.3%) and </w:t>
      </w:r>
      <w:r w:rsidR="00B6613D">
        <w:rPr>
          <w:szCs w:val="22"/>
        </w:rPr>
        <w:t>m</w:t>
      </w:r>
      <w:r w:rsidR="00B6613D" w:rsidRPr="002805F3">
        <w:rPr>
          <w:szCs w:val="22"/>
        </w:rPr>
        <w:t xml:space="preserve">achinery </w:t>
      </w:r>
      <w:r w:rsidRPr="002805F3">
        <w:rPr>
          <w:szCs w:val="22"/>
        </w:rPr>
        <w:t>and equipment (16.9%) were considered other key areas of future planned growth (</w:t>
      </w:r>
      <w:r w:rsidR="00155D59">
        <w:t xml:space="preserve">Table </w:t>
      </w:r>
      <w:r w:rsidR="00155D59">
        <w:rPr>
          <w:noProof/>
        </w:rPr>
        <w:t>0</w:t>
      </w:r>
      <w:r w:rsidR="00155D59">
        <w:t>-</w:t>
      </w:r>
      <w:r w:rsidR="00155D59">
        <w:rPr>
          <w:noProof/>
        </w:rPr>
        <w:t>18</w:t>
      </w:r>
      <w:r w:rsidRPr="002805F3">
        <w:rPr>
          <w:szCs w:val="22"/>
        </w:rPr>
        <w:t xml:space="preserve">). This analysis was </w:t>
      </w:r>
      <w:r w:rsidR="00B6613D">
        <w:rPr>
          <w:szCs w:val="22"/>
        </w:rPr>
        <w:t>aggregated across</w:t>
      </w:r>
      <w:r w:rsidRPr="002805F3">
        <w:rPr>
          <w:szCs w:val="22"/>
        </w:rPr>
        <w:t xml:space="preserve"> all key sector</w:t>
      </w:r>
      <w:r w:rsidR="00B6613D">
        <w:rPr>
          <w:szCs w:val="22"/>
        </w:rPr>
        <w:t>s</w:t>
      </w:r>
      <w:r w:rsidRPr="002805F3">
        <w:rPr>
          <w:szCs w:val="22"/>
        </w:rPr>
        <w:t xml:space="preserve"> because of </w:t>
      </w:r>
      <w:r w:rsidR="00B6613D">
        <w:rPr>
          <w:szCs w:val="22"/>
        </w:rPr>
        <w:t>low response levels</w:t>
      </w:r>
      <w:r w:rsidRPr="002805F3">
        <w:rPr>
          <w:szCs w:val="22"/>
        </w:rPr>
        <w:t xml:space="preserve"> </w:t>
      </w:r>
      <w:r w:rsidR="00B6613D">
        <w:rPr>
          <w:szCs w:val="22"/>
        </w:rPr>
        <w:t>from</w:t>
      </w:r>
      <w:r w:rsidR="00B6613D" w:rsidRPr="002805F3">
        <w:rPr>
          <w:szCs w:val="22"/>
        </w:rPr>
        <w:t xml:space="preserve"> </w:t>
      </w:r>
      <w:r w:rsidRPr="002805F3">
        <w:rPr>
          <w:szCs w:val="22"/>
        </w:rPr>
        <w:t>individual sectors.</w:t>
      </w:r>
      <w:r w:rsidRPr="002805F3">
        <w:t xml:space="preserve"> </w:t>
      </w:r>
      <w:r w:rsidR="00B6613D">
        <w:t>Firms could realise plans to expand by seeking support from</w:t>
      </w:r>
      <w:r>
        <w:t xml:space="preserve"> the Regional Growth Fund, Growth Accelerator and </w:t>
      </w:r>
      <w:r w:rsidR="00B6613D">
        <w:t>sector-</w:t>
      </w:r>
      <w:r>
        <w:t>specific funding (e.g. M</w:t>
      </w:r>
      <w:r w:rsidR="00B6613D">
        <w:t xml:space="preserve">anufacturing </w:t>
      </w:r>
      <w:r>
        <w:t>A</w:t>
      </w:r>
      <w:r w:rsidR="00B6613D">
        <w:t xml:space="preserve">dvisory </w:t>
      </w:r>
      <w:r>
        <w:t>S</w:t>
      </w:r>
      <w:r w:rsidR="00B6613D">
        <w:t>ervice</w:t>
      </w:r>
      <w:r>
        <w:t xml:space="preserve"> improvement funding).</w:t>
      </w:r>
    </w:p>
    <w:p w14:paraId="7E6191F9" w14:textId="77777777" w:rsidR="00553FD5" w:rsidRDefault="00553FD5" w:rsidP="00C93734">
      <w:pPr>
        <w:pStyle w:val="Caption"/>
        <w:jc w:val="both"/>
      </w:pPr>
      <w:bookmarkStart w:id="664" w:name="_Ref391921031"/>
      <w:bookmarkStart w:id="665" w:name="_Toc383159719"/>
      <w:r>
        <w:t xml:space="preserve">Table </w:t>
      </w:r>
      <w:fldSimple w:instr=" STYLEREF 1 \s  \* MERGEFORMAT ">
        <w:r w:rsidR="00E95E1A">
          <w:rPr>
            <w:noProof/>
          </w:rPr>
          <w:t>0</w:t>
        </w:r>
      </w:fldSimple>
      <w:r>
        <w:t>-</w:t>
      </w:r>
      <w:fldSimple w:instr=" SEQ Table \* ARABIC \s 1  \* MERGEFORMAT ">
        <w:r w:rsidR="00E95E1A">
          <w:rPr>
            <w:noProof/>
          </w:rPr>
          <w:t>18</w:t>
        </w:r>
      </w:fldSimple>
      <w:bookmarkEnd w:id="664"/>
      <w:r>
        <w:tab/>
        <w:t>Planned Growth Areas for Expanding Companies</w:t>
      </w:r>
      <w:bookmarkEnd w:id="665"/>
    </w:p>
    <w:tbl>
      <w:tblPr>
        <w:tblStyle w:val="Atkins14pt"/>
        <w:tblW w:w="5512" w:type="dxa"/>
        <w:tblLayout w:type="fixed"/>
        <w:tblLook w:val="04A0" w:firstRow="1" w:lastRow="0" w:firstColumn="1" w:lastColumn="0" w:noHBand="0" w:noVBand="1"/>
      </w:tblPr>
      <w:tblGrid>
        <w:gridCol w:w="4536"/>
        <w:gridCol w:w="976"/>
      </w:tblGrid>
      <w:tr w:rsidR="00553FD5" w:rsidRPr="001E7178" w14:paraId="309B4F1B" w14:textId="77777777" w:rsidTr="007A149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536" w:type="dxa"/>
            <w:noWrap/>
            <w:hideMark/>
          </w:tcPr>
          <w:p w14:paraId="0029F9B1" w14:textId="77777777" w:rsidR="00553FD5" w:rsidRPr="001E7178" w:rsidRDefault="00553FD5" w:rsidP="00C93734">
            <w:pPr>
              <w:pStyle w:val="TableText"/>
              <w:jc w:val="both"/>
              <w:rPr>
                <w:color w:val="auto"/>
              </w:rPr>
            </w:pPr>
            <w:r w:rsidRPr="001E7178">
              <w:rPr>
                <w:color w:val="auto"/>
              </w:rPr>
              <w:t>Growth Area</w:t>
            </w:r>
          </w:p>
        </w:tc>
        <w:tc>
          <w:tcPr>
            <w:tcW w:w="976" w:type="dxa"/>
            <w:noWrap/>
            <w:hideMark/>
          </w:tcPr>
          <w:p w14:paraId="655CB512" w14:textId="77777777" w:rsidR="00553FD5" w:rsidRPr="001E7178" w:rsidRDefault="00553FD5" w:rsidP="00C93734">
            <w:pPr>
              <w:pStyle w:val="TableText"/>
              <w:jc w:val="both"/>
              <w:cnfStyle w:val="100000000000" w:firstRow="1" w:lastRow="0" w:firstColumn="0" w:lastColumn="0" w:oddVBand="0" w:evenVBand="0" w:oddHBand="0" w:evenHBand="0" w:firstRowFirstColumn="0" w:firstRowLastColumn="0" w:lastRowFirstColumn="0" w:lastRowLastColumn="0"/>
              <w:rPr>
                <w:color w:val="auto"/>
              </w:rPr>
            </w:pPr>
            <w:r w:rsidRPr="001E7178">
              <w:rPr>
                <w:color w:val="auto"/>
              </w:rPr>
              <w:t>%</w:t>
            </w:r>
          </w:p>
        </w:tc>
      </w:tr>
      <w:tr w:rsidR="00553FD5" w:rsidRPr="001E7178" w14:paraId="7147262A"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51367F52" w14:textId="77777777" w:rsidR="00553FD5" w:rsidRPr="001E7178" w:rsidRDefault="00553FD5" w:rsidP="00C93734">
            <w:pPr>
              <w:pStyle w:val="TableText"/>
              <w:jc w:val="both"/>
              <w:rPr>
                <w:color w:val="auto"/>
              </w:rPr>
            </w:pPr>
            <w:r w:rsidRPr="001E7178">
              <w:rPr>
                <w:color w:val="auto"/>
              </w:rPr>
              <w:t>Workforce expansion</w:t>
            </w:r>
          </w:p>
        </w:tc>
        <w:tc>
          <w:tcPr>
            <w:tcW w:w="976" w:type="dxa"/>
            <w:noWrap/>
            <w:hideMark/>
          </w:tcPr>
          <w:p w14:paraId="32BF55B1" w14:textId="77777777" w:rsidR="00553FD5" w:rsidRPr="001E7178" w:rsidRDefault="00553FD5" w:rsidP="00C9373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32.0%</w:t>
            </w:r>
          </w:p>
        </w:tc>
      </w:tr>
      <w:tr w:rsidR="00553FD5" w:rsidRPr="001E7178" w14:paraId="74D6980C"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5190024E" w14:textId="77777777" w:rsidR="00553FD5" w:rsidRPr="001E7178" w:rsidRDefault="00553FD5" w:rsidP="00C93734">
            <w:pPr>
              <w:pStyle w:val="TableText"/>
              <w:jc w:val="both"/>
              <w:rPr>
                <w:color w:val="auto"/>
              </w:rPr>
            </w:pPr>
            <w:r w:rsidRPr="001E7178">
              <w:rPr>
                <w:color w:val="auto"/>
              </w:rPr>
              <w:t>Land and property</w:t>
            </w:r>
          </w:p>
        </w:tc>
        <w:tc>
          <w:tcPr>
            <w:tcW w:w="976" w:type="dxa"/>
            <w:noWrap/>
            <w:hideMark/>
          </w:tcPr>
          <w:p w14:paraId="1CB55DA7" w14:textId="77777777" w:rsidR="00553FD5" w:rsidRPr="001E7178" w:rsidRDefault="00553FD5" w:rsidP="00C9373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17.3%</w:t>
            </w:r>
          </w:p>
        </w:tc>
      </w:tr>
      <w:tr w:rsidR="00553FD5" w:rsidRPr="001E7178" w14:paraId="207FFBC4"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6793F007" w14:textId="77777777" w:rsidR="00553FD5" w:rsidRPr="001E7178" w:rsidRDefault="00553FD5" w:rsidP="00C93734">
            <w:pPr>
              <w:pStyle w:val="TableText"/>
              <w:jc w:val="both"/>
              <w:rPr>
                <w:color w:val="auto"/>
              </w:rPr>
            </w:pPr>
            <w:r w:rsidRPr="001E7178">
              <w:rPr>
                <w:color w:val="auto"/>
              </w:rPr>
              <w:t>Machinery / Equipment</w:t>
            </w:r>
          </w:p>
        </w:tc>
        <w:tc>
          <w:tcPr>
            <w:tcW w:w="976" w:type="dxa"/>
            <w:noWrap/>
            <w:hideMark/>
          </w:tcPr>
          <w:p w14:paraId="316C3D7F" w14:textId="77777777" w:rsidR="00553FD5" w:rsidRPr="001E7178" w:rsidRDefault="00553FD5" w:rsidP="00C9373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16.9%</w:t>
            </w:r>
          </w:p>
        </w:tc>
      </w:tr>
      <w:tr w:rsidR="00553FD5" w:rsidRPr="001E7178" w14:paraId="27CB2953"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68EA64BE" w14:textId="77777777" w:rsidR="00553FD5" w:rsidRPr="001E7178" w:rsidRDefault="00553FD5" w:rsidP="00C93734">
            <w:pPr>
              <w:pStyle w:val="TableText"/>
              <w:jc w:val="both"/>
              <w:rPr>
                <w:color w:val="auto"/>
              </w:rPr>
            </w:pPr>
            <w:r w:rsidRPr="001E7178">
              <w:rPr>
                <w:color w:val="auto"/>
              </w:rPr>
              <w:t>Marketing / Sales / More customers / Website</w:t>
            </w:r>
          </w:p>
        </w:tc>
        <w:tc>
          <w:tcPr>
            <w:tcW w:w="976" w:type="dxa"/>
            <w:noWrap/>
            <w:hideMark/>
          </w:tcPr>
          <w:p w14:paraId="0327C55D" w14:textId="77777777" w:rsidR="00553FD5" w:rsidRPr="001E7178" w:rsidRDefault="00553FD5" w:rsidP="00C9373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15.4%</w:t>
            </w:r>
          </w:p>
        </w:tc>
      </w:tr>
      <w:tr w:rsidR="00553FD5" w:rsidRPr="001E7178" w14:paraId="371F539A"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37FD12E5" w14:textId="77777777" w:rsidR="00553FD5" w:rsidRPr="001E7178" w:rsidRDefault="00553FD5" w:rsidP="00C93734">
            <w:pPr>
              <w:pStyle w:val="TableText"/>
              <w:jc w:val="both"/>
              <w:rPr>
                <w:color w:val="auto"/>
              </w:rPr>
            </w:pPr>
            <w:r w:rsidRPr="001E7178">
              <w:rPr>
                <w:color w:val="auto"/>
              </w:rPr>
              <w:t>Skills and training</w:t>
            </w:r>
          </w:p>
        </w:tc>
        <w:tc>
          <w:tcPr>
            <w:tcW w:w="976" w:type="dxa"/>
            <w:noWrap/>
            <w:hideMark/>
          </w:tcPr>
          <w:p w14:paraId="02CABF73" w14:textId="77777777" w:rsidR="00553FD5" w:rsidRPr="001E7178" w:rsidRDefault="00553FD5" w:rsidP="00C9373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11.3%</w:t>
            </w:r>
          </w:p>
        </w:tc>
      </w:tr>
      <w:tr w:rsidR="00553FD5" w:rsidRPr="001E7178" w14:paraId="786FBAD0"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47D716F6" w14:textId="77777777" w:rsidR="00553FD5" w:rsidRPr="001E7178" w:rsidRDefault="00553FD5" w:rsidP="00C93734">
            <w:pPr>
              <w:pStyle w:val="TableText"/>
              <w:jc w:val="both"/>
              <w:rPr>
                <w:color w:val="auto"/>
              </w:rPr>
            </w:pPr>
            <w:r w:rsidRPr="001E7178">
              <w:rPr>
                <w:color w:val="auto"/>
              </w:rPr>
              <w:t>Energy efficiency</w:t>
            </w:r>
          </w:p>
        </w:tc>
        <w:tc>
          <w:tcPr>
            <w:tcW w:w="976" w:type="dxa"/>
            <w:noWrap/>
            <w:hideMark/>
          </w:tcPr>
          <w:p w14:paraId="2198A7F2" w14:textId="77777777" w:rsidR="00553FD5" w:rsidRPr="001E7178" w:rsidRDefault="00553FD5" w:rsidP="00C9373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2.3%</w:t>
            </w:r>
          </w:p>
        </w:tc>
      </w:tr>
      <w:tr w:rsidR="00553FD5" w:rsidRPr="001E7178" w14:paraId="22D3A9BB"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715EBDD6" w14:textId="77777777" w:rsidR="00553FD5" w:rsidRPr="001E7178" w:rsidRDefault="00553FD5" w:rsidP="00C93734">
            <w:pPr>
              <w:pStyle w:val="TableText"/>
              <w:jc w:val="both"/>
              <w:rPr>
                <w:color w:val="auto"/>
              </w:rPr>
            </w:pPr>
            <w:r w:rsidRPr="001E7178">
              <w:rPr>
                <w:color w:val="auto"/>
              </w:rPr>
              <w:t>All areas</w:t>
            </w:r>
          </w:p>
        </w:tc>
        <w:tc>
          <w:tcPr>
            <w:tcW w:w="976" w:type="dxa"/>
            <w:noWrap/>
            <w:hideMark/>
          </w:tcPr>
          <w:p w14:paraId="5AA5B9BF" w14:textId="77777777" w:rsidR="00553FD5" w:rsidRPr="001E7178" w:rsidRDefault="00553FD5" w:rsidP="00C9373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0.8%</w:t>
            </w:r>
          </w:p>
        </w:tc>
      </w:tr>
      <w:tr w:rsidR="00553FD5" w:rsidRPr="001E7178" w14:paraId="70582690"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2D234081" w14:textId="77777777" w:rsidR="00553FD5" w:rsidRPr="001E7178" w:rsidRDefault="00553FD5" w:rsidP="00C93734">
            <w:pPr>
              <w:pStyle w:val="TableText"/>
              <w:jc w:val="both"/>
              <w:rPr>
                <w:color w:val="auto"/>
              </w:rPr>
            </w:pPr>
            <w:r w:rsidRPr="001E7178">
              <w:rPr>
                <w:color w:val="auto"/>
              </w:rPr>
              <w:t>Research &amp; Development</w:t>
            </w:r>
          </w:p>
        </w:tc>
        <w:tc>
          <w:tcPr>
            <w:tcW w:w="976" w:type="dxa"/>
            <w:noWrap/>
            <w:hideMark/>
          </w:tcPr>
          <w:p w14:paraId="3C6E58F9" w14:textId="77777777" w:rsidR="00553FD5" w:rsidRPr="001E7178" w:rsidRDefault="00553FD5" w:rsidP="00C9373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0.8%</w:t>
            </w:r>
          </w:p>
        </w:tc>
      </w:tr>
      <w:tr w:rsidR="00553FD5" w:rsidRPr="001E7178" w14:paraId="73560283"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00CC67EA" w14:textId="77777777" w:rsidR="00553FD5" w:rsidRPr="001E7178" w:rsidRDefault="00553FD5" w:rsidP="00C93734">
            <w:pPr>
              <w:pStyle w:val="TableText"/>
              <w:jc w:val="both"/>
              <w:rPr>
                <w:color w:val="auto"/>
              </w:rPr>
            </w:pPr>
            <w:r w:rsidRPr="001E7178">
              <w:rPr>
                <w:color w:val="auto"/>
              </w:rPr>
              <w:t>Infrastructure</w:t>
            </w:r>
          </w:p>
        </w:tc>
        <w:tc>
          <w:tcPr>
            <w:tcW w:w="976" w:type="dxa"/>
            <w:noWrap/>
            <w:hideMark/>
          </w:tcPr>
          <w:p w14:paraId="3CBB2A64" w14:textId="77777777" w:rsidR="00553FD5" w:rsidRPr="001E7178" w:rsidRDefault="00553FD5" w:rsidP="00C9373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0.4%</w:t>
            </w:r>
          </w:p>
        </w:tc>
      </w:tr>
      <w:tr w:rsidR="00553FD5" w:rsidRPr="001E7178" w14:paraId="7822CADA"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45AB4C22" w14:textId="77777777" w:rsidR="00553FD5" w:rsidRPr="001E7178" w:rsidRDefault="00553FD5" w:rsidP="00C93734">
            <w:pPr>
              <w:pStyle w:val="TableText"/>
              <w:jc w:val="both"/>
              <w:rPr>
                <w:color w:val="auto"/>
              </w:rPr>
            </w:pPr>
            <w:r w:rsidRPr="001E7178">
              <w:rPr>
                <w:color w:val="auto"/>
              </w:rPr>
              <w:t>Repair from floods</w:t>
            </w:r>
          </w:p>
        </w:tc>
        <w:tc>
          <w:tcPr>
            <w:tcW w:w="976" w:type="dxa"/>
            <w:noWrap/>
            <w:hideMark/>
          </w:tcPr>
          <w:p w14:paraId="57948799" w14:textId="77777777" w:rsidR="00553FD5" w:rsidRPr="001E7178" w:rsidRDefault="00553FD5" w:rsidP="00C9373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0.4%</w:t>
            </w:r>
          </w:p>
        </w:tc>
      </w:tr>
      <w:tr w:rsidR="00553FD5" w:rsidRPr="001E7178" w14:paraId="152AF31B"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69CCF7F7" w14:textId="77777777" w:rsidR="00553FD5" w:rsidRPr="001E7178" w:rsidRDefault="00553FD5" w:rsidP="00C93734">
            <w:pPr>
              <w:pStyle w:val="TableText"/>
              <w:jc w:val="both"/>
              <w:rPr>
                <w:color w:val="auto"/>
              </w:rPr>
            </w:pPr>
            <w:r w:rsidRPr="001E7178">
              <w:rPr>
                <w:color w:val="auto"/>
              </w:rPr>
              <w:t>Stock</w:t>
            </w:r>
          </w:p>
        </w:tc>
        <w:tc>
          <w:tcPr>
            <w:tcW w:w="976" w:type="dxa"/>
            <w:noWrap/>
            <w:hideMark/>
          </w:tcPr>
          <w:p w14:paraId="7751B8C9" w14:textId="77777777" w:rsidR="00553FD5" w:rsidRPr="001E7178" w:rsidRDefault="00553FD5" w:rsidP="00C9373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0.4%</w:t>
            </w:r>
          </w:p>
        </w:tc>
      </w:tr>
      <w:tr w:rsidR="00553FD5" w:rsidRPr="001E7178" w14:paraId="0BBE5C91"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2BBCFE7E" w14:textId="77777777" w:rsidR="00553FD5" w:rsidRPr="001E7178" w:rsidRDefault="00553FD5" w:rsidP="00C93734">
            <w:pPr>
              <w:pStyle w:val="TableText"/>
              <w:jc w:val="both"/>
              <w:rPr>
                <w:color w:val="auto"/>
              </w:rPr>
            </w:pPr>
            <w:r w:rsidRPr="001E7178">
              <w:rPr>
                <w:color w:val="auto"/>
              </w:rPr>
              <w:t>Transport</w:t>
            </w:r>
          </w:p>
        </w:tc>
        <w:tc>
          <w:tcPr>
            <w:tcW w:w="976" w:type="dxa"/>
            <w:noWrap/>
            <w:hideMark/>
          </w:tcPr>
          <w:p w14:paraId="0C7BFDA5" w14:textId="77777777" w:rsidR="00553FD5" w:rsidRPr="001E7178" w:rsidRDefault="00553FD5" w:rsidP="00C9373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0.4%</w:t>
            </w:r>
          </w:p>
        </w:tc>
      </w:tr>
      <w:tr w:rsidR="00553FD5" w:rsidRPr="001E7178" w14:paraId="110B3452"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20F1CDF1" w14:textId="77777777" w:rsidR="00553FD5" w:rsidRPr="001E7178" w:rsidRDefault="00553FD5" w:rsidP="00C93734">
            <w:pPr>
              <w:pStyle w:val="TableText"/>
              <w:jc w:val="both"/>
              <w:rPr>
                <w:color w:val="auto"/>
              </w:rPr>
            </w:pPr>
            <w:r w:rsidRPr="001E7178">
              <w:rPr>
                <w:color w:val="auto"/>
              </w:rPr>
              <w:t>Don't know</w:t>
            </w:r>
          </w:p>
        </w:tc>
        <w:tc>
          <w:tcPr>
            <w:tcW w:w="976" w:type="dxa"/>
            <w:noWrap/>
            <w:hideMark/>
          </w:tcPr>
          <w:p w14:paraId="777650EB" w14:textId="77777777" w:rsidR="00553FD5" w:rsidRPr="001E7178" w:rsidRDefault="00553FD5" w:rsidP="00C93734">
            <w:pPr>
              <w:pStyle w:val="TableText"/>
              <w:jc w:val="both"/>
              <w:cnfStyle w:val="000000000000" w:firstRow="0" w:lastRow="0" w:firstColumn="0" w:lastColumn="0" w:oddVBand="0" w:evenVBand="0" w:oddHBand="0" w:evenHBand="0" w:firstRowFirstColumn="0" w:firstRowLastColumn="0" w:lastRowFirstColumn="0" w:lastRowLastColumn="0"/>
              <w:rPr>
                <w:color w:val="auto"/>
              </w:rPr>
            </w:pPr>
            <w:r w:rsidRPr="001E7178">
              <w:rPr>
                <w:color w:val="auto"/>
              </w:rPr>
              <w:t>1.9%</w:t>
            </w:r>
          </w:p>
        </w:tc>
      </w:tr>
    </w:tbl>
    <w:p w14:paraId="75E2E575" w14:textId="77777777" w:rsidR="00553FD5" w:rsidRPr="002805F3" w:rsidRDefault="00553FD5" w:rsidP="00C93734">
      <w:pPr>
        <w:pStyle w:val="TableSource"/>
        <w:jc w:val="both"/>
      </w:pPr>
      <w:r w:rsidRPr="002805F3">
        <w:t>Source: Hill Taylor and Atkins 2013. Atkins Ref: Survey –A20/B29</w:t>
      </w:r>
      <w:r>
        <w:t>. Note: Figures do not add up to 100% because of small results being excluded</w:t>
      </w:r>
    </w:p>
    <w:p w14:paraId="1C89B823" w14:textId="77777777" w:rsidR="00553FD5" w:rsidRPr="002805F3" w:rsidRDefault="00553FD5" w:rsidP="00C93734">
      <w:pPr>
        <w:pStyle w:val="BodyText"/>
        <w:jc w:val="both"/>
        <w:rPr>
          <w:szCs w:val="22"/>
        </w:rPr>
      </w:pPr>
      <w:r w:rsidRPr="002805F3">
        <w:rPr>
          <w:szCs w:val="22"/>
        </w:rPr>
        <w:t>Of those companies that identified skills &amp; training as a future area of growth, training for drivers and managers, as well as the acquisition of electrical and mechanical engineering skills and apprenticeships were highlighted as</w:t>
      </w:r>
      <w:r w:rsidR="00CB1FDA">
        <w:rPr>
          <w:szCs w:val="22"/>
        </w:rPr>
        <w:t xml:space="preserve"> </w:t>
      </w:r>
      <w:r w:rsidRPr="002805F3">
        <w:rPr>
          <w:szCs w:val="22"/>
        </w:rPr>
        <w:t>key area</w:t>
      </w:r>
      <w:r w:rsidR="00CB1FDA">
        <w:rPr>
          <w:szCs w:val="22"/>
        </w:rPr>
        <w:t>s</w:t>
      </w:r>
      <w:r w:rsidRPr="002805F3">
        <w:rPr>
          <w:szCs w:val="22"/>
        </w:rPr>
        <w:t xml:space="preserve"> for </w:t>
      </w:r>
      <w:r w:rsidR="00CB1FDA">
        <w:rPr>
          <w:szCs w:val="22"/>
        </w:rPr>
        <w:t>investment</w:t>
      </w:r>
      <w:r w:rsidRPr="002805F3">
        <w:rPr>
          <w:szCs w:val="22"/>
        </w:rPr>
        <w:t xml:space="preserve">. </w:t>
      </w:r>
      <w:r>
        <w:rPr>
          <w:szCs w:val="22"/>
        </w:rPr>
        <w:t>This demonstrates the role of local training providers to contribute to future growth and equip firms with young people and other skilled people.</w:t>
      </w:r>
    </w:p>
    <w:p w14:paraId="6A69C94A" w14:textId="77777777" w:rsidR="00553FD5" w:rsidRPr="002805F3" w:rsidRDefault="00553FD5" w:rsidP="00C93734">
      <w:pPr>
        <w:pStyle w:val="BodyText"/>
        <w:jc w:val="both"/>
        <w:rPr>
          <w:szCs w:val="22"/>
        </w:rPr>
      </w:pPr>
      <w:r>
        <w:rPr>
          <w:szCs w:val="22"/>
        </w:rPr>
        <w:t>Of those companies</w:t>
      </w:r>
      <w:r w:rsidRPr="002805F3">
        <w:rPr>
          <w:szCs w:val="22"/>
        </w:rPr>
        <w:t xml:space="preserve"> that expressed an intention to invest in land and property over the next five years, the highest proportion of respondents (31.3%) indicated that they would want to expand operations on their current site. </w:t>
      </w:r>
      <w:r>
        <w:rPr>
          <w:szCs w:val="22"/>
        </w:rPr>
        <w:t>This highlights the need for property and land in the local area and could present future challenges for growth if the supply of land is not adequate.</w:t>
      </w:r>
    </w:p>
    <w:p w14:paraId="775C0D05" w14:textId="77777777" w:rsidR="00553FD5" w:rsidRPr="002805F3" w:rsidRDefault="00553FD5" w:rsidP="00DF4291">
      <w:pPr>
        <w:pStyle w:val="Caption"/>
      </w:pPr>
      <w:bookmarkStart w:id="666" w:name="_Toc383159682"/>
      <w:r>
        <w:rPr>
          <w:noProof/>
          <w:lang w:eastAsia="en-GB"/>
        </w:rPr>
        <w:t xml:space="preserve">Figure </w:t>
      </w:r>
      <w:fldSimple w:instr=" STYLEREF 1 \s  \* MERGEFORMAT ">
        <w:r w:rsidR="00E95E1A">
          <w:rPr>
            <w:noProof/>
            <w:lang w:eastAsia="en-GB"/>
          </w:rPr>
          <w:t>0</w:t>
        </w:r>
      </w:fldSimple>
      <w:r>
        <w:rPr>
          <w:noProof/>
          <w:lang w:eastAsia="en-GB"/>
        </w:rPr>
        <w:t>-</w:t>
      </w:r>
      <w:fldSimple w:instr=" SEQ Figure \* ARABIC \s 1  \* MERGEFORMAT ">
        <w:r w:rsidR="00E95E1A">
          <w:rPr>
            <w:noProof/>
            <w:lang w:eastAsia="en-GB"/>
          </w:rPr>
          <w:t>4</w:t>
        </w:r>
      </w:fldSimple>
      <w:r>
        <w:rPr>
          <w:noProof/>
          <w:lang w:eastAsia="en-GB"/>
        </w:rPr>
        <w:tab/>
        <w:t>Details of Land &amp; Property Needs</w:t>
      </w:r>
      <w:r w:rsidRPr="002805F3">
        <w:rPr>
          <w:noProof/>
          <w:lang w:eastAsia="en-GB"/>
        </w:rPr>
        <w:drawing>
          <wp:inline distT="0" distB="0" distL="0" distR="0" wp14:anchorId="75E2ADB6" wp14:editId="142F1FEC">
            <wp:extent cx="6090250" cy="3071004"/>
            <wp:effectExtent l="0" t="0" r="0" b="0"/>
            <wp:docPr id="1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bookmarkEnd w:id="666"/>
    </w:p>
    <w:p w14:paraId="216C83A9" w14:textId="77777777" w:rsidR="00553FD5" w:rsidRPr="002805F3" w:rsidRDefault="00553FD5" w:rsidP="00C93734">
      <w:pPr>
        <w:pStyle w:val="TableSource"/>
        <w:jc w:val="both"/>
      </w:pPr>
      <w:r w:rsidRPr="002805F3">
        <w:t>Source: Hill Taylor and Atkins 2013. Atkins Ref: Survey –A23</w:t>
      </w:r>
    </w:p>
    <w:p w14:paraId="5B03B433" w14:textId="77777777" w:rsidR="00553FD5" w:rsidRPr="002805F3" w:rsidRDefault="00553FD5" w:rsidP="00C93734">
      <w:pPr>
        <w:pStyle w:val="Heading8"/>
        <w:jc w:val="both"/>
      </w:pPr>
      <w:r w:rsidRPr="002805F3">
        <w:t>Location</w:t>
      </w:r>
    </w:p>
    <w:p w14:paraId="3824DF25" w14:textId="77777777" w:rsidR="00553FD5" w:rsidRPr="002805F3" w:rsidRDefault="00553FD5" w:rsidP="00C93734">
      <w:pPr>
        <w:pStyle w:val="BodyText"/>
        <w:jc w:val="both"/>
        <w:rPr>
          <w:szCs w:val="22"/>
        </w:rPr>
      </w:pPr>
      <w:r w:rsidRPr="002805F3">
        <w:rPr>
          <w:szCs w:val="22"/>
        </w:rPr>
        <w:t xml:space="preserve">All respondents were asked why they had chosen their current site to locate their business. Answers </w:t>
      </w:r>
      <w:r w:rsidR="00CB1FDA">
        <w:rPr>
          <w:szCs w:val="22"/>
        </w:rPr>
        <w:t>varied</w:t>
      </w:r>
      <w:r w:rsidR="00CB1FDA" w:rsidRPr="002805F3">
        <w:rPr>
          <w:szCs w:val="22"/>
        </w:rPr>
        <w:t xml:space="preserve"> </w:t>
      </w:r>
      <w:r w:rsidRPr="002805F3">
        <w:rPr>
          <w:szCs w:val="22"/>
        </w:rPr>
        <w:t xml:space="preserve">across sectors, highlighting </w:t>
      </w:r>
      <w:r w:rsidR="00CB1FDA">
        <w:rPr>
          <w:szCs w:val="22"/>
        </w:rPr>
        <w:t>sector-specific</w:t>
      </w:r>
      <w:r w:rsidR="00CB1FDA" w:rsidRPr="002805F3">
        <w:rPr>
          <w:szCs w:val="22"/>
        </w:rPr>
        <w:t xml:space="preserve"> </w:t>
      </w:r>
      <w:r w:rsidRPr="002805F3">
        <w:rPr>
          <w:szCs w:val="22"/>
        </w:rPr>
        <w:t>need</w:t>
      </w:r>
      <w:r w:rsidR="00CB1FDA">
        <w:rPr>
          <w:szCs w:val="22"/>
        </w:rPr>
        <w:t>s</w:t>
      </w:r>
      <w:r w:rsidRPr="002805F3">
        <w:rPr>
          <w:szCs w:val="22"/>
        </w:rPr>
        <w:t xml:space="preserve"> for proximity to certain facilities </w:t>
      </w:r>
      <w:r>
        <w:rPr>
          <w:szCs w:val="22"/>
        </w:rPr>
        <w:t xml:space="preserve">(e.g. the port) </w:t>
      </w:r>
      <w:r w:rsidRPr="002805F3">
        <w:rPr>
          <w:szCs w:val="22"/>
        </w:rPr>
        <w:t>and markets</w:t>
      </w:r>
      <w:r>
        <w:rPr>
          <w:szCs w:val="22"/>
        </w:rPr>
        <w:t xml:space="preserve"> (either physical like the Fish Market or otherwise).</w:t>
      </w:r>
      <w:r w:rsidRPr="002805F3">
        <w:rPr>
          <w:szCs w:val="22"/>
        </w:rPr>
        <w:t xml:space="preserve"> </w:t>
      </w:r>
    </w:p>
    <w:p w14:paraId="79916761" w14:textId="77777777" w:rsidR="00553FD5" w:rsidRDefault="00553FD5" w:rsidP="00C93734">
      <w:pPr>
        <w:pStyle w:val="Caption"/>
        <w:jc w:val="both"/>
      </w:pPr>
      <w:bookmarkStart w:id="667" w:name="_Toc383159720"/>
      <w:r>
        <w:t xml:space="preserve">Table </w:t>
      </w:r>
      <w:fldSimple w:instr=" STYLEREF 1 \s  \* MERGEFORMAT ">
        <w:r w:rsidR="00E95E1A">
          <w:rPr>
            <w:noProof/>
          </w:rPr>
          <w:t>0</w:t>
        </w:r>
      </w:fldSimple>
      <w:r>
        <w:t>-</w:t>
      </w:r>
      <w:fldSimple w:instr=" SEQ Table \* ARABIC \s 1  \* MERGEFORMAT ">
        <w:r w:rsidR="00E95E1A">
          <w:rPr>
            <w:noProof/>
          </w:rPr>
          <w:t>19</w:t>
        </w:r>
      </w:fldSimple>
      <w:r>
        <w:tab/>
        <w:t>Reason for Current Location</w:t>
      </w:r>
      <w:bookmarkEnd w:id="667"/>
    </w:p>
    <w:tbl>
      <w:tblPr>
        <w:tblStyle w:val="Atkins14pt"/>
        <w:tblW w:w="9570" w:type="dxa"/>
        <w:tblLayout w:type="fixed"/>
        <w:tblLook w:val="04A0" w:firstRow="1" w:lastRow="0" w:firstColumn="1" w:lastColumn="0" w:noHBand="0" w:noVBand="1"/>
      </w:tblPr>
      <w:tblGrid>
        <w:gridCol w:w="3290"/>
        <w:gridCol w:w="1381"/>
        <w:gridCol w:w="1038"/>
        <w:gridCol w:w="1559"/>
        <w:gridCol w:w="1204"/>
        <w:gridCol w:w="1098"/>
      </w:tblGrid>
      <w:tr w:rsidR="00553FD5" w:rsidRPr="001E7178" w14:paraId="5862C7F0" w14:textId="77777777" w:rsidTr="00CB1FD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402" w:type="dxa"/>
            <w:noWrap/>
            <w:hideMark/>
          </w:tcPr>
          <w:p w14:paraId="5A37E561" w14:textId="77777777" w:rsidR="00553FD5" w:rsidRPr="001E7178" w:rsidRDefault="00553FD5" w:rsidP="00C93734">
            <w:pPr>
              <w:spacing w:after="0"/>
              <w:jc w:val="both"/>
              <w:rPr>
                <w:color w:val="000000"/>
              </w:rPr>
            </w:pPr>
            <w:r>
              <w:rPr>
                <w:color w:val="000000"/>
              </w:rPr>
              <w:t>Reason</w:t>
            </w:r>
          </w:p>
        </w:tc>
        <w:tc>
          <w:tcPr>
            <w:tcW w:w="1427" w:type="dxa"/>
            <w:noWrap/>
            <w:hideMark/>
          </w:tcPr>
          <w:p w14:paraId="2D679EDE" w14:textId="77777777" w:rsidR="00553FD5" w:rsidRPr="001E7178" w:rsidRDefault="00553FD5" w:rsidP="00C93734">
            <w:pPr>
              <w:spacing w:after="0"/>
              <w:jc w:val="both"/>
              <w:cnfStyle w:val="100000000000" w:firstRow="1" w:lastRow="0" w:firstColumn="0" w:lastColumn="0" w:oddVBand="0" w:evenVBand="0" w:oddHBand="0" w:evenHBand="0" w:firstRowFirstColumn="0" w:firstRowLastColumn="0" w:lastRowFirstColumn="0" w:lastRowLastColumn="0"/>
              <w:rPr>
                <w:color w:val="000000"/>
              </w:rPr>
            </w:pPr>
            <w:r w:rsidRPr="001E7178">
              <w:rPr>
                <w:color w:val="000000"/>
              </w:rPr>
              <w:t>Renewables</w:t>
            </w:r>
          </w:p>
        </w:tc>
        <w:tc>
          <w:tcPr>
            <w:tcW w:w="1072" w:type="dxa"/>
            <w:noWrap/>
            <w:hideMark/>
          </w:tcPr>
          <w:p w14:paraId="7B468250" w14:textId="77777777" w:rsidR="00553FD5" w:rsidRPr="001E7178" w:rsidRDefault="00553FD5" w:rsidP="00C93734">
            <w:pPr>
              <w:spacing w:after="0"/>
              <w:jc w:val="both"/>
              <w:cnfStyle w:val="100000000000" w:firstRow="1" w:lastRow="0" w:firstColumn="0" w:lastColumn="0" w:oddVBand="0" w:evenVBand="0" w:oddHBand="0" w:evenHBand="0" w:firstRowFirstColumn="0" w:firstRowLastColumn="0" w:lastRowFirstColumn="0" w:lastRowLastColumn="0"/>
              <w:rPr>
                <w:color w:val="000000"/>
              </w:rPr>
            </w:pPr>
            <w:r w:rsidRPr="001E7178">
              <w:rPr>
                <w:color w:val="000000"/>
              </w:rPr>
              <w:t>Ports &amp; Logistics</w:t>
            </w:r>
          </w:p>
        </w:tc>
        <w:tc>
          <w:tcPr>
            <w:tcW w:w="1611" w:type="dxa"/>
            <w:noWrap/>
            <w:hideMark/>
          </w:tcPr>
          <w:p w14:paraId="5B0224D5" w14:textId="77777777" w:rsidR="00553FD5" w:rsidRPr="001E7178" w:rsidRDefault="00553FD5" w:rsidP="00C93734">
            <w:pPr>
              <w:spacing w:after="0"/>
              <w:jc w:val="both"/>
              <w:cnfStyle w:val="100000000000" w:firstRow="1" w:lastRow="0" w:firstColumn="0" w:lastColumn="0" w:oddVBand="0" w:evenVBand="0" w:oddHBand="0" w:evenHBand="0" w:firstRowFirstColumn="0" w:firstRowLastColumn="0" w:lastRowFirstColumn="0" w:lastRowLastColumn="0"/>
              <w:rPr>
                <w:color w:val="000000"/>
              </w:rPr>
            </w:pPr>
            <w:r w:rsidRPr="001E7178">
              <w:rPr>
                <w:color w:val="000000"/>
              </w:rPr>
              <w:t>Food manufacturing</w:t>
            </w:r>
          </w:p>
        </w:tc>
        <w:tc>
          <w:tcPr>
            <w:tcW w:w="1243" w:type="dxa"/>
            <w:noWrap/>
            <w:hideMark/>
          </w:tcPr>
          <w:p w14:paraId="7C4BDD43" w14:textId="77777777" w:rsidR="00553FD5" w:rsidRPr="001E7178" w:rsidRDefault="00553FD5" w:rsidP="00C93734">
            <w:pPr>
              <w:spacing w:after="0"/>
              <w:jc w:val="both"/>
              <w:cnfStyle w:val="100000000000" w:firstRow="1" w:lastRow="0" w:firstColumn="0" w:lastColumn="0" w:oddVBand="0" w:evenVBand="0" w:oddHBand="0" w:evenHBand="0" w:firstRowFirstColumn="0" w:firstRowLastColumn="0" w:lastRowFirstColumn="0" w:lastRowLastColumn="0"/>
              <w:rPr>
                <w:color w:val="000000"/>
              </w:rPr>
            </w:pPr>
            <w:r w:rsidRPr="001E7178">
              <w:rPr>
                <w:color w:val="000000"/>
              </w:rPr>
              <w:t>Chemicals &amp; process industries</w:t>
            </w:r>
          </w:p>
        </w:tc>
        <w:tc>
          <w:tcPr>
            <w:tcW w:w="1134" w:type="dxa"/>
            <w:noWrap/>
            <w:hideMark/>
          </w:tcPr>
          <w:p w14:paraId="05744409" w14:textId="77777777" w:rsidR="00553FD5" w:rsidRPr="001E7178" w:rsidRDefault="00553FD5" w:rsidP="00C93734">
            <w:pPr>
              <w:spacing w:after="0"/>
              <w:jc w:val="both"/>
              <w:cnfStyle w:val="100000000000" w:firstRow="1" w:lastRow="0" w:firstColumn="0" w:lastColumn="0" w:oddVBand="0" w:evenVBand="0" w:oddHBand="0" w:evenHBand="0" w:firstRowFirstColumn="0" w:firstRowLastColumn="0" w:lastRowFirstColumn="0" w:lastRowLastColumn="0"/>
              <w:rPr>
                <w:color w:val="000000"/>
              </w:rPr>
            </w:pPr>
            <w:r w:rsidRPr="001E7178">
              <w:rPr>
                <w:color w:val="000000"/>
              </w:rPr>
              <w:t>Visitor Economy &amp; Retail</w:t>
            </w:r>
          </w:p>
        </w:tc>
      </w:tr>
      <w:tr w:rsidR="00553FD5" w:rsidRPr="001E7178" w14:paraId="2FE5C6B1" w14:textId="77777777" w:rsidTr="00CB1FDA">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09D24A4" w14:textId="77777777" w:rsidR="008D7250" w:rsidRDefault="00553FD5">
            <w:pPr>
              <w:spacing w:after="0"/>
              <w:rPr>
                <w:rFonts w:eastAsia="Times New Roman" w:cs="Times New Roman"/>
                <w:b/>
                <w:bCs/>
                <w:iCs/>
                <w:color w:val="000000"/>
                <w:szCs w:val="22"/>
                <w:lang w:eastAsia="en-US"/>
              </w:rPr>
            </w:pPr>
            <w:r w:rsidRPr="001E7178">
              <w:rPr>
                <w:color w:val="000000"/>
              </w:rPr>
              <w:t>Close to waterfront and / or port facilities</w:t>
            </w:r>
          </w:p>
        </w:tc>
        <w:tc>
          <w:tcPr>
            <w:tcW w:w="1427" w:type="dxa"/>
            <w:noWrap/>
            <w:hideMark/>
          </w:tcPr>
          <w:p w14:paraId="07939B59"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3.6%</w:t>
            </w:r>
          </w:p>
        </w:tc>
        <w:tc>
          <w:tcPr>
            <w:tcW w:w="1072" w:type="dxa"/>
            <w:noWrap/>
            <w:hideMark/>
          </w:tcPr>
          <w:p w14:paraId="44BB4ACC"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22.3%</w:t>
            </w:r>
          </w:p>
        </w:tc>
        <w:tc>
          <w:tcPr>
            <w:tcW w:w="1611" w:type="dxa"/>
            <w:noWrap/>
            <w:hideMark/>
          </w:tcPr>
          <w:p w14:paraId="6031470E"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14.5%</w:t>
            </w:r>
          </w:p>
        </w:tc>
        <w:tc>
          <w:tcPr>
            <w:tcW w:w="1243" w:type="dxa"/>
            <w:noWrap/>
            <w:hideMark/>
          </w:tcPr>
          <w:p w14:paraId="5D7FC0D8"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12.5%</w:t>
            </w:r>
          </w:p>
        </w:tc>
        <w:tc>
          <w:tcPr>
            <w:tcW w:w="1134" w:type="dxa"/>
            <w:noWrap/>
            <w:hideMark/>
          </w:tcPr>
          <w:p w14:paraId="091619BB"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4.0%</w:t>
            </w:r>
          </w:p>
        </w:tc>
      </w:tr>
      <w:tr w:rsidR="00553FD5" w:rsidRPr="001E7178" w14:paraId="04ADEFF2" w14:textId="77777777" w:rsidTr="00CB1FDA">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D045124" w14:textId="77777777" w:rsidR="008D7250" w:rsidRDefault="00553FD5">
            <w:pPr>
              <w:spacing w:after="0"/>
              <w:rPr>
                <w:rFonts w:eastAsia="Times New Roman" w:cs="Times New Roman"/>
                <w:b/>
                <w:bCs/>
                <w:iCs/>
                <w:color w:val="000000"/>
                <w:szCs w:val="22"/>
                <w:lang w:eastAsia="en-US"/>
              </w:rPr>
            </w:pPr>
            <w:r w:rsidRPr="001E7178">
              <w:rPr>
                <w:color w:val="000000"/>
              </w:rPr>
              <w:t>Proximity to other related businesses</w:t>
            </w:r>
          </w:p>
        </w:tc>
        <w:tc>
          <w:tcPr>
            <w:tcW w:w="1427" w:type="dxa"/>
            <w:noWrap/>
            <w:hideMark/>
          </w:tcPr>
          <w:p w14:paraId="49A98794"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3.6%</w:t>
            </w:r>
          </w:p>
        </w:tc>
        <w:tc>
          <w:tcPr>
            <w:tcW w:w="1072" w:type="dxa"/>
            <w:noWrap/>
            <w:hideMark/>
          </w:tcPr>
          <w:p w14:paraId="07C306C5"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1.4%</w:t>
            </w:r>
          </w:p>
        </w:tc>
        <w:tc>
          <w:tcPr>
            <w:tcW w:w="1611" w:type="dxa"/>
            <w:noWrap/>
            <w:hideMark/>
          </w:tcPr>
          <w:p w14:paraId="5FE76A6A"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2.9%</w:t>
            </w:r>
          </w:p>
        </w:tc>
        <w:tc>
          <w:tcPr>
            <w:tcW w:w="1243" w:type="dxa"/>
            <w:noWrap/>
            <w:hideMark/>
          </w:tcPr>
          <w:p w14:paraId="4BEA3CD9"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7.5%</w:t>
            </w:r>
          </w:p>
        </w:tc>
        <w:tc>
          <w:tcPr>
            <w:tcW w:w="1134" w:type="dxa"/>
            <w:noWrap/>
            <w:hideMark/>
          </w:tcPr>
          <w:p w14:paraId="742D3096"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0.9%</w:t>
            </w:r>
          </w:p>
        </w:tc>
      </w:tr>
      <w:tr w:rsidR="00553FD5" w:rsidRPr="001E7178" w14:paraId="208C38B6" w14:textId="77777777" w:rsidTr="00CB1FDA">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FDAB75C" w14:textId="77777777" w:rsidR="008D7250" w:rsidRDefault="00553FD5">
            <w:pPr>
              <w:spacing w:after="0"/>
              <w:rPr>
                <w:rFonts w:eastAsia="Times New Roman" w:cs="Times New Roman"/>
                <w:b/>
                <w:bCs/>
                <w:iCs/>
                <w:color w:val="000000"/>
                <w:szCs w:val="22"/>
                <w:lang w:eastAsia="en-US"/>
              </w:rPr>
            </w:pPr>
            <w:r w:rsidRPr="001E7178">
              <w:rPr>
                <w:color w:val="000000"/>
              </w:rPr>
              <w:t>Proximity to key suppliers</w:t>
            </w:r>
          </w:p>
        </w:tc>
        <w:tc>
          <w:tcPr>
            <w:tcW w:w="1427" w:type="dxa"/>
            <w:noWrap/>
            <w:hideMark/>
          </w:tcPr>
          <w:p w14:paraId="24B910DA"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072" w:type="dxa"/>
            <w:noWrap/>
            <w:hideMark/>
          </w:tcPr>
          <w:p w14:paraId="6AC83929"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4.3%</w:t>
            </w:r>
          </w:p>
        </w:tc>
        <w:tc>
          <w:tcPr>
            <w:tcW w:w="1611" w:type="dxa"/>
            <w:noWrap/>
            <w:hideMark/>
          </w:tcPr>
          <w:p w14:paraId="1E45BC0E"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7.2%</w:t>
            </w:r>
          </w:p>
        </w:tc>
        <w:tc>
          <w:tcPr>
            <w:tcW w:w="1243" w:type="dxa"/>
            <w:noWrap/>
            <w:hideMark/>
          </w:tcPr>
          <w:p w14:paraId="744C16C3"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2.5%</w:t>
            </w:r>
          </w:p>
        </w:tc>
        <w:tc>
          <w:tcPr>
            <w:tcW w:w="1134" w:type="dxa"/>
            <w:noWrap/>
            <w:hideMark/>
          </w:tcPr>
          <w:p w14:paraId="26122117"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1.3%</w:t>
            </w:r>
          </w:p>
        </w:tc>
      </w:tr>
      <w:tr w:rsidR="00553FD5" w:rsidRPr="001E7178" w14:paraId="6990016C" w14:textId="77777777" w:rsidTr="00CB1FDA">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E68714A" w14:textId="77777777" w:rsidR="008D7250" w:rsidRDefault="00553FD5">
            <w:pPr>
              <w:spacing w:after="0"/>
              <w:rPr>
                <w:rFonts w:eastAsia="Times New Roman" w:cs="Times New Roman"/>
                <w:b/>
                <w:bCs/>
                <w:iCs/>
                <w:color w:val="000000"/>
                <w:szCs w:val="22"/>
                <w:lang w:eastAsia="en-US"/>
              </w:rPr>
            </w:pPr>
            <w:r w:rsidRPr="001E7178">
              <w:rPr>
                <w:color w:val="000000"/>
              </w:rPr>
              <w:t>Proximity to key clients / markets</w:t>
            </w:r>
          </w:p>
        </w:tc>
        <w:tc>
          <w:tcPr>
            <w:tcW w:w="1427" w:type="dxa"/>
            <w:noWrap/>
            <w:hideMark/>
          </w:tcPr>
          <w:p w14:paraId="47CEEF30"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17.9%</w:t>
            </w:r>
          </w:p>
        </w:tc>
        <w:tc>
          <w:tcPr>
            <w:tcW w:w="1072" w:type="dxa"/>
            <w:noWrap/>
            <w:hideMark/>
          </w:tcPr>
          <w:p w14:paraId="68BACCF7"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5.8%</w:t>
            </w:r>
          </w:p>
        </w:tc>
        <w:tc>
          <w:tcPr>
            <w:tcW w:w="1611" w:type="dxa"/>
            <w:noWrap/>
            <w:hideMark/>
          </w:tcPr>
          <w:p w14:paraId="61561956"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10.1%</w:t>
            </w:r>
          </w:p>
        </w:tc>
        <w:tc>
          <w:tcPr>
            <w:tcW w:w="1243" w:type="dxa"/>
            <w:noWrap/>
            <w:hideMark/>
          </w:tcPr>
          <w:p w14:paraId="3F16F0E1"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15.0%</w:t>
            </w:r>
          </w:p>
        </w:tc>
        <w:tc>
          <w:tcPr>
            <w:tcW w:w="1134" w:type="dxa"/>
            <w:noWrap/>
            <w:hideMark/>
          </w:tcPr>
          <w:p w14:paraId="6E23AC25"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17.0%</w:t>
            </w:r>
          </w:p>
        </w:tc>
      </w:tr>
      <w:tr w:rsidR="00553FD5" w:rsidRPr="001E7178" w14:paraId="5E87A879" w14:textId="77777777" w:rsidTr="00CB1FDA">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4938159" w14:textId="77777777" w:rsidR="008D7250" w:rsidRDefault="00553FD5">
            <w:pPr>
              <w:spacing w:after="0"/>
              <w:rPr>
                <w:rFonts w:eastAsia="Times New Roman" w:cs="Times New Roman"/>
                <w:b/>
                <w:bCs/>
                <w:iCs/>
                <w:color w:val="000000"/>
                <w:szCs w:val="22"/>
                <w:lang w:eastAsia="en-US"/>
              </w:rPr>
            </w:pPr>
            <w:r w:rsidRPr="001E7178">
              <w:rPr>
                <w:color w:val="000000"/>
              </w:rPr>
              <w:t>Affordable premises</w:t>
            </w:r>
          </w:p>
        </w:tc>
        <w:tc>
          <w:tcPr>
            <w:tcW w:w="1427" w:type="dxa"/>
            <w:noWrap/>
            <w:hideMark/>
          </w:tcPr>
          <w:p w14:paraId="39D60980"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3.6%</w:t>
            </w:r>
          </w:p>
        </w:tc>
        <w:tc>
          <w:tcPr>
            <w:tcW w:w="1072" w:type="dxa"/>
            <w:noWrap/>
            <w:hideMark/>
          </w:tcPr>
          <w:p w14:paraId="633748FE"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2.9%</w:t>
            </w:r>
          </w:p>
        </w:tc>
        <w:tc>
          <w:tcPr>
            <w:tcW w:w="1611" w:type="dxa"/>
            <w:noWrap/>
            <w:hideMark/>
          </w:tcPr>
          <w:p w14:paraId="5AF81BC7"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4.3%</w:t>
            </w:r>
          </w:p>
        </w:tc>
        <w:tc>
          <w:tcPr>
            <w:tcW w:w="1243" w:type="dxa"/>
            <w:noWrap/>
            <w:hideMark/>
          </w:tcPr>
          <w:p w14:paraId="7B4E8385"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7.5%</w:t>
            </w:r>
          </w:p>
        </w:tc>
        <w:tc>
          <w:tcPr>
            <w:tcW w:w="1134" w:type="dxa"/>
            <w:noWrap/>
            <w:hideMark/>
          </w:tcPr>
          <w:p w14:paraId="0E188A8B"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5.4%</w:t>
            </w:r>
          </w:p>
        </w:tc>
      </w:tr>
      <w:tr w:rsidR="00553FD5" w:rsidRPr="001E7178" w14:paraId="78D1331C" w14:textId="77777777" w:rsidTr="00CB1FDA">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55709B8" w14:textId="77777777" w:rsidR="008D7250" w:rsidRDefault="00553FD5">
            <w:pPr>
              <w:spacing w:after="0"/>
              <w:rPr>
                <w:rFonts w:eastAsia="Times New Roman" w:cs="Times New Roman"/>
                <w:b/>
                <w:bCs/>
                <w:iCs/>
                <w:color w:val="000000"/>
                <w:szCs w:val="22"/>
                <w:lang w:eastAsia="en-US"/>
              </w:rPr>
            </w:pPr>
            <w:r w:rsidRPr="001E7178">
              <w:rPr>
                <w:color w:val="000000"/>
              </w:rPr>
              <w:t>Appropriate type of premises</w:t>
            </w:r>
          </w:p>
        </w:tc>
        <w:tc>
          <w:tcPr>
            <w:tcW w:w="1427" w:type="dxa"/>
            <w:noWrap/>
            <w:hideMark/>
          </w:tcPr>
          <w:p w14:paraId="471C9090"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3.6%</w:t>
            </w:r>
          </w:p>
        </w:tc>
        <w:tc>
          <w:tcPr>
            <w:tcW w:w="1072" w:type="dxa"/>
            <w:noWrap/>
            <w:hideMark/>
          </w:tcPr>
          <w:p w14:paraId="2DE2D169"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5.8%</w:t>
            </w:r>
          </w:p>
        </w:tc>
        <w:tc>
          <w:tcPr>
            <w:tcW w:w="1611" w:type="dxa"/>
            <w:noWrap/>
            <w:hideMark/>
          </w:tcPr>
          <w:p w14:paraId="71886E9A"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5.8%</w:t>
            </w:r>
          </w:p>
        </w:tc>
        <w:tc>
          <w:tcPr>
            <w:tcW w:w="1243" w:type="dxa"/>
            <w:noWrap/>
            <w:hideMark/>
          </w:tcPr>
          <w:p w14:paraId="1A07F266"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2.5%</w:t>
            </w:r>
          </w:p>
        </w:tc>
        <w:tc>
          <w:tcPr>
            <w:tcW w:w="1134" w:type="dxa"/>
            <w:noWrap/>
            <w:hideMark/>
          </w:tcPr>
          <w:p w14:paraId="3DEAEEA0"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11.2%</w:t>
            </w:r>
          </w:p>
        </w:tc>
      </w:tr>
      <w:tr w:rsidR="00553FD5" w:rsidRPr="001E7178" w14:paraId="3E27B507" w14:textId="77777777" w:rsidTr="00CB1FDA">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CA2A1DA" w14:textId="77777777" w:rsidR="008D7250" w:rsidRDefault="00553FD5">
            <w:pPr>
              <w:spacing w:after="0"/>
              <w:rPr>
                <w:rFonts w:eastAsia="Times New Roman" w:cs="Times New Roman"/>
                <w:b/>
                <w:bCs/>
                <w:iCs/>
                <w:color w:val="000000"/>
                <w:szCs w:val="22"/>
                <w:lang w:eastAsia="en-US"/>
              </w:rPr>
            </w:pPr>
            <w:r w:rsidRPr="001E7178">
              <w:rPr>
                <w:color w:val="000000"/>
              </w:rPr>
              <w:t>Proximity to skilled workforce</w:t>
            </w:r>
          </w:p>
        </w:tc>
        <w:tc>
          <w:tcPr>
            <w:tcW w:w="1427" w:type="dxa"/>
            <w:noWrap/>
            <w:hideMark/>
          </w:tcPr>
          <w:p w14:paraId="5627D23B"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072" w:type="dxa"/>
            <w:noWrap/>
            <w:hideMark/>
          </w:tcPr>
          <w:p w14:paraId="50B8F773"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0.7%</w:t>
            </w:r>
          </w:p>
        </w:tc>
        <w:tc>
          <w:tcPr>
            <w:tcW w:w="1611" w:type="dxa"/>
            <w:noWrap/>
            <w:hideMark/>
          </w:tcPr>
          <w:p w14:paraId="62F9E4B2"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0.7%</w:t>
            </w:r>
          </w:p>
        </w:tc>
        <w:tc>
          <w:tcPr>
            <w:tcW w:w="1243" w:type="dxa"/>
            <w:noWrap/>
            <w:hideMark/>
          </w:tcPr>
          <w:p w14:paraId="27C76C6A"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134" w:type="dxa"/>
            <w:noWrap/>
            <w:hideMark/>
          </w:tcPr>
          <w:p w14:paraId="2896D9A1"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r>
      <w:tr w:rsidR="00553FD5" w:rsidRPr="001E7178" w14:paraId="6FB10349" w14:textId="77777777" w:rsidTr="00CB1FDA">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458A895" w14:textId="77777777" w:rsidR="008D7250" w:rsidRDefault="00553FD5">
            <w:pPr>
              <w:spacing w:after="0"/>
              <w:rPr>
                <w:rFonts w:eastAsia="Times New Roman" w:cs="Times New Roman"/>
                <w:b/>
                <w:bCs/>
                <w:iCs/>
                <w:color w:val="000000"/>
                <w:szCs w:val="22"/>
                <w:lang w:eastAsia="en-US"/>
              </w:rPr>
            </w:pPr>
            <w:r w:rsidRPr="001E7178">
              <w:rPr>
                <w:color w:val="000000"/>
              </w:rPr>
              <w:t>Access to road network</w:t>
            </w:r>
          </w:p>
        </w:tc>
        <w:tc>
          <w:tcPr>
            <w:tcW w:w="1427" w:type="dxa"/>
            <w:noWrap/>
            <w:hideMark/>
          </w:tcPr>
          <w:p w14:paraId="28482A35"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10.7%</w:t>
            </w:r>
          </w:p>
        </w:tc>
        <w:tc>
          <w:tcPr>
            <w:tcW w:w="1072" w:type="dxa"/>
            <w:noWrap/>
            <w:hideMark/>
          </w:tcPr>
          <w:p w14:paraId="7387F111"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13.7%</w:t>
            </w:r>
          </w:p>
        </w:tc>
        <w:tc>
          <w:tcPr>
            <w:tcW w:w="1611" w:type="dxa"/>
            <w:noWrap/>
            <w:hideMark/>
          </w:tcPr>
          <w:p w14:paraId="413813C2"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15.2%</w:t>
            </w:r>
          </w:p>
        </w:tc>
        <w:tc>
          <w:tcPr>
            <w:tcW w:w="1243" w:type="dxa"/>
            <w:noWrap/>
            <w:hideMark/>
          </w:tcPr>
          <w:p w14:paraId="1F5AD99D"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17.5%</w:t>
            </w:r>
          </w:p>
        </w:tc>
        <w:tc>
          <w:tcPr>
            <w:tcW w:w="1134" w:type="dxa"/>
            <w:noWrap/>
            <w:hideMark/>
          </w:tcPr>
          <w:p w14:paraId="7B5B113B"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10.3%</w:t>
            </w:r>
          </w:p>
        </w:tc>
      </w:tr>
      <w:tr w:rsidR="00553FD5" w:rsidRPr="001E7178" w14:paraId="13658D98" w14:textId="77777777" w:rsidTr="00CB1FDA">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4D7F549" w14:textId="77777777" w:rsidR="008D7250" w:rsidRDefault="00553FD5">
            <w:pPr>
              <w:spacing w:after="0"/>
              <w:rPr>
                <w:rFonts w:eastAsia="Times New Roman" w:cs="Times New Roman"/>
                <w:b/>
                <w:bCs/>
                <w:iCs/>
                <w:color w:val="000000"/>
                <w:szCs w:val="22"/>
                <w:lang w:eastAsia="en-US"/>
              </w:rPr>
            </w:pPr>
            <w:r w:rsidRPr="001E7178">
              <w:rPr>
                <w:color w:val="000000"/>
              </w:rPr>
              <w:t>Access to rail network</w:t>
            </w:r>
          </w:p>
        </w:tc>
        <w:tc>
          <w:tcPr>
            <w:tcW w:w="1427" w:type="dxa"/>
            <w:noWrap/>
            <w:hideMark/>
          </w:tcPr>
          <w:p w14:paraId="1BE9F5C5"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3.6%</w:t>
            </w:r>
          </w:p>
        </w:tc>
        <w:tc>
          <w:tcPr>
            <w:tcW w:w="1072" w:type="dxa"/>
            <w:noWrap/>
            <w:hideMark/>
          </w:tcPr>
          <w:p w14:paraId="798650F8"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1.4%</w:t>
            </w:r>
          </w:p>
        </w:tc>
        <w:tc>
          <w:tcPr>
            <w:tcW w:w="1611" w:type="dxa"/>
            <w:noWrap/>
            <w:hideMark/>
          </w:tcPr>
          <w:p w14:paraId="30DD2218"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1.4%</w:t>
            </w:r>
          </w:p>
        </w:tc>
        <w:tc>
          <w:tcPr>
            <w:tcW w:w="1243" w:type="dxa"/>
            <w:noWrap/>
            <w:hideMark/>
          </w:tcPr>
          <w:p w14:paraId="2E71D10E"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5.0%</w:t>
            </w:r>
          </w:p>
        </w:tc>
        <w:tc>
          <w:tcPr>
            <w:tcW w:w="1134" w:type="dxa"/>
            <w:noWrap/>
            <w:hideMark/>
          </w:tcPr>
          <w:p w14:paraId="5F6DD3DC"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0.9%</w:t>
            </w:r>
          </w:p>
        </w:tc>
      </w:tr>
      <w:tr w:rsidR="00553FD5" w:rsidRPr="001E7178" w14:paraId="610D0B06" w14:textId="77777777" w:rsidTr="00CB1FDA">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9F5BE8F" w14:textId="77777777" w:rsidR="008D7250" w:rsidRDefault="00553FD5">
            <w:pPr>
              <w:spacing w:after="0"/>
              <w:rPr>
                <w:rFonts w:eastAsia="Times New Roman" w:cs="Times New Roman"/>
                <w:b/>
                <w:bCs/>
                <w:iCs/>
                <w:color w:val="000000"/>
                <w:szCs w:val="22"/>
                <w:lang w:eastAsia="en-US"/>
              </w:rPr>
            </w:pPr>
            <w:r w:rsidRPr="001E7178">
              <w:rPr>
                <w:color w:val="000000"/>
              </w:rPr>
              <w:t>Access to sea transport</w:t>
            </w:r>
          </w:p>
        </w:tc>
        <w:tc>
          <w:tcPr>
            <w:tcW w:w="1427" w:type="dxa"/>
            <w:noWrap/>
            <w:hideMark/>
          </w:tcPr>
          <w:p w14:paraId="239C5296"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072" w:type="dxa"/>
            <w:noWrap/>
            <w:hideMark/>
          </w:tcPr>
          <w:p w14:paraId="3F1907C7"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10.8%</w:t>
            </w:r>
          </w:p>
        </w:tc>
        <w:tc>
          <w:tcPr>
            <w:tcW w:w="1611" w:type="dxa"/>
            <w:noWrap/>
            <w:hideMark/>
          </w:tcPr>
          <w:p w14:paraId="3E4C3B7A"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6.5%</w:t>
            </w:r>
          </w:p>
        </w:tc>
        <w:tc>
          <w:tcPr>
            <w:tcW w:w="1243" w:type="dxa"/>
            <w:noWrap/>
            <w:hideMark/>
          </w:tcPr>
          <w:p w14:paraId="0D929D87"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7.5%</w:t>
            </w:r>
          </w:p>
        </w:tc>
        <w:tc>
          <w:tcPr>
            <w:tcW w:w="1134" w:type="dxa"/>
            <w:noWrap/>
            <w:hideMark/>
          </w:tcPr>
          <w:p w14:paraId="4CB1EE3A"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1.3%</w:t>
            </w:r>
          </w:p>
        </w:tc>
      </w:tr>
      <w:tr w:rsidR="00553FD5" w:rsidRPr="001E7178" w14:paraId="2E103803" w14:textId="77777777" w:rsidTr="00CB1FDA">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C6CCADB" w14:textId="77777777" w:rsidR="008D7250" w:rsidRDefault="00553FD5">
            <w:pPr>
              <w:spacing w:after="0"/>
              <w:rPr>
                <w:rFonts w:eastAsia="Times New Roman" w:cs="Times New Roman"/>
                <w:b/>
                <w:bCs/>
                <w:iCs/>
                <w:color w:val="000000"/>
                <w:szCs w:val="22"/>
                <w:lang w:eastAsia="en-US"/>
              </w:rPr>
            </w:pPr>
            <w:r w:rsidRPr="001E7178">
              <w:rPr>
                <w:color w:val="000000"/>
              </w:rPr>
              <w:t>Good environment / quality of life</w:t>
            </w:r>
          </w:p>
        </w:tc>
        <w:tc>
          <w:tcPr>
            <w:tcW w:w="1427" w:type="dxa"/>
            <w:noWrap/>
            <w:hideMark/>
          </w:tcPr>
          <w:p w14:paraId="04AF200F"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072" w:type="dxa"/>
            <w:noWrap/>
            <w:hideMark/>
          </w:tcPr>
          <w:p w14:paraId="4D6D9386"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1.4%</w:t>
            </w:r>
          </w:p>
        </w:tc>
        <w:tc>
          <w:tcPr>
            <w:tcW w:w="1611" w:type="dxa"/>
            <w:noWrap/>
            <w:hideMark/>
          </w:tcPr>
          <w:p w14:paraId="7FC15EBB"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5.1%</w:t>
            </w:r>
          </w:p>
        </w:tc>
        <w:tc>
          <w:tcPr>
            <w:tcW w:w="1243" w:type="dxa"/>
            <w:noWrap/>
            <w:hideMark/>
          </w:tcPr>
          <w:p w14:paraId="385C3115"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134" w:type="dxa"/>
            <w:noWrap/>
            <w:hideMark/>
          </w:tcPr>
          <w:p w14:paraId="43D3C3ED"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5.4%</w:t>
            </w:r>
          </w:p>
        </w:tc>
      </w:tr>
      <w:tr w:rsidR="00553FD5" w:rsidRPr="001E7178" w14:paraId="0F1D4718" w14:textId="77777777" w:rsidTr="00CB1FDA">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F41878F" w14:textId="77777777" w:rsidR="008D7250" w:rsidRDefault="00553FD5">
            <w:pPr>
              <w:spacing w:after="0"/>
              <w:rPr>
                <w:rFonts w:eastAsia="Times New Roman" w:cs="Times New Roman"/>
                <w:b/>
                <w:bCs/>
                <w:iCs/>
                <w:color w:val="000000"/>
                <w:szCs w:val="22"/>
                <w:lang w:eastAsia="en-US"/>
              </w:rPr>
            </w:pPr>
            <w:r w:rsidRPr="001E7178">
              <w:rPr>
                <w:color w:val="000000"/>
              </w:rPr>
              <w:t>Was already established here / Existing business</w:t>
            </w:r>
          </w:p>
        </w:tc>
        <w:tc>
          <w:tcPr>
            <w:tcW w:w="1427" w:type="dxa"/>
            <w:noWrap/>
            <w:hideMark/>
          </w:tcPr>
          <w:p w14:paraId="4FFA42D4"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17.9%</w:t>
            </w:r>
          </w:p>
        </w:tc>
        <w:tc>
          <w:tcPr>
            <w:tcW w:w="1072" w:type="dxa"/>
            <w:noWrap/>
            <w:hideMark/>
          </w:tcPr>
          <w:p w14:paraId="4EE29C9A"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22.3%</w:t>
            </w:r>
          </w:p>
        </w:tc>
        <w:tc>
          <w:tcPr>
            <w:tcW w:w="1611" w:type="dxa"/>
            <w:noWrap/>
            <w:hideMark/>
          </w:tcPr>
          <w:p w14:paraId="669E94C3"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15.9%</w:t>
            </w:r>
          </w:p>
        </w:tc>
        <w:tc>
          <w:tcPr>
            <w:tcW w:w="1243" w:type="dxa"/>
            <w:noWrap/>
            <w:hideMark/>
          </w:tcPr>
          <w:p w14:paraId="6CBDEE5B"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17.5%</w:t>
            </w:r>
          </w:p>
        </w:tc>
        <w:tc>
          <w:tcPr>
            <w:tcW w:w="1134" w:type="dxa"/>
            <w:noWrap/>
            <w:hideMark/>
          </w:tcPr>
          <w:p w14:paraId="4D6DFA04"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33.9%</w:t>
            </w:r>
          </w:p>
        </w:tc>
      </w:tr>
      <w:tr w:rsidR="00553FD5" w:rsidRPr="001E7178" w14:paraId="58520F15" w14:textId="77777777" w:rsidTr="00CB1FDA">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13D1CD0" w14:textId="77777777" w:rsidR="008D7250" w:rsidRDefault="00553FD5">
            <w:pPr>
              <w:spacing w:after="0"/>
              <w:rPr>
                <w:rFonts w:eastAsia="Times New Roman" w:cs="Times New Roman"/>
                <w:b/>
                <w:bCs/>
                <w:iCs/>
                <w:color w:val="000000"/>
                <w:szCs w:val="22"/>
                <w:lang w:eastAsia="en-US"/>
              </w:rPr>
            </w:pPr>
            <w:r w:rsidRPr="001E7178">
              <w:rPr>
                <w:color w:val="000000"/>
              </w:rPr>
              <w:t>Proximity to home / Work from home</w:t>
            </w:r>
          </w:p>
        </w:tc>
        <w:tc>
          <w:tcPr>
            <w:tcW w:w="1427" w:type="dxa"/>
            <w:noWrap/>
            <w:hideMark/>
          </w:tcPr>
          <w:p w14:paraId="50874123"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35.7%</w:t>
            </w:r>
          </w:p>
        </w:tc>
        <w:tc>
          <w:tcPr>
            <w:tcW w:w="1072" w:type="dxa"/>
            <w:noWrap/>
            <w:hideMark/>
          </w:tcPr>
          <w:p w14:paraId="6FDAB301"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6.5%</w:t>
            </w:r>
          </w:p>
        </w:tc>
        <w:tc>
          <w:tcPr>
            <w:tcW w:w="1611" w:type="dxa"/>
            <w:noWrap/>
            <w:hideMark/>
          </w:tcPr>
          <w:p w14:paraId="34121EA8"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9.4%</w:t>
            </w:r>
          </w:p>
        </w:tc>
        <w:tc>
          <w:tcPr>
            <w:tcW w:w="1243" w:type="dxa"/>
            <w:noWrap/>
            <w:hideMark/>
          </w:tcPr>
          <w:p w14:paraId="362EDF16"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5.0%</w:t>
            </w:r>
          </w:p>
        </w:tc>
        <w:tc>
          <w:tcPr>
            <w:tcW w:w="1134" w:type="dxa"/>
            <w:noWrap/>
            <w:hideMark/>
          </w:tcPr>
          <w:p w14:paraId="3F31107B"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7.1%</w:t>
            </w:r>
          </w:p>
        </w:tc>
      </w:tr>
      <w:tr w:rsidR="00553FD5" w:rsidRPr="001E7178" w14:paraId="3C1F0E91" w14:textId="77777777" w:rsidTr="00CB1FDA">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F196EA5" w14:textId="77777777" w:rsidR="008D7250" w:rsidRDefault="00553FD5">
            <w:pPr>
              <w:spacing w:after="0"/>
              <w:rPr>
                <w:rFonts w:eastAsia="Times New Roman" w:cs="Times New Roman"/>
                <w:b/>
                <w:bCs/>
                <w:iCs/>
                <w:color w:val="000000"/>
                <w:szCs w:val="22"/>
                <w:lang w:eastAsia="en-US"/>
              </w:rPr>
            </w:pPr>
            <w:r w:rsidRPr="001E7178">
              <w:rPr>
                <w:color w:val="000000"/>
              </w:rPr>
              <w:t>Decision made at head office / elsewhere</w:t>
            </w:r>
          </w:p>
        </w:tc>
        <w:tc>
          <w:tcPr>
            <w:tcW w:w="1427" w:type="dxa"/>
            <w:noWrap/>
            <w:hideMark/>
          </w:tcPr>
          <w:p w14:paraId="6DB69DDC"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072" w:type="dxa"/>
            <w:noWrap/>
            <w:hideMark/>
          </w:tcPr>
          <w:p w14:paraId="11D2ECAC"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611" w:type="dxa"/>
            <w:noWrap/>
            <w:hideMark/>
          </w:tcPr>
          <w:p w14:paraId="63CE3DC0"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243" w:type="dxa"/>
            <w:noWrap/>
            <w:hideMark/>
          </w:tcPr>
          <w:p w14:paraId="7A23E296"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134" w:type="dxa"/>
            <w:noWrap/>
            <w:hideMark/>
          </w:tcPr>
          <w:p w14:paraId="4DB88DA7"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0.9%</w:t>
            </w:r>
          </w:p>
        </w:tc>
      </w:tr>
      <w:tr w:rsidR="00553FD5" w:rsidRPr="001E7178" w14:paraId="256BC460" w14:textId="77777777" w:rsidTr="00CB1FDA">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E7EB4C9" w14:textId="77777777" w:rsidR="00553FD5" w:rsidRPr="001E7178" w:rsidRDefault="00553FD5" w:rsidP="00C93734">
            <w:pPr>
              <w:spacing w:after="0"/>
              <w:jc w:val="both"/>
              <w:rPr>
                <w:color w:val="000000"/>
              </w:rPr>
            </w:pPr>
            <w:r w:rsidRPr="001E7178">
              <w:rPr>
                <w:color w:val="000000"/>
              </w:rPr>
              <w:t>Gap in the market</w:t>
            </w:r>
          </w:p>
        </w:tc>
        <w:tc>
          <w:tcPr>
            <w:tcW w:w="1427" w:type="dxa"/>
            <w:noWrap/>
            <w:hideMark/>
          </w:tcPr>
          <w:p w14:paraId="2DEA29E9"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072" w:type="dxa"/>
            <w:noWrap/>
            <w:hideMark/>
          </w:tcPr>
          <w:p w14:paraId="0B568D8A"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0.7%</w:t>
            </w:r>
          </w:p>
        </w:tc>
        <w:tc>
          <w:tcPr>
            <w:tcW w:w="1611" w:type="dxa"/>
            <w:noWrap/>
            <w:hideMark/>
          </w:tcPr>
          <w:p w14:paraId="12809BF6"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243" w:type="dxa"/>
            <w:noWrap/>
            <w:hideMark/>
          </w:tcPr>
          <w:p w14:paraId="6AEBE203"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c>
          <w:tcPr>
            <w:tcW w:w="1134" w:type="dxa"/>
            <w:noWrap/>
            <w:hideMark/>
          </w:tcPr>
          <w:p w14:paraId="764A8F63"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0.0%</w:t>
            </w:r>
          </w:p>
        </w:tc>
      </w:tr>
    </w:tbl>
    <w:p w14:paraId="325950A5" w14:textId="77777777" w:rsidR="00553FD5" w:rsidRPr="002805F3" w:rsidRDefault="00553FD5" w:rsidP="00C93734">
      <w:pPr>
        <w:pStyle w:val="TableSource"/>
        <w:jc w:val="both"/>
      </w:pPr>
      <w:r w:rsidRPr="002805F3">
        <w:t>Source: Hill Taylor and Atkins 2013. Atkins Ref: Survey –A24</w:t>
      </w:r>
    </w:p>
    <w:p w14:paraId="2777A581" w14:textId="77777777" w:rsidR="00553FD5" w:rsidRPr="002805F3" w:rsidRDefault="00553FD5" w:rsidP="00C93734">
      <w:pPr>
        <w:pStyle w:val="BodyText"/>
        <w:jc w:val="both"/>
        <w:rPr>
          <w:szCs w:val="22"/>
        </w:rPr>
      </w:pPr>
      <w:r w:rsidRPr="002805F3">
        <w:rPr>
          <w:szCs w:val="22"/>
        </w:rPr>
        <w:t xml:space="preserve">The majority of firms surveyed across all sectors </w:t>
      </w:r>
      <w:r w:rsidR="00CB1FDA">
        <w:rPr>
          <w:szCs w:val="22"/>
        </w:rPr>
        <w:t>described</w:t>
      </w:r>
      <w:r w:rsidR="00CB1FDA" w:rsidRPr="002805F3">
        <w:rPr>
          <w:szCs w:val="22"/>
        </w:rPr>
        <w:t xml:space="preserve"> </w:t>
      </w:r>
      <w:r w:rsidRPr="002805F3">
        <w:rPr>
          <w:szCs w:val="22"/>
        </w:rPr>
        <w:t>their current location as good and competitive</w:t>
      </w:r>
      <w:r w:rsidR="00CB1FDA">
        <w:rPr>
          <w:szCs w:val="22"/>
        </w:rPr>
        <w:t xml:space="preserve"> - as many as </w:t>
      </w:r>
      <w:r w:rsidRPr="002805F3">
        <w:rPr>
          <w:szCs w:val="22"/>
        </w:rPr>
        <w:t xml:space="preserve">95% of </w:t>
      </w:r>
      <w:r w:rsidR="00CB1FDA">
        <w:rPr>
          <w:szCs w:val="22"/>
        </w:rPr>
        <w:t>firms in the r</w:t>
      </w:r>
      <w:r w:rsidR="00CB1FDA" w:rsidRPr="002805F3">
        <w:rPr>
          <w:szCs w:val="22"/>
        </w:rPr>
        <w:t>enewable</w:t>
      </w:r>
      <w:r w:rsidR="00CB1FDA">
        <w:rPr>
          <w:szCs w:val="22"/>
        </w:rPr>
        <w:t xml:space="preserve"> energy sector</w:t>
      </w:r>
      <w:r w:rsidRPr="002805F3">
        <w:rPr>
          <w:szCs w:val="22"/>
        </w:rPr>
        <w:t xml:space="preserve">. Slightly lower satisfaction scores were found for </w:t>
      </w:r>
      <w:r w:rsidR="00CB1FDA">
        <w:rPr>
          <w:szCs w:val="22"/>
        </w:rPr>
        <w:t>the v</w:t>
      </w:r>
      <w:r w:rsidR="00CB1FDA" w:rsidRPr="002805F3">
        <w:rPr>
          <w:szCs w:val="22"/>
        </w:rPr>
        <w:t xml:space="preserve">isitor </w:t>
      </w:r>
      <w:r w:rsidR="00CB1FDA">
        <w:rPr>
          <w:szCs w:val="22"/>
        </w:rPr>
        <w:t>e</w:t>
      </w:r>
      <w:r w:rsidR="00CB1FDA" w:rsidRPr="002805F3">
        <w:rPr>
          <w:szCs w:val="22"/>
        </w:rPr>
        <w:t xml:space="preserve">conomy </w:t>
      </w:r>
      <w:r w:rsidRPr="002805F3">
        <w:rPr>
          <w:szCs w:val="22"/>
        </w:rPr>
        <w:t xml:space="preserve">and </w:t>
      </w:r>
      <w:r w:rsidR="00CB1FDA">
        <w:rPr>
          <w:szCs w:val="22"/>
        </w:rPr>
        <w:t>f</w:t>
      </w:r>
      <w:r w:rsidR="00CB1FDA" w:rsidRPr="002805F3">
        <w:rPr>
          <w:szCs w:val="22"/>
        </w:rPr>
        <w:t xml:space="preserve">ood </w:t>
      </w:r>
      <w:r w:rsidRPr="002805F3">
        <w:rPr>
          <w:szCs w:val="22"/>
        </w:rPr>
        <w:t>manufacturing</w:t>
      </w:r>
      <w:r w:rsidR="00CB1FDA">
        <w:rPr>
          <w:szCs w:val="22"/>
        </w:rPr>
        <w:t xml:space="preserve"> sectors</w:t>
      </w:r>
      <w:r w:rsidRPr="002805F3">
        <w:rPr>
          <w:szCs w:val="22"/>
        </w:rPr>
        <w:t xml:space="preserve">, </w:t>
      </w:r>
      <w:r w:rsidR="00CB1FDA">
        <w:rPr>
          <w:szCs w:val="22"/>
        </w:rPr>
        <w:t>where</w:t>
      </w:r>
      <w:r w:rsidR="00CB1FDA" w:rsidRPr="002805F3">
        <w:rPr>
          <w:szCs w:val="22"/>
        </w:rPr>
        <w:t xml:space="preserve"> </w:t>
      </w:r>
      <w:r w:rsidRPr="002805F3">
        <w:rPr>
          <w:szCs w:val="22"/>
        </w:rPr>
        <w:t xml:space="preserve">cost, technological and </w:t>
      </w:r>
      <w:r w:rsidR="00CB1FDA" w:rsidRPr="002805F3">
        <w:rPr>
          <w:szCs w:val="22"/>
        </w:rPr>
        <w:t>market</w:t>
      </w:r>
      <w:r w:rsidR="00CB1FDA">
        <w:rPr>
          <w:szCs w:val="22"/>
        </w:rPr>
        <w:t>-</w:t>
      </w:r>
      <w:r w:rsidRPr="002805F3">
        <w:rPr>
          <w:szCs w:val="22"/>
        </w:rPr>
        <w:t xml:space="preserve">driven </w:t>
      </w:r>
      <w:r w:rsidR="00CB1FDA">
        <w:rPr>
          <w:szCs w:val="22"/>
        </w:rPr>
        <w:t>factors</w:t>
      </w:r>
      <w:r w:rsidR="00CB1FDA" w:rsidRPr="002805F3">
        <w:rPr>
          <w:szCs w:val="22"/>
        </w:rPr>
        <w:t xml:space="preserve"> </w:t>
      </w:r>
      <w:r w:rsidR="00CB1FDA">
        <w:rPr>
          <w:szCs w:val="22"/>
        </w:rPr>
        <w:t>were identified as challenges in recent years</w:t>
      </w:r>
      <w:r>
        <w:rPr>
          <w:szCs w:val="22"/>
        </w:rPr>
        <w:t xml:space="preserve">. However, </w:t>
      </w:r>
      <w:r w:rsidR="00CB1FDA">
        <w:rPr>
          <w:szCs w:val="22"/>
        </w:rPr>
        <w:t xml:space="preserve">in general the results </w:t>
      </w:r>
      <w:r>
        <w:rPr>
          <w:szCs w:val="22"/>
        </w:rPr>
        <w:t>are strongly indicative of</w:t>
      </w:r>
      <w:r w:rsidR="00CB1FDA">
        <w:rPr>
          <w:szCs w:val="22"/>
        </w:rPr>
        <w:t xml:space="preserve"> positive perceptions</w:t>
      </w:r>
      <w:r>
        <w:rPr>
          <w:szCs w:val="22"/>
        </w:rPr>
        <w:t xml:space="preserve"> </w:t>
      </w:r>
      <w:r w:rsidR="00CB1FDA">
        <w:rPr>
          <w:szCs w:val="22"/>
        </w:rPr>
        <w:t xml:space="preserve">of a </w:t>
      </w:r>
      <w:r>
        <w:rPr>
          <w:szCs w:val="22"/>
        </w:rPr>
        <w:t xml:space="preserve">strong local economy and </w:t>
      </w:r>
      <w:r w:rsidR="00CB1FDA">
        <w:rPr>
          <w:szCs w:val="22"/>
        </w:rPr>
        <w:t xml:space="preserve">prospects for </w:t>
      </w:r>
      <w:r>
        <w:rPr>
          <w:szCs w:val="22"/>
        </w:rPr>
        <w:t>growth.</w:t>
      </w:r>
    </w:p>
    <w:p w14:paraId="34151E5B" w14:textId="77777777" w:rsidR="00553FD5" w:rsidRPr="002805F3" w:rsidRDefault="00553FD5" w:rsidP="00DF4291">
      <w:pPr>
        <w:pStyle w:val="Caption"/>
      </w:pPr>
      <w:bookmarkStart w:id="668" w:name="_Toc383159683"/>
      <w:r>
        <w:rPr>
          <w:noProof/>
          <w:lang w:eastAsia="en-GB"/>
        </w:rPr>
        <w:t xml:space="preserve">Figure </w:t>
      </w:r>
      <w:fldSimple w:instr=" STYLEREF 1 \s  \* MERGEFORMAT ">
        <w:r w:rsidR="00E95E1A">
          <w:rPr>
            <w:noProof/>
            <w:lang w:eastAsia="en-GB"/>
          </w:rPr>
          <w:t>0</w:t>
        </w:r>
      </w:fldSimple>
      <w:r>
        <w:rPr>
          <w:noProof/>
          <w:lang w:eastAsia="en-GB"/>
        </w:rPr>
        <w:t>-</w:t>
      </w:r>
      <w:fldSimple w:instr=" SEQ Figure \* ARABIC \s 1  \* MERGEFORMAT ">
        <w:r w:rsidR="00E95E1A">
          <w:rPr>
            <w:noProof/>
            <w:lang w:eastAsia="en-GB"/>
          </w:rPr>
          <w:t>5</w:t>
        </w:r>
      </w:fldSimple>
      <w:r>
        <w:rPr>
          <w:noProof/>
          <w:lang w:eastAsia="en-GB"/>
        </w:rPr>
        <w:tab/>
        <w:t>Good, Competitive Location?</w:t>
      </w:r>
      <w:r w:rsidR="00BA1CE7">
        <w:rPr>
          <w:noProof/>
          <w:lang w:eastAsia="en-GB"/>
        </w:rPr>
        <w:drawing>
          <wp:inline distT="0" distB="0" distL="0" distR="0" wp14:anchorId="6EE85D80" wp14:editId="6357DD40">
            <wp:extent cx="5976309" cy="2786332"/>
            <wp:effectExtent l="0" t="0" r="0" b="0"/>
            <wp:docPr id="2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bookmarkEnd w:id="668"/>
    </w:p>
    <w:p w14:paraId="293A5064" w14:textId="77777777" w:rsidR="00553FD5" w:rsidRPr="002805F3" w:rsidRDefault="00553FD5" w:rsidP="00C93734">
      <w:pPr>
        <w:pStyle w:val="BodyText"/>
        <w:jc w:val="both"/>
        <w:rPr>
          <w:sz w:val="16"/>
          <w:szCs w:val="16"/>
        </w:rPr>
      </w:pPr>
      <w:r w:rsidRPr="002805F3">
        <w:rPr>
          <w:sz w:val="16"/>
          <w:szCs w:val="16"/>
        </w:rPr>
        <w:t>Source: Hill Taylor and Atkins 2013. Atkins Ref: Survey –A25</w:t>
      </w:r>
    </w:p>
    <w:p w14:paraId="3D2AE32C" w14:textId="77777777" w:rsidR="00553FD5" w:rsidRPr="002805F3" w:rsidRDefault="00AE6193" w:rsidP="00C93734">
      <w:pPr>
        <w:pStyle w:val="BodyText"/>
        <w:jc w:val="both"/>
        <w:rPr>
          <w:szCs w:val="22"/>
        </w:rPr>
      </w:pPr>
      <w:r>
        <w:rPr>
          <w:szCs w:val="22"/>
        </w:rPr>
        <w:t>Amongst r</w:t>
      </w:r>
      <w:r w:rsidR="00553FD5" w:rsidRPr="002805F3">
        <w:rPr>
          <w:szCs w:val="22"/>
        </w:rPr>
        <w:t>espondents</w:t>
      </w:r>
      <w:r>
        <w:rPr>
          <w:szCs w:val="22"/>
        </w:rPr>
        <w:t xml:space="preserve"> who</w:t>
      </w:r>
      <w:r w:rsidR="00553FD5" w:rsidRPr="002805F3">
        <w:rPr>
          <w:szCs w:val="22"/>
        </w:rPr>
        <w:t xml:space="preserve"> </w:t>
      </w:r>
      <w:r>
        <w:rPr>
          <w:szCs w:val="22"/>
        </w:rPr>
        <w:t>indicated</w:t>
      </w:r>
      <w:r w:rsidRPr="002805F3">
        <w:rPr>
          <w:szCs w:val="22"/>
        </w:rPr>
        <w:t xml:space="preserve"> </w:t>
      </w:r>
      <w:r w:rsidR="00553FD5" w:rsidRPr="002805F3">
        <w:rPr>
          <w:szCs w:val="22"/>
        </w:rPr>
        <w:t xml:space="preserve">they </w:t>
      </w:r>
      <w:r>
        <w:rPr>
          <w:szCs w:val="22"/>
        </w:rPr>
        <w:t>had</w:t>
      </w:r>
      <w:r w:rsidR="00553FD5" w:rsidRPr="002805F3">
        <w:rPr>
          <w:szCs w:val="22"/>
        </w:rPr>
        <w:t xml:space="preserve"> a strong location, </w:t>
      </w:r>
      <w:r>
        <w:rPr>
          <w:szCs w:val="22"/>
        </w:rPr>
        <w:t>22.2% stated this was due to proximity</w:t>
      </w:r>
      <w:r w:rsidR="00553FD5" w:rsidRPr="002805F3">
        <w:rPr>
          <w:szCs w:val="22"/>
        </w:rPr>
        <w:t xml:space="preserve"> to key clients and markets</w:t>
      </w:r>
      <w:r>
        <w:rPr>
          <w:szCs w:val="22"/>
        </w:rPr>
        <w:t>,</w:t>
      </w:r>
      <w:r w:rsidR="00553FD5" w:rsidRPr="002805F3">
        <w:rPr>
          <w:szCs w:val="22"/>
        </w:rPr>
        <w:t xml:space="preserve"> a further 16.8% identified access to the road network</w:t>
      </w:r>
      <w:r>
        <w:rPr>
          <w:szCs w:val="22"/>
        </w:rPr>
        <w:t xml:space="preserve">, </w:t>
      </w:r>
      <w:r w:rsidR="00553FD5" w:rsidRPr="002805F3">
        <w:rPr>
          <w:szCs w:val="22"/>
        </w:rPr>
        <w:t xml:space="preserve">and 14.8% proximity to </w:t>
      </w:r>
      <w:r>
        <w:rPr>
          <w:szCs w:val="22"/>
        </w:rPr>
        <w:t xml:space="preserve">the </w:t>
      </w:r>
      <w:r w:rsidR="00553FD5" w:rsidRPr="002805F3">
        <w:rPr>
          <w:szCs w:val="22"/>
        </w:rPr>
        <w:t xml:space="preserve">waterfront and port facilities. </w:t>
      </w:r>
      <w:r w:rsidR="00553FD5">
        <w:rPr>
          <w:szCs w:val="22"/>
        </w:rPr>
        <w:t>This supports the findings of the qualitative interviews</w:t>
      </w:r>
      <w:r>
        <w:rPr>
          <w:szCs w:val="22"/>
        </w:rPr>
        <w:t xml:space="preserve">, where </w:t>
      </w:r>
      <w:r w:rsidR="00553FD5">
        <w:rPr>
          <w:szCs w:val="22"/>
        </w:rPr>
        <w:t xml:space="preserve">transport connections </w:t>
      </w:r>
      <w:r>
        <w:rPr>
          <w:szCs w:val="22"/>
        </w:rPr>
        <w:t xml:space="preserve">were identified as </w:t>
      </w:r>
      <w:r w:rsidR="00553FD5">
        <w:rPr>
          <w:szCs w:val="22"/>
        </w:rPr>
        <w:t>highly important for businesses now and in the future.</w:t>
      </w:r>
    </w:p>
    <w:p w14:paraId="3159D678" w14:textId="77777777" w:rsidR="00553FD5" w:rsidRDefault="00553FD5" w:rsidP="00C93734">
      <w:pPr>
        <w:pStyle w:val="Caption"/>
        <w:jc w:val="both"/>
      </w:pPr>
      <w:bookmarkStart w:id="669" w:name="_Toc383159721"/>
      <w:r>
        <w:t xml:space="preserve">Table </w:t>
      </w:r>
      <w:fldSimple w:instr=" STYLEREF 1 \s  \* MERGEFORMAT ">
        <w:r w:rsidR="00E95E1A">
          <w:rPr>
            <w:noProof/>
          </w:rPr>
          <w:t>0</w:t>
        </w:r>
      </w:fldSimple>
      <w:r>
        <w:t>-</w:t>
      </w:r>
      <w:fldSimple w:instr=" SEQ Table \* ARABIC \s 1  \* MERGEFORMAT ">
        <w:r w:rsidR="00E95E1A">
          <w:rPr>
            <w:noProof/>
          </w:rPr>
          <w:t>20</w:t>
        </w:r>
      </w:fldSimple>
      <w:r>
        <w:tab/>
        <w:t xml:space="preserve">Reasons why </w:t>
      </w:r>
      <w:bookmarkEnd w:id="669"/>
      <w:r w:rsidR="00AE6193">
        <w:t>location is competitive</w:t>
      </w:r>
    </w:p>
    <w:tbl>
      <w:tblPr>
        <w:tblStyle w:val="Atkins14pt"/>
        <w:tblW w:w="5371" w:type="dxa"/>
        <w:tblLook w:val="04A0" w:firstRow="1" w:lastRow="0" w:firstColumn="1" w:lastColumn="0" w:noHBand="0" w:noVBand="1"/>
      </w:tblPr>
      <w:tblGrid>
        <w:gridCol w:w="4395"/>
        <w:gridCol w:w="976"/>
      </w:tblGrid>
      <w:tr w:rsidR="00553FD5" w:rsidRPr="001E7178" w14:paraId="2CB3DE0C" w14:textId="77777777" w:rsidTr="007A149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395" w:type="dxa"/>
            <w:noWrap/>
            <w:hideMark/>
          </w:tcPr>
          <w:p w14:paraId="5E857802" w14:textId="77777777" w:rsidR="00553FD5" w:rsidRPr="001E7178" w:rsidRDefault="00553FD5" w:rsidP="00C93734">
            <w:pPr>
              <w:spacing w:after="0"/>
              <w:jc w:val="both"/>
              <w:rPr>
                <w:color w:val="000000"/>
              </w:rPr>
            </w:pPr>
            <w:r w:rsidRPr="001E7178">
              <w:rPr>
                <w:color w:val="000000"/>
              </w:rPr>
              <w:t>Reason</w:t>
            </w:r>
          </w:p>
        </w:tc>
        <w:tc>
          <w:tcPr>
            <w:tcW w:w="976" w:type="dxa"/>
            <w:noWrap/>
            <w:hideMark/>
          </w:tcPr>
          <w:p w14:paraId="4159CA54" w14:textId="77777777" w:rsidR="00553FD5" w:rsidRPr="001E7178" w:rsidRDefault="00553FD5" w:rsidP="00C93734">
            <w:pPr>
              <w:spacing w:after="0"/>
              <w:jc w:val="both"/>
              <w:cnfStyle w:val="100000000000" w:firstRow="1" w:lastRow="0" w:firstColumn="0" w:lastColumn="0" w:oddVBand="0" w:evenVBand="0" w:oddHBand="0" w:evenHBand="0" w:firstRowFirstColumn="0" w:firstRowLastColumn="0" w:lastRowFirstColumn="0" w:lastRowLastColumn="0"/>
              <w:rPr>
                <w:color w:val="000000"/>
              </w:rPr>
            </w:pPr>
            <w:r w:rsidRPr="001E7178">
              <w:rPr>
                <w:color w:val="000000"/>
              </w:rPr>
              <w:t>%</w:t>
            </w:r>
          </w:p>
        </w:tc>
      </w:tr>
      <w:tr w:rsidR="00553FD5" w:rsidRPr="001E7178" w14:paraId="59894F02"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0B5A2A8F" w14:textId="77777777" w:rsidR="00553FD5" w:rsidRPr="001E7178" w:rsidRDefault="00553FD5" w:rsidP="00C93734">
            <w:pPr>
              <w:spacing w:after="0"/>
              <w:jc w:val="both"/>
              <w:rPr>
                <w:color w:val="000000"/>
              </w:rPr>
            </w:pPr>
            <w:r w:rsidRPr="001E7178">
              <w:rPr>
                <w:color w:val="000000"/>
              </w:rPr>
              <w:t>Proximity to key clients / markets</w:t>
            </w:r>
          </w:p>
        </w:tc>
        <w:tc>
          <w:tcPr>
            <w:tcW w:w="976" w:type="dxa"/>
            <w:noWrap/>
            <w:hideMark/>
          </w:tcPr>
          <w:p w14:paraId="1D1F6C45"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22.2%</w:t>
            </w:r>
          </w:p>
        </w:tc>
      </w:tr>
      <w:tr w:rsidR="00553FD5" w:rsidRPr="001E7178" w14:paraId="72389B3A"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03A8E58F" w14:textId="77777777" w:rsidR="00553FD5" w:rsidRPr="001E7178" w:rsidRDefault="00553FD5" w:rsidP="00C93734">
            <w:pPr>
              <w:spacing w:after="0"/>
              <w:jc w:val="both"/>
              <w:rPr>
                <w:color w:val="000000"/>
              </w:rPr>
            </w:pPr>
            <w:r w:rsidRPr="001E7178">
              <w:rPr>
                <w:color w:val="000000"/>
              </w:rPr>
              <w:t>Access to road network</w:t>
            </w:r>
          </w:p>
        </w:tc>
        <w:tc>
          <w:tcPr>
            <w:tcW w:w="976" w:type="dxa"/>
            <w:noWrap/>
            <w:hideMark/>
          </w:tcPr>
          <w:p w14:paraId="017B4CA9"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16.8%</w:t>
            </w:r>
          </w:p>
        </w:tc>
      </w:tr>
      <w:tr w:rsidR="00553FD5" w:rsidRPr="001E7178" w14:paraId="33A6595C"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00A7E3E1" w14:textId="77777777" w:rsidR="00553FD5" w:rsidRPr="001E7178" w:rsidRDefault="00553FD5" w:rsidP="00C93734">
            <w:pPr>
              <w:spacing w:after="0"/>
              <w:jc w:val="both"/>
              <w:rPr>
                <w:color w:val="000000"/>
              </w:rPr>
            </w:pPr>
            <w:r w:rsidRPr="001E7178">
              <w:rPr>
                <w:color w:val="000000"/>
              </w:rPr>
              <w:t>Close to waterfront and / or port facilities</w:t>
            </w:r>
          </w:p>
        </w:tc>
        <w:tc>
          <w:tcPr>
            <w:tcW w:w="976" w:type="dxa"/>
            <w:noWrap/>
            <w:hideMark/>
          </w:tcPr>
          <w:p w14:paraId="43DDEBA8"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14.8%</w:t>
            </w:r>
          </w:p>
        </w:tc>
      </w:tr>
      <w:tr w:rsidR="00553FD5" w:rsidRPr="001E7178" w14:paraId="041D685E"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0FBEEEC0" w14:textId="77777777" w:rsidR="00553FD5" w:rsidRPr="001E7178" w:rsidRDefault="00553FD5" w:rsidP="00C93734">
            <w:pPr>
              <w:spacing w:after="0"/>
              <w:jc w:val="both"/>
              <w:rPr>
                <w:color w:val="000000"/>
              </w:rPr>
            </w:pPr>
            <w:r w:rsidRPr="001E7178">
              <w:rPr>
                <w:color w:val="000000"/>
              </w:rPr>
              <w:t>Good environment / quality of life</w:t>
            </w:r>
          </w:p>
        </w:tc>
        <w:tc>
          <w:tcPr>
            <w:tcW w:w="976" w:type="dxa"/>
            <w:noWrap/>
            <w:hideMark/>
          </w:tcPr>
          <w:p w14:paraId="2AD9E470"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10.0%</w:t>
            </w:r>
          </w:p>
        </w:tc>
      </w:tr>
      <w:tr w:rsidR="00553FD5" w:rsidRPr="001E7178" w14:paraId="0547CDEB"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7739A328" w14:textId="77777777" w:rsidR="00553FD5" w:rsidRPr="001E7178" w:rsidRDefault="00553FD5" w:rsidP="00C93734">
            <w:pPr>
              <w:spacing w:after="0"/>
              <w:jc w:val="both"/>
              <w:rPr>
                <w:color w:val="000000"/>
              </w:rPr>
            </w:pPr>
            <w:r w:rsidRPr="001E7178">
              <w:rPr>
                <w:color w:val="000000"/>
              </w:rPr>
              <w:t>Proximity to key suppliers</w:t>
            </w:r>
          </w:p>
        </w:tc>
        <w:tc>
          <w:tcPr>
            <w:tcW w:w="976" w:type="dxa"/>
            <w:noWrap/>
            <w:hideMark/>
          </w:tcPr>
          <w:p w14:paraId="79351A88"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8.2%</w:t>
            </w:r>
          </w:p>
        </w:tc>
      </w:tr>
      <w:tr w:rsidR="00553FD5" w:rsidRPr="001E7178" w14:paraId="3B18D821"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2EB36340" w14:textId="77777777" w:rsidR="00553FD5" w:rsidRPr="001E7178" w:rsidRDefault="00553FD5" w:rsidP="00C93734">
            <w:pPr>
              <w:spacing w:after="0"/>
              <w:jc w:val="both"/>
              <w:rPr>
                <w:color w:val="000000"/>
              </w:rPr>
            </w:pPr>
            <w:r w:rsidRPr="001E7178">
              <w:rPr>
                <w:color w:val="000000"/>
              </w:rPr>
              <w:t>Affordable premises</w:t>
            </w:r>
          </w:p>
        </w:tc>
        <w:tc>
          <w:tcPr>
            <w:tcW w:w="976" w:type="dxa"/>
            <w:noWrap/>
            <w:hideMark/>
          </w:tcPr>
          <w:p w14:paraId="32F34E8A"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6.4%</w:t>
            </w:r>
          </w:p>
        </w:tc>
      </w:tr>
      <w:tr w:rsidR="00553FD5" w:rsidRPr="001E7178" w14:paraId="0A0EA9A7"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43283537" w14:textId="77777777" w:rsidR="00553FD5" w:rsidRPr="001E7178" w:rsidRDefault="00553FD5" w:rsidP="00C93734">
            <w:pPr>
              <w:spacing w:after="0"/>
              <w:jc w:val="both"/>
              <w:rPr>
                <w:color w:val="000000"/>
              </w:rPr>
            </w:pPr>
            <w:r w:rsidRPr="001E7178">
              <w:rPr>
                <w:color w:val="000000"/>
              </w:rPr>
              <w:t>Access to sea transport</w:t>
            </w:r>
          </w:p>
        </w:tc>
        <w:tc>
          <w:tcPr>
            <w:tcW w:w="976" w:type="dxa"/>
            <w:noWrap/>
            <w:hideMark/>
          </w:tcPr>
          <w:p w14:paraId="788E66E7"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6.1%</w:t>
            </w:r>
          </w:p>
        </w:tc>
      </w:tr>
      <w:tr w:rsidR="00553FD5" w:rsidRPr="001E7178" w14:paraId="40324D72"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6F8F1759" w14:textId="77777777" w:rsidR="00553FD5" w:rsidRPr="001E7178" w:rsidRDefault="00553FD5" w:rsidP="00C93734">
            <w:pPr>
              <w:spacing w:after="0"/>
              <w:jc w:val="both"/>
              <w:rPr>
                <w:color w:val="000000"/>
              </w:rPr>
            </w:pPr>
            <w:r w:rsidRPr="001E7178">
              <w:rPr>
                <w:color w:val="000000"/>
              </w:rPr>
              <w:t>Appropriate type of premises</w:t>
            </w:r>
          </w:p>
        </w:tc>
        <w:tc>
          <w:tcPr>
            <w:tcW w:w="976" w:type="dxa"/>
            <w:noWrap/>
            <w:hideMark/>
          </w:tcPr>
          <w:p w14:paraId="5F7FAD90"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5.8%</w:t>
            </w:r>
          </w:p>
        </w:tc>
      </w:tr>
      <w:tr w:rsidR="00553FD5" w:rsidRPr="001E7178" w14:paraId="6CEE6864"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64D1E9F9" w14:textId="77777777" w:rsidR="00553FD5" w:rsidRPr="001E7178" w:rsidRDefault="00553FD5" w:rsidP="00C93734">
            <w:pPr>
              <w:spacing w:after="0"/>
              <w:jc w:val="both"/>
              <w:rPr>
                <w:color w:val="000000"/>
              </w:rPr>
            </w:pPr>
            <w:r w:rsidRPr="001E7178">
              <w:rPr>
                <w:color w:val="000000"/>
              </w:rPr>
              <w:t>Proximity to other related businesses</w:t>
            </w:r>
          </w:p>
        </w:tc>
        <w:tc>
          <w:tcPr>
            <w:tcW w:w="976" w:type="dxa"/>
            <w:noWrap/>
            <w:hideMark/>
          </w:tcPr>
          <w:p w14:paraId="6409F44F"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3.4%</w:t>
            </w:r>
          </w:p>
        </w:tc>
      </w:tr>
      <w:tr w:rsidR="00553FD5" w:rsidRPr="001E7178" w14:paraId="38A097E6"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1127C189" w14:textId="77777777" w:rsidR="00553FD5" w:rsidRPr="001E7178" w:rsidRDefault="00553FD5" w:rsidP="00C93734">
            <w:pPr>
              <w:spacing w:after="0"/>
              <w:jc w:val="both"/>
              <w:rPr>
                <w:color w:val="000000"/>
              </w:rPr>
            </w:pPr>
            <w:r w:rsidRPr="001E7178">
              <w:rPr>
                <w:color w:val="000000"/>
              </w:rPr>
              <w:t>Access to rail network</w:t>
            </w:r>
          </w:p>
        </w:tc>
        <w:tc>
          <w:tcPr>
            <w:tcW w:w="976" w:type="dxa"/>
            <w:noWrap/>
            <w:hideMark/>
          </w:tcPr>
          <w:p w14:paraId="3D386C54"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2.5%</w:t>
            </w:r>
          </w:p>
        </w:tc>
      </w:tr>
      <w:tr w:rsidR="00553FD5" w:rsidRPr="001E7178" w14:paraId="46972A06"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03F0340A" w14:textId="77777777" w:rsidR="00553FD5" w:rsidRPr="001E7178" w:rsidRDefault="00553FD5" w:rsidP="00C93734">
            <w:pPr>
              <w:spacing w:after="0"/>
              <w:jc w:val="both"/>
              <w:rPr>
                <w:color w:val="000000"/>
              </w:rPr>
            </w:pPr>
            <w:r w:rsidRPr="001E7178">
              <w:rPr>
                <w:color w:val="000000"/>
              </w:rPr>
              <w:t>Nothing specific / Don't know</w:t>
            </w:r>
          </w:p>
        </w:tc>
        <w:tc>
          <w:tcPr>
            <w:tcW w:w="976" w:type="dxa"/>
            <w:noWrap/>
            <w:hideMark/>
          </w:tcPr>
          <w:p w14:paraId="3109232C"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1.8%</w:t>
            </w:r>
          </w:p>
        </w:tc>
      </w:tr>
      <w:tr w:rsidR="00553FD5" w:rsidRPr="001E7178" w14:paraId="0DB3E2F8"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3033F642" w14:textId="77777777" w:rsidR="00553FD5" w:rsidRPr="001E7178" w:rsidRDefault="00553FD5" w:rsidP="00C93734">
            <w:pPr>
              <w:spacing w:after="0"/>
              <w:jc w:val="both"/>
              <w:rPr>
                <w:color w:val="000000"/>
              </w:rPr>
            </w:pPr>
            <w:r w:rsidRPr="001E7178">
              <w:rPr>
                <w:color w:val="000000"/>
              </w:rPr>
              <w:t>Lack of competition / Niche market</w:t>
            </w:r>
          </w:p>
        </w:tc>
        <w:tc>
          <w:tcPr>
            <w:tcW w:w="976" w:type="dxa"/>
            <w:noWrap/>
            <w:hideMark/>
          </w:tcPr>
          <w:p w14:paraId="547AFFCB"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0.7%</w:t>
            </w:r>
          </w:p>
        </w:tc>
      </w:tr>
    </w:tbl>
    <w:p w14:paraId="4916FDDD" w14:textId="77777777" w:rsidR="00553FD5" w:rsidRPr="002805F3" w:rsidRDefault="00553FD5" w:rsidP="00C93734">
      <w:pPr>
        <w:pStyle w:val="TableSource"/>
        <w:jc w:val="both"/>
      </w:pPr>
      <w:r w:rsidRPr="002805F3">
        <w:t>Source: Hill Taylor and Atkins 2013. Atkins Ref: Survey –A25</w:t>
      </w:r>
      <w:r>
        <w:t>. Note: Figures do not add up to 100% because of small results being excluded</w:t>
      </w:r>
    </w:p>
    <w:p w14:paraId="1215E2DA" w14:textId="77777777" w:rsidR="00553FD5" w:rsidRPr="002805F3" w:rsidRDefault="00553FD5" w:rsidP="00C93734">
      <w:pPr>
        <w:pStyle w:val="BodyText"/>
        <w:jc w:val="both"/>
        <w:rPr>
          <w:szCs w:val="22"/>
        </w:rPr>
      </w:pPr>
      <w:r w:rsidRPr="002805F3">
        <w:rPr>
          <w:szCs w:val="22"/>
        </w:rPr>
        <w:t xml:space="preserve">Of those respondents who said they were not in a strong location, the most prevalent reason was poor accessibility and lack of access to key clients and markets. </w:t>
      </w:r>
      <w:r w:rsidR="00AE6193">
        <w:rPr>
          <w:szCs w:val="22"/>
        </w:rPr>
        <w:t>T</w:t>
      </w:r>
      <w:r>
        <w:rPr>
          <w:szCs w:val="22"/>
        </w:rPr>
        <w:t xml:space="preserve">his may represent the challenges that </w:t>
      </w:r>
      <w:r w:rsidR="00AE6193">
        <w:rPr>
          <w:szCs w:val="22"/>
        </w:rPr>
        <w:t xml:space="preserve">some </w:t>
      </w:r>
      <w:r>
        <w:rPr>
          <w:szCs w:val="22"/>
        </w:rPr>
        <w:t xml:space="preserve">businesses </w:t>
      </w:r>
      <w:r w:rsidR="00AE6193">
        <w:rPr>
          <w:szCs w:val="22"/>
        </w:rPr>
        <w:t>regarding</w:t>
      </w:r>
      <w:r>
        <w:rPr>
          <w:szCs w:val="22"/>
        </w:rPr>
        <w:t xml:space="preserve"> congestion, the rail network and quality of roads. </w:t>
      </w:r>
      <w:r w:rsidRPr="002805F3">
        <w:rPr>
          <w:szCs w:val="22"/>
        </w:rPr>
        <w:t xml:space="preserve">The </w:t>
      </w:r>
      <w:r w:rsidR="00AE6193">
        <w:rPr>
          <w:szCs w:val="22"/>
        </w:rPr>
        <w:t>second</w:t>
      </w:r>
      <w:r w:rsidR="00AE6193" w:rsidRPr="002805F3">
        <w:rPr>
          <w:szCs w:val="22"/>
        </w:rPr>
        <w:t xml:space="preserve"> </w:t>
      </w:r>
      <w:r w:rsidRPr="002805F3">
        <w:rPr>
          <w:szCs w:val="22"/>
        </w:rPr>
        <w:t xml:space="preserve">most </w:t>
      </w:r>
      <w:r w:rsidR="00AE6193">
        <w:rPr>
          <w:szCs w:val="22"/>
        </w:rPr>
        <w:t>cited</w:t>
      </w:r>
      <w:r w:rsidR="00AE6193" w:rsidRPr="002805F3">
        <w:rPr>
          <w:szCs w:val="22"/>
        </w:rPr>
        <w:t xml:space="preserve"> </w:t>
      </w:r>
      <w:r w:rsidRPr="002805F3">
        <w:rPr>
          <w:szCs w:val="22"/>
        </w:rPr>
        <w:t>reason was environment and poor quality of l</w:t>
      </w:r>
      <w:r>
        <w:rPr>
          <w:szCs w:val="22"/>
        </w:rPr>
        <w:t>ife</w:t>
      </w:r>
      <w:r w:rsidR="00AE6193">
        <w:rPr>
          <w:szCs w:val="22"/>
        </w:rPr>
        <w:t>. This may reflect points that were raised</w:t>
      </w:r>
      <w:r>
        <w:rPr>
          <w:szCs w:val="22"/>
        </w:rPr>
        <w:t xml:space="preserve"> </w:t>
      </w:r>
      <w:r w:rsidR="00AE6193">
        <w:rPr>
          <w:szCs w:val="22"/>
        </w:rPr>
        <w:t xml:space="preserve">during </w:t>
      </w:r>
      <w:r>
        <w:rPr>
          <w:szCs w:val="22"/>
        </w:rPr>
        <w:t xml:space="preserve">the interviews </w:t>
      </w:r>
      <w:r w:rsidR="00AE6193">
        <w:rPr>
          <w:szCs w:val="22"/>
        </w:rPr>
        <w:t xml:space="preserve">regarding </w:t>
      </w:r>
      <w:r>
        <w:rPr>
          <w:szCs w:val="22"/>
        </w:rPr>
        <w:t>need for regeneration, reputation</w:t>
      </w:r>
      <w:r w:rsidR="00AE6193">
        <w:rPr>
          <w:szCs w:val="22"/>
        </w:rPr>
        <w:t xml:space="preserve"> management</w:t>
      </w:r>
      <w:r>
        <w:rPr>
          <w:szCs w:val="22"/>
        </w:rPr>
        <w:t xml:space="preserve"> and wider deprivation in the local </w:t>
      </w:r>
      <w:r w:rsidR="00AE6193">
        <w:rPr>
          <w:szCs w:val="22"/>
        </w:rPr>
        <w:t>area</w:t>
      </w:r>
      <w:r>
        <w:rPr>
          <w:szCs w:val="22"/>
        </w:rPr>
        <w:t>.</w:t>
      </w:r>
    </w:p>
    <w:p w14:paraId="6CAC7752" w14:textId="77777777" w:rsidR="00E113F0" w:rsidRDefault="00E113F0">
      <w:pPr>
        <w:spacing w:after="200" w:line="276" w:lineRule="auto"/>
        <w:rPr>
          <w:b/>
          <w:bCs/>
          <w:szCs w:val="18"/>
        </w:rPr>
      </w:pPr>
      <w:bookmarkStart w:id="670" w:name="_Toc383159722"/>
      <w:r>
        <w:br w:type="page"/>
      </w:r>
    </w:p>
    <w:p w14:paraId="2F6A727C" w14:textId="77777777" w:rsidR="00553FD5" w:rsidRDefault="00553FD5" w:rsidP="00C93734">
      <w:pPr>
        <w:pStyle w:val="Caption"/>
        <w:jc w:val="both"/>
      </w:pPr>
      <w:r>
        <w:t xml:space="preserve">Table </w:t>
      </w:r>
      <w:fldSimple w:instr=" STYLEREF 1 \s  \* MERGEFORMAT ">
        <w:r w:rsidR="00E95E1A">
          <w:rPr>
            <w:noProof/>
          </w:rPr>
          <w:t>0</w:t>
        </w:r>
      </w:fldSimple>
      <w:r>
        <w:t>-</w:t>
      </w:r>
      <w:fldSimple w:instr=" SEQ Table \* ARABIC \s 1  \* MERGEFORMAT ">
        <w:r w:rsidR="00E95E1A">
          <w:rPr>
            <w:noProof/>
          </w:rPr>
          <w:t>21</w:t>
        </w:r>
      </w:fldSimple>
      <w:r>
        <w:tab/>
        <w:t xml:space="preserve">Reasons why </w:t>
      </w:r>
      <w:bookmarkEnd w:id="670"/>
      <w:r w:rsidR="00AE6193">
        <w:t>location is not competitive</w:t>
      </w:r>
    </w:p>
    <w:tbl>
      <w:tblPr>
        <w:tblStyle w:val="Atkins14pt"/>
        <w:tblW w:w="5898" w:type="dxa"/>
        <w:tblLook w:val="04A0" w:firstRow="1" w:lastRow="0" w:firstColumn="1" w:lastColumn="0" w:noHBand="0" w:noVBand="1"/>
      </w:tblPr>
      <w:tblGrid>
        <w:gridCol w:w="4922"/>
        <w:gridCol w:w="976"/>
      </w:tblGrid>
      <w:tr w:rsidR="00553FD5" w:rsidRPr="001E7178" w14:paraId="51E0E27A" w14:textId="77777777" w:rsidTr="007A149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922" w:type="dxa"/>
            <w:noWrap/>
            <w:hideMark/>
          </w:tcPr>
          <w:p w14:paraId="21B6D5E4" w14:textId="77777777" w:rsidR="00553FD5" w:rsidRPr="001E7178" w:rsidRDefault="00553FD5" w:rsidP="00C93734">
            <w:pPr>
              <w:spacing w:after="0"/>
              <w:jc w:val="both"/>
              <w:rPr>
                <w:color w:val="000000"/>
              </w:rPr>
            </w:pPr>
            <w:r w:rsidRPr="001E7178">
              <w:rPr>
                <w:color w:val="000000"/>
              </w:rPr>
              <w:t>Reason</w:t>
            </w:r>
          </w:p>
        </w:tc>
        <w:tc>
          <w:tcPr>
            <w:tcW w:w="976" w:type="dxa"/>
            <w:noWrap/>
            <w:hideMark/>
          </w:tcPr>
          <w:p w14:paraId="7E38534E" w14:textId="77777777" w:rsidR="00553FD5" w:rsidRPr="001E7178" w:rsidRDefault="00553FD5" w:rsidP="00C93734">
            <w:pPr>
              <w:spacing w:after="0"/>
              <w:jc w:val="both"/>
              <w:cnfStyle w:val="100000000000" w:firstRow="1" w:lastRow="0" w:firstColumn="0" w:lastColumn="0" w:oddVBand="0" w:evenVBand="0" w:oddHBand="0" w:evenHBand="0" w:firstRowFirstColumn="0" w:firstRowLastColumn="0" w:lastRowFirstColumn="0" w:lastRowLastColumn="0"/>
              <w:rPr>
                <w:color w:val="000000"/>
              </w:rPr>
            </w:pPr>
            <w:r w:rsidRPr="001E7178">
              <w:rPr>
                <w:color w:val="000000"/>
              </w:rPr>
              <w:t>%</w:t>
            </w:r>
          </w:p>
        </w:tc>
      </w:tr>
      <w:tr w:rsidR="00553FD5" w:rsidRPr="001E7178" w14:paraId="067F68CB"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3B5D4800" w14:textId="77777777" w:rsidR="00553FD5" w:rsidRPr="001E7178" w:rsidRDefault="00553FD5" w:rsidP="00C93734">
            <w:pPr>
              <w:spacing w:after="0"/>
              <w:jc w:val="both"/>
              <w:rPr>
                <w:color w:val="000000"/>
              </w:rPr>
            </w:pPr>
            <w:r w:rsidRPr="001E7178">
              <w:rPr>
                <w:color w:val="000000"/>
              </w:rPr>
              <w:t>Poor accessibility</w:t>
            </w:r>
          </w:p>
        </w:tc>
        <w:tc>
          <w:tcPr>
            <w:tcW w:w="976" w:type="dxa"/>
            <w:noWrap/>
            <w:hideMark/>
          </w:tcPr>
          <w:p w14:paraId="049FEE23"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24.1%</w:t>
            </w:r>
          </w:p>
        </w:tc>
      </w:tr>
      <w:tr w:rsidR="00553FD5" w:rsidRPr="001E7178" w14:paraId="46D60E2E"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60E3F070" w14:textId="77777777" w:rsidR="00553FD5" w:rsidRPr="001E7178" w:rsidRDefault="00553FD5" w:rsidP="00C93734">
            <w:pPr>
              <w:spacing w:after="0"/>
              <w:jc w:val="both"/>
              <w:rPr>
                <w:color w:val="000000"/>
              </w:rPr>
            </w:pPr>
            <w:r w:rsidRPr="001E7178">
              <w:rPr>
                <w:color w:val="000000"/>
              </w:rPr>
              <w:t>Lack of access to key clients / markets</w:t>
            </w:r>
          </w:p>
        </w:tc>
        <w:tc>
          <w:tcPr>
            <w:tcW w:w="976" w:type="dxa"/>
            <w:noWrap/>
            <w:hideMark/>
          </w:tcPr>
          <w:p w14:paraId="238BD779"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21.5%</w:t>
            </w:r>
          </w:p>
        </w:tc>
      </w:tr>
      <w:tr w:rsidR="00553FD5" w:rsidRPr="001E7178" w14:paraId="59070644"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1CEAD0A8" w14:textId="77777777" w:rsidR="00553FD5" w:rsidRPr="001E7178" w:rsidRDefault="00553FD5" w:rsidP="00C93734">
            <w:pPr>
              <w:spacing w:after="0"/>
              <w:jc w:val="both"/>
              <w:rPr>
                <w:color w:val="000000"/>
              </w:rPr>
            </w:pPr>
            <w:r w:rsidRPr="001E7178">
              <w:rPr>
                <w:color w:val="000000"/>
              </w:rPr>
              <w:t>Poor environment / quality of life</w:t>
            </w:r>
          </w:p>
        </w:tc>
        <w:tc>
          <w:tcPr>
            <w:tcW w:w="976" w:type="dxa"/>
            <w:noWrap/>
            <w:hideMark/>
          </w:tcPr>
          <w:p w14:paraId="77537D9E"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15.2%</w:t>
            </w:r>
          </w:p>
        </w:tc>
      </w:tr>
      <w:tr w:rsidR="00553FD5" w:rsidRPr="001E7178" w14:paraId="15311A4C"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7D883FE2" w14:textId="77777777" w:rsidR="00553FD5" w:rsidRPr="001E7178" w:rsidRDefault="00553FD5" w:rsidP="00C93734">
            <w:pPr>
              <w:spacing w:after="0"/>
              <w:jc w:val="both"/>
              <w:rPr>
                <w:color w:val="000000"/>
              </w:rPr>
            </w:pPr>
            <w:r w:rsidRPr="001E7178">
              <w:rPr>
                <w:color w:val="000000"/>
              </w:rPr>
              <w:t>Expensive premises</w:t>
            </w:r>
          </w:p>
        </w:tc>
        <w:tc>
          <w:tcPr>
            <w:tcW w:w="976" w:type="dxa"/>
            <w:noWrap/>
            <w:hideMark/>
          </w:tcPr>
          <w:p w14:paraId="6F07B17E"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7.6%</w:t>
            </w:r>
          </w:p>
        </w:tc>
      </w:tr>
      <w:tr w:rsidR="00553FD5" w:rsidRPr="001E7178" w14:paraId="7CE46868"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17CAA244" w14:textId="77777777" w:rsidR="00553FD5" w:rsidRPr="001E7178" w:rsidRDefault="00553FD5" w:rsidP="00C93734">
            <w:pPr>
              <w:spacing w:after="0"/>
              <w:jc w:val="both"/>
              <w:rPr>
                <w:color w:val="000000"/>
              </w:rPr>
            </w:pPr>
            <w:r w:rsidRPr="001E7178">
              <w:rPr>
                <w:color w:val="000000"/>
              </w:rPr>
              <w:t>Congestion</w:t>
            </w:r>
          </w:p>
        </w:tc>
        <w:tc>
          <w:tcPr>
            <w:tcW w:w="976" w:type="dxa"/>
            <w:noWrap/>
            <w:hideMark/>
          </w:tcPr>
          <w:p w14:paraId="53BFB736"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5.1%</w:t>
            </w:r>
          </w:p>
        </w:tc>
      </w:tr>
      <w:tr w:rsidR="00553FD5" w:rsidRPr="001E7178" w14:paraId="69B4D6EF"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61865D28" w14:textId="77777777" w:rsidR="00553FD5" w:rsidRPr="001E7178" w:rsidRDefault="00553FD5" w:rsidP="00C93734">
            <w:pPr>
              <w:spacing w:after="0"/>
              <w:jc w:val="both"/>
              <w:rPr>
                <w:color w:val="000000"/>
              </w:rPr>
            </w:pPr>
            <w:r w:rsidRPr="001E7178">
              <w:rPr>
                <w:color w:val="000000"/>
              </w:rPr>
              <w:t>Industry in decline / closing down</w:t>
            </w:r>
          </w:p>
        </w:tc>
        <w:tc>
          <w:tcPr>
            <w:tcW w:w="976" w:type="dxa"/>
            <w:noWrap/>
            <w:hideMark/>
          </w:tcPr>
          <w:p w14:paraId="7AB0BFA3"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5.1%</w:t>
            </w:r>
          </w:p>
        </w:tc>
      </w:tr>
      <w:tr w:rsidR="00553FD5" w:rsidRPr="001E7178" w14:paraId="7135FB1C"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59A67F71" w14:textId="77777777" w:rsidR="00553FD5" w:rsidRPr="001E7178" w:rsidRDefault="00553FD5" w:rsidP="00C93734">
            <w:pPr>
              <w:spacing w:after="0"/>
              <w:jc w:val="both"/>
              <w:rPr>
                <w:color w:val="000000"/>
              </w:rPr>
            </w:pPr>
            <w:r w:rsidRPr="001E7178">
              <w:rPr>
                <w:color w:val="000000"/>
              </w:rPr>
              <w:t>Lack of suitable sites and premises</w:t>
            </w:r>
          </w:p>
        </w:tc>
        <w:tc>
          <w:tcPr>
            <w:tcW w:w="976" w:type="dxa"/>
            <w:noWrap/>
            <w:hideMark/>
          </w:tcPr>
          <w:p w14:paraId="6373EC1D"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3.8%</w:t>
            </w:r>
          </w:p>
        </w:tc>
      </w:tr>
      <w:tr w:rsidR="00553FD5" w:rsidRPr="001E7178" w14:paraId="584325F2"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3EEF5490" w14:textId="77777777" w:rsidR="00553FD5" w:rsidRPr="001E7178" w:rsidRDefault="00553FD5" w:rsidP="00C93734">
            <w:pPr>
              <w:spacing w:after="0"/>
              <w:jc w:val="both"/>
              <w:rPr>
                <w:color w:val="000000"/>
              </w:rPr>
            </w:pPr>
            <w:r w:rsidRPr="001E7178">
              <w:rPr>
                <w:color w:val="000000"/>
              </w:rPr>
              <w:t>Lack of access to key suppliers</w:t>
            </w:r>
          </w:p>
        </w:tc>
        <w:tc>
          <w:tcPr>
            <w:tcW w:w="976" w:type="dxa"/>
            <w:noWrap/>
            <w:hideMark/>
          </w:tcPr>
          <w:p w14:paraId="7E8BE7A8"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3.8%</w:t>
            </w:r>
          </w:p>
        </w:tc>
      </w:tr>
      <w:tr w:rsidR="00553FD5" w:rsidRPr="001E7178" w14:paraId="7BF9BDA8"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23138FF4" w14:textId="77777777" w:rsidR="00553FD5" w:rsidRPr="001E7178" w:rsidRDefault="00553FD5" w:rsidP="00C93734">
            <w:pPr>
              <w:spacing w:after="0"/>
              <w:jc w:val="both"/>
              <w:rPr>
                <w:color w:val="000000"/>
              </w:rPr>
            </w:pPr>
            <w:r w:rsidRPr="001E7178">
              <w:rPr>
                <w:color w:val="000000"/>
              </w:rPr>
              <w:t>Lack of skilled labour / labour shortages</w:t>
            </w:r>
          </w:p>
        </w:tc>
        <w:tc>
          <w:tcPr>
            <w:tcW w:w="976" w:type="dxa"/>
            <w:noWrap/>
            <w:hideMark/>
          </w:tcPr>
          <w:p w14:paraId="408651B7"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2.5%</w:t>
            </w:r>
          </w:p>
        </w:tc>
      </w:tr>
      <w:tr w:rsidR="00553FD5" w:rsidRPr="001E7178" w14:paraId="41DF082F"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36EDD09D" w14:textId="77777777" w:rsidR="00553FD5" w:rsidRPr="001E7178" w:rsidRDefault="00553FD5" w:rsidP="00C93734">
            <w:pPr>
              <w:spacing w:after="0"/>
              <w:jc w:val="both"/>
              <w:rPr>
                <w:color w:val="000000"/>
              </w:rPr>
            </w:pPr>
            <w:r w:rsidRPr="001E7178">
              <w:rPr>
                <w:color w:val="000000"/>
              </w:rPr>
              <w:t>Competition from others</w:t>
            </w:r>
          </w:p>
        </w:tc>
        <w:tc>
          <w:tcPr>
            <w:tcW w:w="976" w:type="dxa"/>
            <w:noWrap/>
            <w:hideMark/>
          </w:tcPr>
          <w:p w14:paraId="5C68F72B"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2.5%</w:t>
            </w:r>
          </w:p>
        </w:tc>
      </w:tr>
      <w:tr w:rsidR="00553FD5" w:rsidRPr="001E7178" w14:paraId="03B1C093"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2449CB91" w14:textId="77777777" w:rsidR="00553FD5" w:rsidRPr="001E7178" w:rsidRDefault="00553FD5" w:rsidP="00C93734">
            <w:pPr>
              <w:spacing w:after="0"/>
              <w:jc w:val="both"/>
              <w:rPr>
                <w:color w:val="000000"/>
              </w:rPr>
            </w:pPr>
            <w:r w:rsidRPr="001E7178">
              <w:rPr>
                <w:color w:val="000000"/>
              </w:rPr>
              <w:t>Nothing particular</w:t>
            </w:r>
          </w:p>
        </w:tc>
        <w:tc>
          <w:tcPr>
            <w:tcW w:w="976" w:type="dxa"/>
            <w:noWrap/>
            <w:hideMark/>
          </w:tcPr>
          <w:p w14:paraId="3E134102"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2.5%</w:t>
            </w:r>
          </w:p>
        </w:tc>
      </w:tr>
      <w:tr w:rsidR="00553FD5" w:rsidRPr="001E7178" w14:paraId="4205CD52"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55356885" w14:textId="77777777" w:rsidR="00553FD5" w:rsidRPr="001E7178" w:rsidRDefault="00553FD5" w:rsidP="00C93734">
            <w:pPr>
              <w:spacing w:after="0"/>
              <w:jc w:val="both"/>
              <w:rPr>
                <w:color w:val="000000"/>
              </w:rPr>
            </w:pPr>
            <w:r w:rsidRPr="001E7178">
              <w:rPr>
                <w:color w:val="000000"/>
              </w:rPr>
              <w:t>Rates / energy prices too high</w:t>
            </w:r>
          </w:p>
        </w:tc>
        <w:tc>
          <w:tcPr>
            <w:tcW w:w="976" w:type="dxa"/>
            <w:noWrap/>
            <w:hideMark/>
          </w:tcPr>
          <w:p w14:paraId="7CF79B17"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1.3%</w:t>
            </w:r>
          </w:p>
        </w:tc>
      </w:tr>
      <w:tr w:rsidR="00553FD5" w:rsidRPr="001E7178" w14:paraId="622BEB60"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73A2A850" w14:textId="77777777" w:rsidR="00553FD5" w:rsidRPr="001E7178" w:rsidRDefault="00553FD5" w:rsidP="00C93734">
            <w:pPr>
              <w:spacing w:after="0"/>
              <w:jc w:val="both"/>
              <w:rPr>
                <w:color w:val="000000"/>
              </w:rPr>
            </w:pPr>
            <w:r w:rsidRPr="001E7178">
              <w:rPr>
                <w:color w:val="000000"/>
              </w:rPr>
              <w:t>Lack of broadband</w:t>
            </w:r>
          </w:p>
        </w:tc>
        <w:tc>
          <w:tcPr>
            <w:tcW w:w="976" w:type="dxa"/>
            <w:noWrap/>
            <w:hideMark/>
          </w:tcPr>
          <w:p w14:paraId="422009FC"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1.3%</w:t>
            </w:r>
          </w:p>
        </w:tc>
      </w:tr>
      <w:tr w:rsidR="00553FD5" w:rsidRPr="001E7178" w14:paraId="514497DD"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922" w:type="dxa"/>
            <w:noWrap/>
            <w:hideMark/>
          </w:tcPr>
          <w:p w14:paraId="49F1B21E" w14:textId="77777777" w:rsidR="00553FD5" w:rsidRPr="001E7178" w:rsidRDefault="00553FD5" w:rsidP="00C93734">
            <w:pPr>
              <w:spacing w:after="0"/>
              <w:jc w:val="both"/>
              <w:rPr>
                <w:color w:val="000000"/>
              </w:rPr>
            </w:pPr>
            <w:r w:rsidRPr="001E7178">
              <w:rPr>
                <w:color w:val="000000"/>
              </w:rPr>
              <w:t>Poor roads</w:t>
            </w:r>
          </w:p>
        </w:tc>
        <w:tc>
          <w:tcPr>
            <w:tcW w:w="976" w:type="dxa"/>
            <w:noWrap/>
            <w:hideMark/>
          </w:tcPr>
          <w:p w14:paraId="584B067C"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1.3%</w:t>
            </w:r>
          </w:p>
        </w:tc>
      </w:tr>
    </w:tbl>
    <w:p w14:paraId="4F82EACD" w14:textId="77777777" w:rsidR="00553FD5" w:rsidRPr="002805F3" w:rsidRDefault="00553FD5" w:rsidP="00C93734">
      <w:pPr>
        <w:pStyle w:val="TableSource"/>
        <w:jc w:val="both"/>
      </w:pPr>
      <w:r w:rsidRPr="002805F3">
        <w:t>Source: Hill Taylor and Atkins 2013. Atkins Ref: Survey –A25</w:t>
      </w:r>
      <w:r>
        <w:t>. Note: Figures do not add up to 100% because of small results being excluded</w:t>
      </w:r>
    </w:p>
    <w:p w14:paraId="6C769B6D" w14:textId="77777777" w:rsidR="00553FD5" w:rsidRPr="002805F3" w:rsidRDefault="00553FD5" w:rsidP="00C93734">
      <w:pPr>
        <w:pStyle w:val="BodyText"/>
        <w:jc w:val="both"/>
        <w:rPr>
          <w:szCs w:val="22"/>
        </w:rPr>
      </w:pPr>
      <w:r w:rsidRPr="002805F3">
        <w:rPr>
          <w:szCs w:val="22"/>
        </w:rPr>
        <w:t>Respondents were asked whether they had already tried to relocate or considered operating elsewhere</w:t>
      </w:r>
      <w:r w:rsidR="00AE6193">
        <w:rPr>
          <w:szCs w:val="22"/>
        </w:rPr>
        <w:t xml:space="preserve"> </w:t>
      </w:r>
      <w:r w:rsidRPr="002805F3">
        <w:rPr>
          <w:szCs w:val="22"/>
        </w:rPr>
        <w:t>but had</w:t>
      </w:r>
      <w:r w:rsidR="00AE6193">
        <w:rPr>
          <w:szCs w:val="22"/>
        </w:rPr>
        <w:t xml:space="preserve"> either</w:t>
      </w:r>
      <w:r w:rsidRPr="002805F3">
        <w:rPr>
          <w:szCs w:val="22"/>
        </w:rPr>
        <w:t xml:space="preserve"> been unsuccessful or decided to remain at their existing premises. Only 7% of respondents claimed they had tried to re-locate in the recent past. This could reflect the economic climate (e.g. difficulties in raising capital to</w:t>
      </w:r>
      <w:r w:rsidR="00AE6193">
        <w:rPr>
          <w:szCs w:val="22"/>
        </w:rPr>
        <w:t xml:space="preserve"> facilitate</w:t>
      </w:r>
      <w:r w:rsidRPr="002805F3">
        <w:rPr>
          <w:szCs w:val="22"/>
        </w:rPr>
        <w:t xml:space="preserve"> </w:t>
      </w:r>
      <w:r w:rsidR="00AE6193">
        <w:rPr>
          <w:szCs w:val="22"/>
        </w:rPr>
        <w:t>relocation</w:t>
      </w:r>
      <w:r w:rsidRPr="002805F3">
        <w:rPr>
          <w:szCs w:val="22"/>
        </w:rPr>
        <w:t>)</w:t>
      </w:r>
      <w:r w:rsidR="00AE6193">
        <w:rPr>
          <w:szCs w:val="22"/>
        </w:rPr>
        <w:t>,</w:t>
      </w:r>
      <w:r w:rsidRPr="002805F3">
        <w:rPr>
          <w:szCs w:val="22"/>
        </w:rPr>
        <w:t xml:space="preserve"> but also satisfaction with the local area.</w:t>
      </w:r>
    </w:p>
    <w:p w14:paraId="1D35A673" w14:textId="77777777" w:rsidR="00553FD5" w:rsidRPr="002805F3" w:rsidRDefault="00553FD5" w:rsidP="00C93734">
      <w:pPr>
        <w:pStyle w:val="Caption"/>
        <w:jc w:val="both"/>
      </w:pPr>
      <w:bookmarkStart w:id="671" w:name="_Toc383159684"/>
      <w:r>
        <w:t xml:space="preserve">Figure </w:t>
      </w:r>
      <w:fldSimple w:instr=" STYLEREF 1 \s  \* MERGEFORMAT ">
        <w:r w:rsidR="00E95E1A">
          <w:rPr>
            <w:noProof/>
          </w:rPr>
          <w:t>0</w:t>
        </w:r>
      </w:fldSimple>
      <w:r>
        <w:t>-</w:t>
      </w:r>
      <w:fldSimple w:instr=" SEQ Figure \* ARABIC \s 1  \* MERGEFORMAT ">
        <w:r w:rsidR="00E95E1A">
          <w:rPr>
            <w:noProof/>
          </w:rPr>
          <w:t>6</w:t>
        </w:r>
      </w:fldSimple>
      <w:r>
        <w:tab/>
        <w:t>Incidence of Re-location by Firms</w:t>
      </w:r>
      <w:bookmarkEnd w:id="671"/>
    </w:p>
    <w:p w14:paraId="2E3F5B60" w14:textId="77777777" w:rsidR="00553FD5" w:rsidRPr="002805F3" w:rsidRDefault="00553FD5" w:rsidP="00C93734">
      <w:pPr>
        <w:pStyle w:val="BodyText"/>
        <w:jc w:val="both"/>
        <w:rPr>
          <w:sz w:val="16"/>
          <w:szCs w:val="16"/>
        </w:rPr>
      </w:pPr>
      <w:r w:rsidRPr="002805F3">
        <w:rPr>
          <w:noProof/>
          <w:szCs w:val="22"/>
          <w:lang w:eastAsia="en-GB"/>
        </w:rPr>
        <w:drawing>
          <wp:inline distT="0" distB="0" distL="0" distR="0" wp14:anchorId="3CCFD3DD" wp14:editId="0BFFA98B">
            <wp:extent cx="4572000" cy="2743200"/>
            <wp:effectExtent l="0" t="0" r="0" b="0"/>
            <wp:docPr id="2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FA1444C" w14:textId="77777777" w:rsidR="00553FD5" w:rsidRPr="002805F3" w:rsidRDefault="00553FD5" w:rsidP="00C93734">
      <w:pPr>
        <w:pStyle w:val="TableSource"/>
        <w:jc w:val="both"/>
      </w:pPr>
      <w:r w:rsidRPr="002805F3">
        <w:t>Source: Hill Taylor and Atkins 2013. Atkins Ref: Survey –A26</w:t>
      </w:r>
    </w:p>
    <w:p w14:paraId="78C5E9F4" w14:textId="77777777" w:rsidR="00553FD5" w:rsidRPr="002805F3" w:rsidRDefault="00553FD5" w:rsidP="00C93734">
      <w:pPr>
        <w:pStyle w:val="BodyText"/>
        <w:jc w:val="both"/>
        <w:rPr>
          <w:i/>
          <w:sz w:val="22"/>
          <w:szCs w:val="18"/>
        </w:rPr>
      </w:pPr>
      <w:r w:rsidRPr="002805F3">
        <w:rPr>
          <w:szCs w:val="22"/>
        </w:rPr>
        <w:t xml:space="preserve">Of those respondents that had tried to relocate, there were few </w:t>
      </w:r>
      <w:r w:rsidR="00AE6193">
        <w:rPr>
          <w:szCs w:val="22"/>
        </w:rPr>
        <w:t>clear</w:t>
      </w:r>
      <w:r w:rsidR="00AE6193" w:rsidRPr="002805F3">
        <w:rPr>
          <w:szCs w:val="22"/>
        </w:rPr>
        <w:t xml:space="preserve"> </w:t>
      </w:r>
      <w:r w:rsidRPr="002805F3">
        <w:rPr>
          <w:szCs w:val="22"/>
        </w:rPr>
        <w:t>trends. Most had looked</w:t>
      </w:r>
      <w:r w:rsidR="00AE6193">
        <w:rPr>
          <w:szCs w:val="22"/>
        </w:rPr>
        <w:t xml:space="preserve"> to relocate elsewhere</w:t>
      </w:r>
      <w:r w:rsidRPr="002805F3">
        <w:rPr>
          <w:szCs w:val="22"/>
        </w:rPr>
        <w:t xml:space="preserve"> </w:t>
      </w:r>
      <w:r>
        <w:rPr>
          <w:szCs w:val="22"/>
        </w:rPr>
        <w:t xml:space="preserve">within North East Lincolnshire </w:t>
      </w:r>
      <w:r w:rsidRPr="002805F3">
        <w:rPr>
          <w:szCs w:val="22"/>
        </w:rPr>
        <w:t xml:space="preserve">but a </w:t>
      </w:r>
      <w:r w:rsidR="00AE6193">
        <w:rPr>
          <w:szCs w:val="22"/>
        </w:rPr>
        <w:t>small number</w:t>
      </w:r>
      <w:r w:rsidR="00AE6193" w:rsidRPr="002805F3">
        <w:rPr>
          <w:szCs w:val="22"/>
        </w:rPr>
        <w:t xml:space="preserve"> </w:t>
      </w:r>
      <w:r w:rsidRPr="002805F3">
        <w:rPr>
          <w:szCs w:val="22"/>
        </w:rPr>
        <w:t xml:space="preserve">had also </w:t>
      </w:r>
      <w:r w:rsidR="00AE6193">
        <w:rPr>
          <w:szCs w:val="22"/>
        </w:rPr>
        <w:t>considered</w:t>
      </w:r>
      <w:r w:rsidRPr="002805F3">
        <w:rPr>
          <w:szCs w:val="22"/>
        </w:rPr>
        <w:t xml:space="preserve"> Hull, Lincoln and North Lincolnshire.</w:t>
      </w:r>
    </w:p>
    <w:p w14:paraId="5BAD2761" w14:textId="77777777" w:rsidR="00553FD5" w:rsidRPr="002805F3" w:rsidRDefault="00553FD5" w:rsidP="00C93734">
      <w:pPr>
        <w:pStyle w:val="BodyText"/>
        <w:jc w:val="both"/>
      </w:pPr>
      <w:r w:rsidRPr="002805F3">
        <w:t xml:space="preserve">Respondents were asked whether there were any other location-related issues that have impacted on their business. The most frequent responses to this question </w:t>
      </w:r>
      <w:r w:rsidR="00AE6193">
        <w:t>referred to</w:t>
      </w:r>
      <w:r w:rsidR="00AE6193" w:rsidRPr="002805F3">
        <w:t xml:space="preserve"> </w:t>
      </w:r>
      <w:r w:rsidRPr="002805F3">
        <w:t xml:space="preserve">parking (16.1%) </w:t>
      </w:r>
      <w:r w:rsidR="00AE6193">
        <w:t>and challenges</w:t>
      </w:r>
      <w:r w:rsidR="00B226A8">
        <w:t xml:space="preserve"> regarding</w:t>
      </w:r>
      <w:r w:rsidR="00AE6193" w:rsidRPr="002805F3">
        <w:t xml:space="preserve"> </w:t>
      </w:r>
      <w:r w:rsidRPr="002805F3">
        <w:t xml:space="preserve">planning and </w:t>
      </w:r>
      <w:r w:rsidR="00B226A8">
        <w:t>infrastructure</w:t>
      </w:r>
      <w:r w:rsidRPr="002805F3">
        <w:t xml:space="preserve">. </w:t>
      </w:r>
      <w:r w:rsidR="00B226A8">
        <w:t>In the qualitative interviews, it was often</w:t>
      </w:r>
      <w:r w:rsidRPr="002805F3">
        <w:t xml:space="preserve"> </w:t>
      </w:r>
      <w:r w:rsidR="00B226A8">
        <w:t>noted</w:t>
      </w:r>
      <w:r w:rsidRPr="002805F3">
        <w:t xml:space="preserve"> how</w:t>
      </w:r>
      <w:r w:rsidR="00B226A8">
        <w:t xml:space="preserve">, although </w:t>
      </w:r>
      <w:r w:rsidRPr="002805F3">
        <w:t xml:space="preserve">generally the location </w:t>
      </w:r>
      <w:r w:rsidR="00B226A8">
        <w:t>was perceived as</w:t>
      </w:r>
      <w:r w:rsidR="00B226A8" w:rsidRPr="002805F3">
        <w:t xml:space="preserve"> </w:t>
      </w:r>
      <w:r w:rsidRPr="002805F3">
        <w:t>good</w:t>
      </w:r>
      <w:r w:rsidR="00B226A8">
        <w:t>,</w:t>
      </w:r>
      <w:r w:rsidRPr="002805F3">
        <w:t xml:space="preserve"> </w:t>
      </w:r>
      <w:r>
        <w:t xml:space="preserve">further planning support (e.g. speed and coverage) </w:t>
      </w:r>
      <w:r w:rsidRPr="002805F3">
        <w:t>could make it excellent.</w:t>
      </w:r>
    </w:p>
    <w:p w14:paraId="1CCCAA41" w14:textId="77777777" w:rsidR="00553FD5" w:rsidRDefault="00553FD5" w:rsidP="00C93734">
      <w:pPr>
        <w:pStyle w:val="Caption"/>
        <w:jc w:val="both"/>
      </w:pPr>
      <w:bookmarkStart w:id="672" w:name="_Toc383159723"/>
      <w:r>
        <w:t xml:space="preserve">Table </w:t>
      </w:r>
      <w:fldSimple w:instr=" STYLEREF 1 \s  \* MERGEFORMAT ">
        <w:r w:rsidR="00E95E1A">
          <w:rPr>
            <w:noProof/>
          </w:rPr>
          <w:t>0</w:t>
        </w:r>
      </w:fldSimple>
      <w:r>
        <w:t>-</w:t>
      </w:r>
      <w:fldSimple w:instr=" SEQ Table \* ARABIC \s 1  \* MERGEFORMAT ">
        <w:r w:rsidR="00E95E1A">
          <w:rPr>
            <w:noProof/>
          </w:rPr>
          <w:t>22</w:t>
        </w:r>
      </w:fldSimple>
      <w:r>
        <w:tab/>
        <w:t>Other Location-Related Issues Impacting Business</w:t>
      </w:r>
      <w:bookmarkEnd w:id="672"/>
    </w:p>
    <w:tbl>
      <w:tblPr>
        <w:tblStyle w:val="Atkins14pt"/>
        <w:tblW w:w="5085" w:type="dxa"/>
        <w:tblLook w:val="04A0" w:firstRow="1" w:lastRow="0" w:firstColumn="1" w:lastColumn="0" w:noHBand="0" w:noVBand="1"/>
      </w:tblPr>
      <w:tblGrid>
        <w:gridCol w:w="4125"/>
        <w:gridCol w:w="960"/>
      </w:tblGrid>
      <w:tr w:rsidR="00553FD5" w:rsidRPr="001E7178" w14:paraId="17BD6E4F" w14:textId="77777777" w:rsidTr="007A149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125" w:type="dxa"/>
            <w:noWrap/>
            <w:hideMark/>
          </w:tcPr>
          <w:p w14:paraId="72AC364F" w14:textId="77777777" w:rsidR="00553FD5" w:rsidRPr="001E7178" w:rsidRDefault="00553FD5" w:rsidP="00C93734">
            <w:pPr>
              <w:spacing w:after="0"/>
              <w:jc w:val="both"/>
              <w:rPr>
                <w:color w:val="000000"/>
              </w:rPr>
            </w:pPr>
            <w:r w:rsidRPr="001E7178">
              <w:rPr>
                <w:color w:val="000000"/>
              </w:rPr>
              <w:t>Issue</w:t>
            </w:r>
          </w:p>
        </w:tc>
        <w:tc>
          <w:tcPr>
            <w:tcW w:w="960" w:type="dxa"/>
            <w:noWrap/>
            <w:hideMark/>
          </w:tcPr>
          <w:p w14:paraId="53AC6577" w14:textId="77777777" w:rsidR="00553FD5" w:rsidRPr="001E7178" w:rsidRDefault="00553FD5" w:rsidP="00C93734">
            <w:pPr>
              <w:spacing w:after="0"/>
              <w:jc w:val="both"/>
              <w:cnfStyle w:val="100000000000" w:firstRow="1" w:lastRow="0" w:firstColumn="0" w:lastColumn="0" w:oddVBand="0" w:evenVBand="0" w:oddHBand="0" w:evenHBand="0" w:firstRowFirstColumn="0" w:firstRowLastColumn="0" w:lastRowFirstColumn="0" w:lastRowLastColumn="0"/>
              <w:rPr>
                <w:color w:val="000000"/>
              </w:rPr>
            </w:pPr>
            <w:r w:rsidRPr="001E7178">
              <w:rPr>
                <w:color w:val="000000"/>
              </w:rPr>
              <w:t>%</w:t>
            </w:r>
          </w:p>
        </w:tc>
      </w:tr>
      <w:tr w:rsidR="00553FD5" w:rsidRPr="001E7178" w14:paraId="3967B27A"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125" w:type="dxa"/>
            <w:noWrap/>
            <w:hideMark/>
          </w:tcPr>
          <w:p w14:paraId="593D8BA3" w14:textId="77777777" w:rsidR="00553FD5" w:rsidRPr="001E7178" w:rsidRDefault="00553FD5" w:rsidP="00C93734">
            <w:pPr>
              <w:spacing w:after="0"/>
              <w:jc w:val="both"/>
              <w:rPr>
                <w:color w:val="000000"/>
              </w:rPr>
            </w:pPr>
            <w:r w:rsidRPr="001E7178">
              <w:rPr>
                <w:color w:val="000000"/>
              </w:rPr>
              <w:t>Not enough parking / parking costs</w:t>
            </w:r>
          </w:p>
        </w:tc>
        <w:tc>
          <w:tcPr>
            <w:tcW w:w="960" w:type="dxa"/>
            <w:noWrap/>
            <w:hideMark/>
          </w:tcPr>
          <w:p w14:paraId="2922DC3C"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16.1%</w:t>
            </w:r>
          </w:p>
        </w:tc>
      </w:tr>
      <w:tr w:rsidR="00553FD5" w:rsidRPr="001E7178" w14:paraId="7620A759"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125" w:type="dxa"/>
            <w:noWrap/>
            <w:hideMark/>
          </w:tcPr>
          <w:p w14:paraId="5A36D380" w14:textId="77777777" w:rsidR="00553FD5" w:rsidRPr="001E7178" w:rsidRDefault="00553FD5" w:rsidP="00C93734">
            <w:pPr>
              <w:spacing w:after="0"/>
              <w:jc w:val="both"/>
              <w:rPr>
                <w:color w:val="000000"/>
              </w:rPr>
            </w:pPr>
            <w:r w:rsidRPr="001E7178">
              <w:rPr>
                <w:color w:val="000000"/>
              </w:rPr>
              <w:t>Planning restrictions</w:t>
            </w:r>
          </w:p>
        </w:tc>
        <w:tc>
          <w:tcPr>
            <w:tcW w:w="960" w:type="dxa"/>
            <w:noWrap/>
            <w:hideMark/>
          </w:tcPr>
          <w:p w14:paraId="045CC5E5"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5.2%</w:t>
            </w:r>
          </w:p>
        </w:tc>
      </w:tr>
      <w:tr w:rsidR="00553FD5" w:rsidRPr="001E7178" w14:paraId="040E6F8A"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125" w:type="dxa"/>
            <w:noWrap/>
            <w:hideMark/>
          </w:tcPr>
          <w:p w14:paraId="5DC0F445" w14:textId="77777777" w:rsidR="00553FD5" w:rsidRPr="001E7178" w:rsidRDefault="00553FD5" w:rsidP="00C93734">
            <w:pPr>
              <w:spacing w:after="0"/>
              <w:jc w:val="both"/>
              <w:rPr>
                <w:color w:val="000000"/>
              </w:rPr>
            </w:pPr>
            <w:r w:rsidRPr="001E7178">
              <w:rPr>
                <w:color w:val="000000"/>
              </w:rPr>
              <w:t>Poor roads / road links / access</w:t>
            </w:r>
          </w:p>
        </w:tc>
        <w:tc>
          <w:tcPr>
            <w:tcW w:w="960" w:type="dxa"/>
            <w:noWrap/>
            <w:hideMark/>
          </w:tcPr>
          <w:p w14:paraId="4E67ED7B"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2.8%</w:t>
            </w:r>
          </w:p>
        </w:tc>
      </w:tr>
      <w:tr w:rsidR="00553FD5" w:rsidRPr="001E7178" w14:paraId="38D66923"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125" w:type="dxa"/>
            <w:noWrap/>
            <w:hideMark/>
          </w:tcPr>
          <w:p w14:paraId="38D9AB2B" w14:textId="77777777" w:rsidR="00553FD5" w:rsidRPr="001E7178" w:rsidRDefault="00553FD5" w:rsidP="00C93734">
            <w:pPr>
              <w:spacing w:after="0"/>
              <w:jc w:val="both"/>
              <w:rPr>
                <w:color w:val="000000"/>
              </w:rPr>
            </w:pPr>
            <w:r w:rsidRPr="001E7178">
              <w:rPr>
                <w:color w:val="000000"/>
              </w:rPr>
              <w:t>Premises too small</w:t>
            </w:r>
          </w:p>
        </w:tc>
        <w:tc>
          <w:tcPr>
            <w:tcW w:w="960" w:type="dxa"/>
            <w:noWrap/>
            <w:hideMark/>
          </w:tcPr>
          <w:p w14:paraId="118866A4"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2.3%</w:t>
            </w:r>
          </w:p>
        </w:tc>
      </w:tr>
      <w:tr w:rsidR="00553FD5" w:rsidRPr="001E7178" w14:paraId="1B3DCB38"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125" w:type="dxa"/>
            <w:noWrap/>
            <w:hideMark/>
          </w:tcPr>
          <w:p w14:paraId="148C291A" w14:textId="77777777" w:rsidR="00553FD5" w:rsidRPr="001E7178" w:rsidRDefault="00553FD5" w:rsidP="00C93734">
            <w:pPr>
              <w:spacing w:after="0"/>
              <w:jc w:val="both"/>
              <w:rPr>
                <w:color w:val="000000"/>
              </w:rPr>
            </w:pPr>
            <w:r w:rsidRPr="001E7178">
              <w:rPr>
                <w:color w:val="000000"/>
              </w:rPr>
              <w:t>Not enough custom / declining industry</w:t>
            </w:r>
          </w:p>
        </w:tc>
        <w:tc>
          <w:tcPr>
            <w:tcW w:w="960" w:type="dxa"/>
            <w:noWrap/>
            <w:hideMark/>
          </w:tcPr>
          <w:p w14:paraId="60118590"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2.3%</w:t>
            </w:r>
          </w:p>
        </w:tc>
      </w:tr>
      <w:tr w:rsidR="00553FD5" w:rsidRPr="001E7178" w14:paraId="0FDBE003"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125" w:type="dxa"/>
            <w:noWrap/>
            <w:hideMark/>
          </w:tcPr>
          <w:p w14:paraId="2CA9D805" w14:textId="77777777" w:rsidR="00553FD5" w:rsidRPr="001E7178" w:rsidRDefault="00553FD5" w:rsidP="00C93734">
            <w:pPr>
              <w:spacing w:after="0"/>
              <w:jc w:val="both"/>
              <w:rPr>
                <w:color w:val="000000"/>
              </w:rPr>
            </w:pPr>
            <w:r w:rsidRPr="001E7178">
              <w:rPr>
                <w:color w:val="000000"/>
              </w:rPr>
              <w:t>Premises not suitable</w:t>
            </w:r>
          </w:p>
        </w:tc>
        <w:tc>
          <w:tcPr>
            <w:tcW w:w="960" w:type="dxa"/>
            <w:noWrap/>
            <w:hideMark/>
          </w:tcPr>
          <w:p w14:paraId="0AD105E5"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1.8%</w:t>
            </w:r>
          </w:p>
        </w:tc>
      </w:tr>
      <w:tr w:rsidR="00553FD5" w:rsidRPr="001E7178" w14:paraId="4B7A3BEC"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125" w:type="dxa"/>
            <w:noWrap/>
            <w:hideMark/>
          </w:tcPr>
          <w:p w14:paraId="012D80F3" w14:textId="77777777" w:rsidR="00553FD5" w:rsidRPr="001E7178" w:rsidRDefault="00553FD5" w:rsidP="00C93734">
            <w:pPr>
              <w:spacing w:after="0"/>
              <w:jc w:val="both"/>
              <w:rPr>
                <w:color w:val="000000"/>
              </w:rPr>
            </w:pPr>
            <w:r w:rsidRPr="001E7178">
              <w:rPr>
                <w:color w:val="000000"/>
              </w:rPr>
              <w:t>Flooding</w:t>
            </w:r>
          </w:p>
        </w:tc>
        <w:tc>
          <w:tcPr>
            <w:tcW w:w="960" w:type="dxa"/>
            <w:noWrap/>
            <w:hideMark/>
          </w:tcPr>
          <w:p w14:paraId="49B8A40C"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1.0%</w:t>
            </w:r>
          </w:p>
        </w:tc>
      </w:tr>
      <w:tr w:rsidR="00553FD5" w:rsidRPr="001E7178" w14:paraId="5D01B488"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125" w:type="dxa"/>
            <w:noWrap/>
            <w:hideMark/>
          </w:tcPr>
          <w:p w14:paraId="2B59B0B1" w14:textId="77777777" w:rsidR="00553FD5" w:rsidRPr="001E7178" w:rsidRDefault="00553FD5" w:rsidP="00C93734">
            <w:pPr>
              <w:spacing w:after="0"/>
              <w:jc w:val="both"/>
              <w:rPr>
                <w:color w:val="000000"/>
              </w:rPr>
            </w:pPr>
            <w:r w:rsidRPr="001E7178">
              <w:rPr>
                <w:color w:val="000000"/>
              </w:rPr>
              <w:t>Usage restrictions</w:t>
            </w:r>
          </w:p>
        </w:tc>
        <w:tc>
          <w:tcPr>
            <w:tcW w:w="960" w:type="dxa"/>
            <w:noWrap/>
            <w:hideMark/>
          </w:tcPr>
          <w:p w14:paraId="2ADC359E"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0.8%</w:t>
            </w:r>
          </w:p>
        </w:tc>
      </w:tr>
      <w:tr w:rsidR="00553FD5" w:rsidRPr="001E7178" w14:paraId="0E866778"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125" w:type="dxa"/>
            <w:noWrap/>
            <w:hideMark/>
          </w:tcPr>
          <w:p w14:paraId="25779FD9" w14:textId="77777777" w:rsidR="00553FD5" w:rsidRPr="001E7178" w:rsidRDefault="00553FD5" w:rsidP="00C93734">
            <w:pPr>
              <w:spacing w:after="0"/>
              <w:jc w:val="both"/>
              <w:rPr>
                <w:color w:val="000000"/>
              </w:rPr>
            </w:pPr>
            <w:r w:rsidRPr="001E7178">
              <w:rPr>
                <w:color w:val="000000"/>
              </w:rPr>
              <w:t>Crime / drug culture</w:t>
            </w:r>
          </w:p>
        </w:tc>
        <w:tc>
          <w:tcPr>
            <w:tcW w:w="960" w:type="dxa"/>
            <w:noWrap/>
            <w:hideMark/>
          </w:tcPr>
          <w:p w14:paraId="793C0485"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0.8%</w:t>
            </w:r>
          </w:p>
        </w:tc>
      </w:tr>
      <w:tr w:rsidR="00553FD5" w:rsidRPr="001E7178" w14:paraId="53572778"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125" w:type="dxa"/>
            <w:noWrap/>
            <w:hideMark/>
          </w:tcPr>
          <w:p w14:paraId="553C1187" w14:textId="77777777" w:rsidR="00553FD5" w:rsidRPr="001E7178" w:rsidRDefault="00553FD5" w:rsidP="00C93734">
            <w:pPr>
              <w:spacing w:after="0"/>
              <w:jc w:val="both"/>
              <w:rPr>
                <w:color w:val="000000"/>
              </w:rPr>
            </w:pPr>
            <w:r w:rsidRPr="001E7178">
              <w:rPr>
                <w:color w:val="000000"/>
              </w:rPr>
              <w:t>Poor broadband connectivity</w:t>
            </w:r>
          </w:p>
        </w:tc>
        <w:tc>
          <w:tcPr>
            <w:tcW w:w="960" w:type="dxa"/>
            <w:noWrap/>
            <w:hideMark/>
          </w:tcPr>
          <w:p w14:paraId="7C7944F3"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0.8%</w:t>
            </w:r>
          </w:p>
        </w:tc>
      </w:tr>
      <w:tr w:rsidR="00553FD5" w:rsidRPr="001E7178" w14:paraId="641DEE39" w14:textId="77777777" w:rsidTr="007A1492">
        <w:trPr>
          <w:trHeight w:val="300"/>
        </w:trPr>
        <w:tc>
          <w:tcPr>
            <w:cnfStyle w:val="001000000000" w:firstRow="0" w:lastRow="0" w:firstColumn="1" w:lastColumn="0" w:oddVBand="0" w:evenVBand="0" w:oddHBand="0" w:evenHBand="0" w:firstRowFirstColumn="0" w:firstRowLastColumn="0" w:lastRowFirstColumn="0" w:lastRowLastColumn="0"/>
            <w:tcW w:w="4125" w:type="dxa"/>
            <w:noWrap/>
            <w:hideMark/>
          </w:tcPr>
          <w:p w14:paraId="519216E9" w14:textId="77777777" w:rsidR="00553FD5" w:rsidRPr="001E7178" w:rsidRDefault="00553FD5" w:rsidP="00C93734">
            <w:pPr>
              <w:spacing w:after="0"/>
              <w:jc w:val="both"/>
              <w:rPr>
                <w:color w:val="000000"/>
              </w:rPr>
            </w:pPr>
            <w:r w:rsidRPr="001E7178">
              <w:rPr>
                <w:color w:val="000000"/>
              </w:rPr>
              <w:t>Council not investing in the correct areas</w:t>
            </w:r>
          </w:p>
        </w:tc>
        <w:tc>
          <w:tcPr>
            <w:tcW w:w="960" w:type="dxa"/>
            <w:noWrap/>
            <w:hideMark/>
          </w:tcPr>
          <w:p w14:paraId="6C85CD32" w14:textId="77777777" w:rsidR="00553FD5" w:rsidRPr="001E7178" w:rsidRDefault="00553FD5" w:rsidP="00C93734">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1E7178">
              <w:rPr>
                <w:color w:val="000000"/>
              </w:rPr>
              <w:t>0.8%</w:t>
            </w:r>
          </w:p>
        </w:tc>
      </w:tr>
    </w:tbl>
    <w:p w14:paraId="6B48F2AC" w14:textId="77777777" w:rsidR="00553FD5" w:rsidRPr="002805F3" w:rsidRDefault="00553FD5" w:rsidP="00C93734">
      <w:pPr>
        <w:pStyle w:val="TableSource"/>
        <w:jc w:val="both"/>
        <w:rPr>
          <w:sz w:val="22"/>
          <w:szCs w:val="18"/>
        </w:rPr>
      </w:pPr>
      <w:r w:rsidRPr="002805F3">
        <w:t>Source: Hill Taylor and Atkins 2013. Atkins Ref: Survey –A27</w:t>
      </w:r>
      <w:bookmarkEnd w:id="622"/>
      <w:r>
        <w:t>. Note: Figures do not add up to 100% because of small results being excluded</w:t>
      </w:r>
    </w:p>
    <w:p w14:paraId="689294E3" w14:textId="77777777" w:rsidR="00553FD5" w:rsidRDefault="00553FD5" w:rsidP="00C93734">
      <w:pPr>
        <w:jc w:val="both"/>
      </w:pPr>
    </w:p>
    <w:p w14:paraId="5A66B197" w14:textId="77777777" w:rsidR="00553FD5" w:rsidRDefault="00553FD5" w:rsidP="00C93734">
      <w:pPr>
        <w:jc w:val="both"/>
      </w:pPr>
    </w:p>
    <w:p w14:paraId="30B7C1A0" w14:textId="77777777" w:rsidR="00CB0E43" w:rsidRDefault="00CB0E43" w:rsidP="00C93734">
      <w:pPr>
        <w:spacing w:after="200" w:line="276" w:lineRule="auto"/>
        <w:jc w:val="both"/>
      </w:pPr>
      <w:r>
        <w:br w:type="page"/>
      </w:r>
    </w:p>
    <w:p w14:paraId="148BF3D0" w14:textId="77777777" w:rsidR="00553FD5" w:rsidRDefault="00CB0E43" w:rsidP="00E113F0">
      <w:pPr>
        <w:pStyle w:val="Heading6"/>
        <w:ind w:left="0" w:firstLine="0"/>
        <w:jc w:val="both"/>
      </w:pPr>
      <w:bookmarkStart w:id="673" w:name="_Toc395103945"/>
      <w:r>
        <w:t>Stakeholder &amp; Business Consultation List</w:t>
      </w:r>
      <w:bookmarkEnd w:id="673"/>
    </w:p>
    <w:p w14:paraId="5815407D" w14:textId="77777777" w:rsidR="002E37F5" w:rsidRPr="002E37F5" w:rsidRDefault="002E37F5" w:rsidP="00C93734">
      <w:pPr>
        <w:pStyle w:val="NormalNoSpace"/>
        <w:jc w:val="both"/>
        <w:rPr>
          <w:b/>
          <w:sz w:val="22"/>
        </w:rPr>
      </w:pPr>
      <w:r w:rsidRPr="002E37F5">
        <w:rPr>
          <w:b/>
          <w:sz w:val="22"/>
        </w:rPr>
        <w:t>Consultees:</w:t>
      </w:r>
    </w:p>
    <w:p w14:paraId="4257D1A7" w14:textId="77777777" w:rsidR="002E37F5" w:rsidRPr="002E37F5" w:rsidRDefault="002E37F5" w:rsidP="00C93734">
      <w:pPr>
        <w:pStyle w:val="NormalNoSpace"/>
        <w:jc w:val="both"/>
        <w:rPr>
          <w:sz w:val="22"/>
        </w:rPr>
      </w:pPr>
    </w:p>
    <w:p w14:paraId="3E12D021" w14:textId="77777777" w:rsidR="002E37F5" w:rsidRPr="002E37F5" w:rsidRDefault="002E37F5" w:rsidP="00C93734">
      <w:pPr>
        <w:pStyle w:val="NormalNoSpace"/>
        <w:numPr>
          <w:ilvl w:val="6"/>
          <w:numId w:val="64"/>
        </w:numPr>
        <w:ind w:left="567" w:hanging="567"/>
        <w:jc w:val="both"/>
        <w:rPr>
          <w:sz w:val="22"/>
        </w:rPr>
      </w:pPr>
      <w:r w:rsidRPr="002E37F5">
        <w:rPr>
          <w:sz w:val="22"/>
        </w:rPr>
        <w:t xml:space="preserve">Lorna Reeve – </w:t>
      </w:r>
      <w:r>
        <w:rPr>
          <w:sz w:val="22"/>
        </w:rPr>
        <w:t>CGS</w:t>
      </w:r>
    </w:p>
    <w:p w14:paraId="72C7615F" w14:textId="77777777" w:rsidR="002E37F5" w:rsidRPr="002E37F5" w:rsidRDefault="002E37F5" w:rsidP="00C93734">
      <w:pPr>
        <w:pStyle w:val="NormalNoSpace"/>
        <w:numPr>
          <w:ilvl w:val="6"/>
          <w:numId w:val="64"/>
        </w:numPr>
        <w:ind w:left="567" w:hanging="567"/>
        <w:jc w:val="both"/>
        <w:rPr>
          <w:sz w:val="22"/>
        </w:rPr>
      </w:pPr>
      <w:r w:rsidRPr="002E37F5">
        <w:rPr>
          <w:sz w:val="22"/>
        </w:rPr>
        <w:t xml:space="preserve">David Robinson – </w:t>
      </w:r>
      <w:r>
        <w:rPr>
          <w:sz w:val="22"/>
        </w:rPr>
        <w:t>CGS</w:t>
      </w:r>
    </w:p>
    <w:p w14:paraId="65EF5C1E" w14:textId="77777777" w:rsidR="002E37F5" w:rsidRPr="002E37F5" w:rsidRDefault="002E37F5" w:rsidP="00C93734">
      <w:pPr>
        <w:pStyle w:val="NormalNoSpace"/>
        <w:numPr>
          <w:ilvl w:val="6"/>
          <w:numId w:val="64"/>
        </w:numPr>
        <w:ind w:left="567" w:hanging="567"/>
        <w:jc w:val="both"/>
        <w:rPr>
          <w:sz w:val="22"/>
        </w:rPr>
      </w:pPr>
      <w:r w:rsidRPr="002E37F5">
        <w:rPr>
          <w:sz w:val="22"/>
        </w:rPr>
        <w:t xml:space="preserve">Rachael Markham – </w:t>
      </w:r>
      <w:r>
        <w:rPr>
          <w:sz w:val="22"/>
        </w:rPr>
        <w:t>CGS</w:t>
      </w:r>
    </w:p>
    <w:p w14:paraId="2AADC63D" w14:textId="77777777" w:rsidR="002E37F5" w:rsidRPr="002E37F5" w:rsidRDefault="002E37F5" w:rsidP="00C93734">
      <w:pPr>
        <w:pStyle w:val="NormalNoSpace"/>
        <w:numPr>
          <w:ilvl w:val="6"/>
          <w:numId w:val="64"/>
        </w:numPr>
        <w:ind w:left="567" w:hanging="567"/>
        <w:jc w:val="both"/>
        <w:rPr>
          <w:sz w:val="22"/>
        </w:rPr>
      </w:pPr>
      <w:r w:rsidRPr="002E37F5">
        <w:rPr>
          <w:sz w:val="22"/>
        </w:rPr>
        <w:t xml:space="preserve">Emma Toulson – </w:t>
      </w:r>
      <w:r>
        <w:rPr>
          <w:sz w:val="22"/>
        </w:rPr>
        <w:t>CGS</w:t>
      </w:r>
    </w:p>
    <w:p w14:paraId="679AD5BE" w14:textId="77777777" w:rsidR="002E37F5" w:rsidRPr="002E37F5" w:rsidRDefault="002E37F5" w:rsidP="00C93734">
      <w:pPr>
        <w:pStyle w:val="NormalNoSpace"/>
        <w:numPr>
          <w:ilvl w:val="6"/>
          <w:numId w:val="64"/>
        </w:numPr>
        <w:ind w:left="567" w:hanging="567"/>
        <w:jc w:val="both"/>
        <w:rPr>
          <w:sz w:val="22"/>
        </w:rPr>
      </w:pPr>
      <w:r w:rsidRPr="002E37F5">
        <w:rPr>
          <w:sz w:val="22"/>
        </w:rPr>
        <w:t>Kate Walker – CGS</w:t>
      </w:r>
    </w:p>
    <w:p w14:paraId="3A06D415" w14:textId="77777777" w:rsidR="002E37F5" w:rsidRPr="002E37F5" w:rsidRDefault="002E37F5" w:rsidP="00C93734">
      <w:pPr>
        <w:pStyle w:val="NormalNoSpace"/>
        <w:numPr>
          <w:ilvl w:val="6"/>
          <w:numId w:val="64"/>
        </w:numPr>
        <w:ind w:left="567" w:hanging="567"/>
        <w:jc w:val="both"/>
        <w:rPr>
          <w:sz w:val="22"/>
        </w:rPr>
      </w:pPr>
      <w:r w:rsidRPr="002E37F5">
        <w:rPr>
          <w:sz w:val="22"/>
        </w:rPr>
        <w:t>Phil Glover – CGS</w:t>
      </w:r>
    </w:p>
    <w:p w14:paraId="3302FF59" w14:textId="77777777" w:rsidR="002E37F5" w:rsidRPr="002E37F5" w:rsidRDefault="002E37F5" w:rsidP="00C93734">
      <w:pPr>
        <w:pStyle w:val="NormalNoSpace"/>
        <w:numPr>
          <w:ilvl w:val="6"/>
          <w:numId w:val="64"/>
        </w:numPr>
        <w:ind w:left="567" w:hanging="567"/>
        <w:jc w:val="both"/>
        <w:rPr>
          <w:sz w:val="22"/>
        </w:rPr>
      </w:pPr>
      <w:r w:rsidRPr="002E37F5">
        <w:rPr>
          <w:sz w:val="22"/>
        </w:rPr>
        <w:t>David Brierley – CGS</w:t>
      </w:r>
    </w:p>
    <w:p w14:paraId="150ACB62" w14:textId="77777777" w:rsidR="002E37F5" w:rsidRDefault="002E37F5" w:rsidP="00C93734">
      <w:pPr>
        <w:pStyle w:val="NormalNoSpace"/>
        <w:numPr>
          <w:ilvl w:val="6"/>
          <w:numId w:val="64"/>
        </w:numPr>
        <w:ind w:left="567" w:hanging="567"/>
        <w:jc w:val="both"/>
        <w:rPr>
          <w:sz w:val="22"/>
        </w:rPr>
      </w:pPr>
      <w:r w:rsidRPr="002E37F5">
        <w:rPr>
          <w:sz w:val="22"/>
        </w:rPr>
        <w:t xml:space="preserve">Alison Blakeway </w:t>
      </w:r>
      <w:r w:rsidR="00F56AD6">
        <w:rPr>
          <w:sz w:val="22"/>
        </w:rPr>
        <w:t>–</w:t>
      </w:r>
      <w:r w:rsidRPr="002E37F5">
        <w:rPr>
          <w:sz w:val="22"/>
        </w:rPr>
        <w:t xml:space="preserve"> CGS</w:t>
      </w:r>
    </w:p>
    <w:p w14:paraId="5A291E1B" w14:textId="77777777" w:rsidR="00F56AD6" w:rsidRDefault="00F56AD6" w:rsidP="00C93734">
      <w:pPr>
        <w:pStyle w:val="NormalNoSpace"/>
        <w:numPr>
          <w:ilvl w:val="6"/>
          <w:numId w:val="64"/>
        </w:numPr>
        <w:ind w:left="567" w:hanging="567"/>
        <w:jc w:val="both"/>
        <w:rPr>
          <w:sz w:val="22"/>
        </w:rPr>
      </w:pPr>
      <w:r>
        <w:rPr>
          <w:sz w:val="22"/>
        </w:rPr>
        <w:t>Damien Jaines-White – NELC</w:t>
      </w:r>
    </w:p>
    <w:p w14:paraId="7674D1CA" w14:textId="77777777" w:rsidR="00F56AD6" w:rsidRPr="002E37F5" w:rsidRDefault="00F56AD6" w:rsidP="00C93734">
      <w:pPr>
        <w:pStyle w:val="NormalNoSpace"/>
        <w:numPr>
          <w:ilvl w:val="6"/>
          <w:numId w:val="64"/>
        </w:numPr>
        <w:ind w:left="567" w:hanging="567"/>
        <w:jc w:val="both"/>
        <w:rPr>
          <w:sz w:val="22"/>
        </w:rPr>
      </w:pPr>
      <w:r>
        <w:rPr>
          <w:sz w:val="22"/>
        </w:rPr>
        <w:t>Andy Such – Thorpe Park</w:t>
      </w:r>
    </w:p>
    <w:p w14:paraId="7AA1265E" w14:textId="77777777" w:rsidR="002E37F5" w:rsidRPr="002E37F5" w:rsidRDefault="002E37F5" w:rsidP="00C93734">
      <w:pPr>
        <w:pStyle w:val="NormalNoSpace"/>
        <w:numPr>
          <w:ilvl w:val="6"/>
          <w:numId w:val="64"/>
        </w:numPr>
        <w:ind w:left="567" w:hanging="567"/>
        <w:jc w:val="both"/>
        <w:rPr>
          <w:sz w:val="22"/>
        </w:rPr>
      </w:pPr>
      <w:r w:rsidRPr="002E37F5">
        <w:rPr>
          <w:sz w:val="22"/>
        </w:rPr>
        <w:t>Kurt Christensen - Windpower support (Renewables)</w:t>
      </w:r>
    </w:p>
    <w:p w14:paraId="1349EB3F" w14:textId="77777777" w:rsidR="002E37F5" w:rsidRPr="002E37F5" w:rsidRDefault="002E37F5" w:rsidP="00C93734">
      <w:pPr>
        <w:pStyle w:val="NormalNoSpace"/>
        <w:numPr>
          <w:ilvl w:val="6"/>
          <w:numId w:val="64"/>
        </w:numPr>
        <w:ind w:left="567" w:hanging="567"/>
        <w:jc w:val="both"/>
        <w:rPr>
          <w:sz w:val="22"/>
        </w:rPr>
      </w:pPr>
      <w:r w:rsidRPr="002E37F5">
        <w:rPr>
          <w:sz w:val="22"/>
        </w:rPr>
        <w:t>Martyn Boyes - Grimsby Fish Dock Enterprises (Fish)</w:t>
      </w:r>
    </w:p>
    <w:p w14:paraId="15D2968C" w14:textId="77777777" w:rsidR="002E37F5" w:rsidRPr="002E37F5" w:rsidRDefault="002E37F5" w:rsidP="00C93734">
      <w:pPr>
        <w:pStyle w:val="NormalNoSpace"/>
        <w:numPr>
          <w:ilvl w:val="6"/>
          <w:numId w:val="64"/>
        </w:numPr>
        <w:ind w:left="567" w:hanging="567"/>
        <w:jc w:val="both"/>
        <w:rPr>
          <w:sz w:val="22"/>
        </w:rPr>
      </w:pPr>
      <w:r w:rsidRPr="002E37F5">
        <w:rPr>
          <w:sz w:val="22"/>
        </w:rPr>
        <w:t>Anne Tate - Hull &amp; Humber Chamber Of Commerce (all)</w:t>
      </w:r>
    </w:p>
    <w:p w14:paraId="4AE63759" w14:textId="77777777" w:rsidR="002E37F5" w:rsidRPr="002E37F5" w:rsidRDefault="002E37F5" w:rsidP="00C93734">
      <w:pPr>
        <w:pStyle w:val="NormalNoSpace"/>
        <w:numPr>
          <w:ilvl w:val="6"/>
          <w:numId w:val="64"/>
        </w:numPr>
        <w:ind w:left="567" w:hanging="567"/>
        <w:jc w:val="both"/>
        <w:rPr>
          <w:sz w:val="22"/>
        </w:rPr>
      </w:pPr>
      <w:r w:rsidRPr="002E37F5">
        <w:rPr>
          <w:sz w:val="22"/>
        </w:rPr>
        <w:t>Andrew Goudie - Grimsby Institute (all)</w:t>
      </w:r>
    </w:p>
    <w:p w14:paraId="7CE63DE6" w14:textId="77777777" w:rsidR="002E37F5" w:rsidRPr="002E37F5" w:rsidRDefault="002E37F5" w:rsidP="00C93734">
      <w:pPr>
        <w:pStyle w:val="NormalNoSpace"/>
        <w:numPr>
          <w:ilvl w:val="6"/>
          <w:numId w:val="64"/>
        </w:numPr>
        <w:ind w:left="567" w:hanging="567"/>
        <w:jc w:val="both"/>
        <w:rPr>
          <w:sz w:val="22"/>
        </w:rPr>
      </w:pPr>
      <w:r w:rsidRPr="002E37F5">
        <w:rPr>
          <w:sz w:val="22"/>
        </w:rPr>
        <w:t>Paul Litten, Commercial Director - Humber International Airport (all)</w:t>
      </w:r>
    </w:p>
    <w:p w14:paraId="27E1A854" w14:textId="77777777" w:rsidR="002E37F5" w:rsidRPr="002E37F5" w:rsidRDefault="002E37F5" w:rsidP="00C93734">
      <w:pPr>
        <w:pStyle w:val="NormalNoSpace"/>
        <w:numPr>
          <w:ilvl w:val="6"/>
          <w:numId w:val="64"/>
        </w:numPr>
        <w:ind w:left="567" w:hanging="567"/>
        <w:jc w:val="both"/>
        <w:rPr>
          <w:sz w:val="22"/>
        </w:rPr>
      </w:pPr>
      <w:r w:rsidRPr="002E37F5">
        <w:rPr>
          <w:sz w:val="22"/>
        </w:rPr>
        <w:t>Alfred Enderby – Enderby Fish Entreprise (Fish&amp; Visitor)</w:t>
      </w:r>
    </w:p>
    <w:p w14:paraId="17035717" w14:textId="77777777" w:rsidR="002E37F5" w:rsidRPr="002E37F5" w:rsidRDefault="002E37F5" w:rsidP="00C93734">
      <w:pPr>
        <w:pStyle w:val="NormalNoSpace"/>
        <w:numPr>
          <w:ilvl w:val="6"/>
          <w:numId w:val="64"/>
        </w:numPr>
        <w:ind w:left="567" w:hanging="567"/>
        <w:jc w:val="both"/>
        <w:rPr>
          <w:sz w:val="22"/>
        </w:rPr>
      </w:pPr>
      <w:r w:rsidRPr="002E37F5">
        <w:rPr>
          <w:sz w:val="22"/>
        </w:rPr>
        <w:t>Kevin Francis  – ABP (Ports &amp; Chemicals)</w:t>
      </w:r>
    </w:p>
    <w:p w14:paraId="7630C626" w14:textId="77777777" w:rsidR="002E37F5" w:rsidRPr="002E37F5" w:rsidRDefault="002E37F5" w:rsidP="00C93734">
      <w:pPr>
        <w:pStyle w:val="NormalNoSpace"/>
        <w:numPr>
          <w:ilvl w:val="6"/>
          <w:numId w:val="64"/>
        </w:numPr>
        <w:ind w:left="567" w:hanging="567"/>
        <w:jc w:val="both"/>
        <w:rPr>
          <w:sz w:val="22"/>
        </w:rPr>
      </w:pPr>
      <w:r w:rsidRPr="002E37F5">
        <w:rPr>
          <w:sz w:val="22"/>
        </w:rPr>
        <w:t>Mike Sellers – ABP (Ports &amp; Chemicals)</w:t>
      </w:r>
    </w:p>
    <w:p w14:paraId="482E93DE" w14:textId="77777777" w:rsidR="002E37F5" w:rsidRPr="002E37F5" w:rsidRDefault="002E37F5" w:rsidP="00C93734">
      <w:pPr>
        <w:pStyle w:val="NormalNoSpace"/>
        <w:numPr>
          <w:ilvl w:val="6"/>
          <w:numId w:val="64"/>
        </w:numPr>
        <w:ind w:left="567" w:hanging="567"/>
        <w:jc w:val="both"/>
        <w:rPr>
          <w:sz w:val="22"/>
        </w:rPr>
      </w:pPr>
      <w:r w:rsidRPr="002E37F5">
        <w:rPr>
          <w:sz w:val="22"/>
        </w:rPr>
        <w:t>Jeffe Baker – ABP (Ports and Renewables)</w:t>
      </w:r>
    </w:p>
    <w:p w14:paraId="3DEB936D" w14:textId="77777777" w:rsidR="002E37F5" w:rsidRPr="002E37F5" w:rsidRDefault="002E37F5" w:rsidP="00C93734">
      <w:pPr>
        <w:pStyle w:val="NormalNoSpace"/>
        <w:numPr>
          <w:ilvl w:val="6"/>
          <w:numId w:val="64"/>
        </w:numPr>
        <w:ind w:left="567" w:hanging="567"/>
        <w:jc w:val="both"/>
        <w:rPr>
          <w:sz w:val="22"/>
        </w:rPr>
      </w:pPr>
      <w:r w:rsidRPr="002E37F5">
        <w:rPr>
          <w:sz w:val="22"/>
        </w:rPr>
        <w:t>Stephen Norton – Grimsby Fi</w:t>
      </w:r>
      <w:r>
        <w:rPr>
          <w:sz w:val="22"/>
        </w:rPr>
        <w:t>sh Merchants (Fish &amp; Renewables</w:t>
      </w:r>
      <w:r w:rsidRPr="002E37F5">
        <w:rPr>
          <w:sz w:val="22"/>
        </w:rPr>
        <w:t>)</w:t>
      </w:r>
    </w:p>
    <w:p w14:paraId="11838608" w14:textId="77777777" w:rsidR="002E37F5" w:rsidRPr="002E37F5" w:rsidRDefault="002E37F5" w:rsidP="00C93734">
      <w:pPr>
        <w:pStyle w:val="NormalNoSpace"/>
        <w:numPr>
          <w:ilvl w:val="6"/>
          <w:numId w:val="64"/>
        </w:numPr>
        <w:ind w:left="567" w:hanging="567"/>
        <w:jc w:val="both"/>
        <w:rPr>
          <w:sz w:val="22"/>
        </w:rPr>
      </w:pPr>
      <w:r w:rsidRPr="002E37F5">
        <w:rPr>
          <w:sz w:val="22"/>
        </w:rPr>
        <w:t>Allan Hull – DFDS (Ports &amp; Chemicals)</w:t>
      </w:r>
    </w:p>
    <w:p w14:paraId="7DB994AE" w14:textId="77777777" w:rsidR="002E37F5" w:rsidRPr="002E37F5" w:rsidRDefault="002E37F5" w:rsidP="00C93734">
      <w:pPr>
        <w:pStyle w:val="NormalNoSpace"/>
        <w:numPr>
          <w:ilvl w:val="6"/>
          <w:numId w:val="64"/>
        </w:numPr>
        <w:ind w:left="567" w:hanging="567"/>
        <w:jc w:val="both"/>
        <w:rPr>
          <w:sz w:val="22"/>
        </w:rPr>
      </w:pPr>
      <w:r w:rsidRPr="002E37F5">
        <w:rPr>
          <w:sz w:val="22"/>
        </w:rPr>
        <w:t>Ivan Jaines-White – Grimsby Seafood Village (Fish)</w:t>
      </w:r>
    </w:p>
    <w:p w14:paraId="5389C4C1" w14:textId="77777777" w:rsidR="002E37F5" w:rsidRPr="002E37F5" w:rsidRDefault="002E37F5" w:rsidP="00C93734">
      <w:pPr>
        <w:pStyle w:val="NormalNoSpace"/>
        <w:numPr>
          <w:ilvl w:val="6"/>
          <w:numId w:val="64"/>
        </w:numPr>
        <w:ind w:left="567" w:hanging="567"/>
        <w:jc w:val="both"/>
        <w:rPr>
          <w:sz w:val="22"/>
        </w:rPr>
      </w:pPr>
      <w:r w:rsidRPr="002E37F5">
        <w:rPr>
          <w:sz w:val="22"/>
        </w:rPr>
        <w:t>Mike Woods – Albert Darnell Ltd (Fish)</w:t>
      </w:r>
    </w:p>
    <w:p w14:paraId="674E0F88" w14:textId="77777777" w:rsidR="002E37F5" w:rsidRPr="002E37F5" w:rsidRDefault="002E37F5" w:rsidP="00C93734">
      <w:pPr>
        <w:pStyle w:val="NormalNoSpace"/>
        <w:numPr>
          <w:ilvl w:val="6"/>
          <w:numId w:val="64"/>
        </w:numPr>
        <w:ind w:left="567" w:hanging="567"/>
        <w:jc w:val="both"/>
        <w:rPr>
          <w:sz w:val="22"/>
        </w:rPr>
      </w:pPr>
      <w:r w:rsidRPr="002E37F5">
        <w:rPr>
          <w:sz w:val="22"/>
        </w:rPr>
        <w:t>Chris Broughton– PD Ports (Ports &amp; Chemicals)</w:t>
      </w:r>
    </w:p>
    <w:p w14:paraId="38B6B211" w14:textId="77777777" w:rsidR="002E37F5" w:rsidRPr="002E37F5" w:rsidRDefault="002E37F5" w:rsidP="00C93734">
      <w:pPr>
        <w:pStyle w:val="NormalNoSpace"/>
        <w:numPr>
          <w:ilvl w:val="6"/>
          <w:numId w:val="64"/>
        </w:numPr>
        <w:ind w:left="567" w:hanging="567"/>
        <w:jc w:val="both"/>
        <w:rPr>
          <w:sz w:val="22"/>
        </w:rPr>
      </w:pPr>
      <w:r w:rsidRPr="002E37F5">
        <w:rPr>
          <w:sz w:val="22"/>
        </w:rPr>
        <w:t>Paul McGrath – PD Ports (Ports &amp; Chemicals)</w:t>
      </w:r>
    </w:p>
    <w:p w14:paraId="53DA11F6" w14:textId="77777777" w:rsidR="002E37F5" w:rsidRPr="002E37F5" w:rsidRDefault="002E37F5" w:rsidP="00C93734">
      <w:pPr>
        <w:pStyle w:val="NormalNoSpace"/>
        <w:numPr>
          <w:ilvl w:val="6"/>
          <w:numId w:val="64"/>
        </w:numPr>
        <w:ind w:left="567" w:hanging="567"/>
        <w:jc w:val="both"/>
        <w:rPr>
          <w:sz w:val="22"/>
        </w:rPr>
      </w:pPr>
      <w:r w:rsidRPr="002E37F5">
        <w:rPr>
          <w:sz w:val="22"/>
        </w:rPr>
        <w:t>Andrew Wright – East Trans (Ports)</w:t>
      </w:r>
    </w:p>
    <w:p w14:paraId="6FEFF7C3" w14:textId="77777777" w:rsidR="002E37F5" w:rsidRPr="002E37F5" w:rsidRDefault="002E37F5" w:rsidP="00C93734">
      <w:pPr>
        <w:pStyle w:val="NormalNoSpace"/>
        <w:numPr>
          <w:ilvl w:val="6"/>
          <w:numId w:val="64"/>
        </w:numPr>
        <w:ind w:left="567" w:hanging="567"/>
        <w:jc w:val="both"/>
        <w:rPr>
          <w:sz w:val="22"/>
        </w:rPr>
      </w:pPr>
      <w:r w:rsidRPr="002E37F5">
        <w:rPr>
          <w:sz w:val="22"/>
        </w:rPr>
        <w:t>Paul Hickling – East Trans (Ports)</w:t>
      </w:r>
    </w:p>
    <w:p w14:paraId="6400D52B" w14:textId="77777777" w:rsidR="002E37F5" w:rsidRPr="002E37F5" w:rsidRDefault="002E37F5" w:rsidP="00C93734">
      <w:pPr>
        <w:pStyle w:val="NormalNoSpace"/>
        <w:numPr>
          <w:ilvl w:val="6"/>
          <w:numId w:val="64"/>
        </w:numPr>
        <w:ind w:left="567" w:hanging="567"/>
        <w:jc w:val="both"/>
        <w:rPr>
          <w:sz w:val="22"/>
        </w:rPr>
      </w:pPr>
      <w:r w:rsidRPr="002E37F5">
        <w:rPr>
          <w:sz w:val="22"/>
        </w:rPr>
        <w:t>Martin Eley  - Icelandic Seachill (Fish)</w:t>
      </w:r>
    </w:p>
    <w:p w14:paraId="0EFED107" w14:textId="77777777" w:rsidR="002E37F5" w:rsidRPr="002E37F5" w:rsidRDefault="002E37F5" w:rsidP="00C93734">
      <w:pPr>
        <w:pStyle w:val="NormalNoSpace"/>
        <w:numPr>
          <w:ilvl w:val="6"/>
          <w:numId w:val="64"/>
        </w:numPr>
        <w:ind w:left="567" w:hanging="567"/>
        <w:jc w:val="both"/>
        <w:rPr>
          <w:sz w:val="22"/>
        </w:rPr>
      </w:pPr>
      <w:r w:rsidRPr="002E37F5">
        <w:rPr>
          <w:sz w:val="22"/>
        </w:rPr>
        <w:t>Howard Sims – Morrisons (Fish &amp; Property)</w:t>
      </w:r>
    </w:p>
    <w:p w14:paraId="60A5BD6D" w14:textId="77777777" w:rsidR="002E37F5" w:rsidRPr="002E37F5" w:rsidRDefault="002E37F5" w:rsidP="00C93734">
      <w:pPr>
        <w:pStyle w:val="NormalNoSpace"/>
        <w:numPr>
          <w:ilvl w:val="6"/>
          <w:numId w:val="64"/>
        </w:numPr>
        <w:ind w:left="567" w:hanging="567"/>
        <w:jc w:val="both"/>
        <w:rPr>
          <w:sz w:val="22"/>
        </w:rPr>
      </w:pPr>
      <w:r w:rsidRPr="002E37F5">
        <w:rPr>
          <w:sz w:val="22"/>
        </w:rPr>
        <w:t>Mike Mitchell – Youngs (Fish)</w:t>
      </w:r>
    </w:p>
    <w:p w14:paraId="5160EE2A" w14:textId="77777777" w:rsidR="002E37F5" w:rsidRPr="002E37F5" w:rsidRDefault="002E37F5" w:rsidP="00C93734">
      <w:pPr>
        <w:pStyle w:val="NormalNoSpace"/>
        <w:numPr>
          <w:ilvl w:val="6"/>
          <w:numId w:val="64"/>
        </w:numPr>
        <w:ind w:left="567" w:hanging="567"/>
        <w:jc w:val="both"/>
        <w:rPr>
          <w:sz w:val="22"/>
        </w:rPr>
      </w:pPr>
      <w:r w:rsidRPr="002E37F5">
        <w:rPr>
          <w:sz w:val="22"/>
        </w:rPr>
        <w:t xml:space="preserve">Sam </w:t>
      </w:r>
      <w:r>
        <w:rPr>
          <w:sz w:val="22"/>
        </w:rPr>
        <w:t>Jubah– GBA Group (Renewables &amp; P</w:t>
      </w:r>
      <w:r w:rsidRPr="002E37F5">
        <w:rPr>
          <w:sz w:val="22"/>
        </w:rPr>
        <w:t>orts)</w:t>
      </w:r>
    </w:p>
    <w:p w14:paraId="0E9DACDC" w14:textId="77777777" w:rsidR="002E37F5" w:rsidRPr="002E37F5" w:rsidRDefault="002E37F5" w:rsidP="00C93734">
      <w:pPr>
        <w:pStyle w:val="NormalNoSpace"/>
        <w:numPr>
          <w:ilvl w:val="6"/>
          <w:numId w:val="64"/>
        </w:numPr>
        <w:ind w:left="567" w:hanging="567"/>
        <w:jc w:val="both"/>
        <w:rPr>
          <w:sz w:val="22"/>
        </w:rPr>
      </w:pPr>
      <w:r w:rsidRPr="002E37F5">
        <w:rPr>
          <w:sz w:val="22"/>
        </w:rPr>
        <w:t xml:space="preserve">Alison Mitchell– GBA Group (Renewables &amp; </w:t>
      </w:r>
      <w:r>
        <w:rPr>
          <w:sz w:val="22"/>
        </w:rPr>
        <w:t>P</w:t>
      </w:r>
      <w:r w:rsidRPr="002E37F5">
        <w:rPr>
          <w:sz w:val="22"/>
        </w:rPr>
        <w:t>orts)</w:t>
      </w:r>
    </w:p>
    <w:p w14:paraId="51FD211A" w14:textId="77777777" w:rsidR="002E37F5" w:rsidRPr="002E37F5" w:rsidRDefault="002E37F5" w:rsidP="00C93734">
      <w:pPr>
        <w:pStyle w:val="NormalNoSpace"/>
        <w:numPr>
          <w:ilvl w:val="6"/>
          <w:numId w:val="64"/>
        </w:numPr>
        <w:ind w:left="567" w:hanging="567"/>
        <w:jc w:val="both"/>
        <w:rPr>
          <w:sz w:val="22"/>
        </w:rPr>
      </w:pPr>
      <w:r w:rsidRPr="002E37F5">
        <w:rPr>
          <w:sz w:val="22"/>
        </w:rPr>
        <w:t>Keith Jackson – Simon Storage (Ports &amp; Chemicals)</w:t>
      </w:r>
    </w:p>
    <w:p w14:paraId="76EBD096" w14:textId="77777777" w:rsidR="002E37F5" w:rsidRPr="002E37F5" w:rsidRDefault="002E37F5" w:rsidP="00C93734">
      <w:pPr>
        <w:pStyle w:val="NormalNoSpace"/>
        <w:numPr>
          <w:ilvl w:val="6"/>
          <w:numId w:val="64"/>
        </w:numPr>
        <w:ind w:left="567" w:hanging="567"/>
        <w:jc w:val="both"/>
        <w:rPr>
          <w:sz w:val="22"/>
        </w:rPr>
      </w:pPr>
      <w:r w:rsidRPr="002E37F5">
        <w:rPr>
          <w:sz w:val="22"/>
        </w:rPr>
        <w:t>Paul Barnett – Cristal (Chemicals)</w:t>
      </w:r>
    </w:p>
    <w:p w14:paraId="4FAE0B25" w14:textId="77777777" w:rsidR="002E37F5" w:rsidRPr="002E37F5" w:rsidRDefault="002E37F5" w:rsidP="00C93734">
      <w:pPr>
        <w:pStyle w:val="NormalNoSpace"/>
        <w:numPr>
          <w:ilvl w:val="6"/>
          <w:numId w:val="64"/>
        </w:numPr>
        <w:ind w:left="567" w:hanging="567"/>
        <w:jc w:val="both"/>
        <w:rPr>
          <w:sz w:val="22"/>
        </w:rPr>
      </w:pPr>
      <w:r w:rsidRPr="002E37F5">
        <w:rPr>
          <w:sz w:val="22"/>
        </w:rPr>
        <w:t>Chris Duffill – North East Lincolnshire Council (all)</w:t>
      </w:r>
    </w:p>
    <w:p w14:paraId="62EE5FA2" w14:textId="77777777" w:rsidR="002E37F5" w:rsidRPr="00F56AD6" w:rsidRDefault="002E37F5" w:rsidP="00C93734">
      <w:pPr>
        <w:pStyle w:val="NormalNoSpace"/>
        <w:numPr>
          <w:ilvl w:val="6"/>
          <w:numId w:val="64"/>
        </w:numPr>
        <w:ind w:left="567" w:hanging="567"/>
        <w:jc w:val="both"/>
      </w:pPr>
      <w:r w:rsidRPr="00DF4291">
        <w:rPr>
          <w:sz w:val="22"/>
        </w:rPr>
        <w:t>E-factor – Mark Webb (all)</w:t>
      </w:r>
    </w:p>
    <w:p w14:paraId="6DD7B7D8" w14:textId="77777777" w:rsidR="00F56AD6" w:rsidRPr="00F56AD6" w:rsidRDefault="00F56AD6" w:rsidP="00C93734">
      <w:pPr>
        <w:pStyle w:val="NormalNoSpace"/>
        <w:numPr>
          <w:ilvl w:val="6"/>
          <w:numId w:val="64"/>
        </w:numPr>
        <w:ind w:left="567" w:hanging="567"/>
        <w:jc w:val="both"/>
      </w:pPr>
      <w:r>
        <w:rPr>
          <w:sz w:val="22"/>
        </w:rPr>
        <w:t>Lawrence Brown – Commercial Property Group</w:t>
      </w:r>
    </w:p>
    <w:p w14:paraId="07B4CC30" w14:textId="77777777" w:rsidR="00F56AD6" w:rsidRPr="00F56AD6" w:rsidRDefault="00F56AD6" w:rsidP="00C93734">
      <w:pPr>
        <w:pStyle w:val="NormalNoSpace"/>
        <w:numPr>
          <w:ilvl w:val="6"/>
          <w:numId w:val="64"/>
        </w:numPr>
        <w:ind w:left="567" w:hanging="567"/>
        <w:jc w:val="both"/>
      </w:pPr>
      <w:r>
        <w:rPr>
          <w:sz w:val="22"/>
        </w:rPr>
        <w:t>Liz Parry</w:t>
      </w:r>
    </w:p>
    <w:p w14:paraId="3E0A0483" w14:textId="77777777" w:rsidR="00F56AD6" w:rsidRPr="00DF4291" w:rsidRDefault="00F56AD6" w:rsidP="00C93734">
      <w:pPr>
        <w:pStyle w:val="NormalNoSpace"/>
        <w:numPr>
          <w:ilvl w:val="6"/>
          <w:numId w:val="64"/>
        </w:numPr>
        <w:ind w:left="567" w:hanging="567"/>
        <w:jc w:val="both"/>
      </w:pPr>
      <w:r>
        <w:rPr>
          <w:sz w:val="22"/>
        </w:rPr>
        <w:t>Julia Thompson – East Coast Pictures</w:t>
      </w:r>
    </w:p>
    <w:p w14:paraId="215BDC79" w14:textId="77777777" w:rsidR="00DF4291" w:rsidRDefault="00DF4291" w:rsidP="00DF4291">
      <w:pPr>
        <w:pStyle w:val="NormalNoSpace"/>
        <w:ind w:left="567"/>
        <w:jc w:val="both"/>
        <w:rPr>
          <w:sz w:val="22"/>
        </w:rPr>
      </w:pPr>
    </w:p>
    <w:p w14:paraId="5C25E15A" w14:textId="77777777" w:rsidR="00DF4291" w:rsidRDefault="00DF4291" w:rsidP="00DF4291">
      <w:pPr>
        <w:pStyle w:val="NormalNoSpace"/>
        <w:ind w:left="567"/>
        <w:jc w:val="both"/>
      </w:pPr>
      <w:r>
        <w:rPr>
          <w:sz w:val="22"/>
        </w:rPr>
        <w:t>Remove Persons when disseminated publicly.</w:t>
      </w:r>
    </w:p>
    <w:p w14:paraId="344319E7" w14:textId="77777777" w:rsidR="00DF4291" w:rsidRPr="00DF4291" w:rsidRDefault="00DF4291" w:rsidP="00DF4291">
      <w:pPr>
        <w:pStyle w:val="Heading6"/>
        <w:numPr>
          <w:ilvl w:val="0"/>
          <w:numId w:val="0"/>
        </w:numPr>
        <w:jc w:val="both"/>
        <w:sectPr w:rsidR="00DF4291" w:rsidRPr="00DF4291" w:rsidSect="00091375">
          <w:headerReference w:type="first" r:id="rId86"/>
          <w:pgSz w:w="11906" w:h="16838" w:code="9"/>
          <w:pgMar w:top="964" w:right="1134" w:bottom="964" w:left="1134" w:header="510" w:footer="340" w:gutter="0"/>
          <w:cols w:space="708"/>
          <w:titlePg/>
          <w:docGrid w:linePitch="360"/>
        </w:sectPr>
      </w:pPr>
    </w:p>
    <w:p w14:paraId="0D459574" w14:textId="77777777" w:rsidR="00E33DFA" w:rsidRPr="004B1BF4" w:rsidRDefault="004B1BF4" w:rsidP="00C93734">
      <w:pPr>
        <w:pStyle w:val="NormalNoSpace"/>
        <w:jc w:val="both"/>
        <w:rPr>
          <w:b/>
        </w:rPr>
      </w:pPr>
      <w:bookmarkStart w:id="674" w:name="ContactName"/>
      <w:r w:rsidRPr="004B1BF4">
        <w:rPr>
          <w:b/>
        </w:rPr>
        <w:t>Richard Coburn</w:t>
      </w:r>
      <w:bookmarkEnd w:id="674"/>
    </w:p>
    <w:p w14:paraId="41833126" w14:textId="77777777" w:rsidR="00B54113" w:rsidRPr="0050415C" w:rsidRDefault="00B54113" w:rsidP="00C93734">
      <w:pPr>
        <w:spacing w:after="0"/>
        <w:jc w:val="both"/>
      </w:pPr>
      <w:r w:rsidRPr="0050415C">
        <w:t xml:space="preserve">Euston Tower, </w:t>
      </w:r>
    </w:p>
    <w:p w14:paraId="61014682" w14:textId="77777777" w:rsidR="00B54113" w:rsidRPr="0050415C" w:rsidRDefault="00B54113" w:rsidP="00C93734">
      <w:pPr>
        <w:spacing w:after="0"/>
        <w:jc w:val="both"/>
      </w:pPr>
      <w:r w:rsidRPr="0050415C">
        <w:t xml:space="preserve">286 Euston Rd, </w:t>
      </w:r>
    </w:p>
    <w:p w14:paraId="08FAE2EA" w14:textId="77777777" w:rsidR="00B54113" w:rsidRPr="0050415C" w:rsidRDefault="00B54113" w:rsidP="00C93734">
      <w:pPr>
        <w:spacing w:after="0"/>
        <w:jc w:val="both"/>
      </w:pPr>
      <w:r w:rsidRPr="0050415C">
        <w:t xml:space="preserve">London </w:t>
      </w:r>
    </w:p>
    <w:p w14:paraId="1BDFDDE3" w14:textId="77777777" w:rsidR="00B54113" w:rsidRPr="0050415C" w:rsidRDefault="00B54113" w:rsidP="00C93734">
      <w:pPr>
        <w:spacing w:after="0"/>
        <w:jc w:val="both"/>
      </w:pPr>
      <w:r w:rsidRPr="0050415C">
        <w:t>NW1 3AD</w:t>
      </w:r>
    </w:p>
    <w:p w14:paraId="76500DC0" w14:textId="77777777" w:rsidR="0032443C" w:rsidRPr="004B1BF4" w:rsidRDefault="0032443C" w:rsidP="00C93734">
      <w:pPr>
        <w:spacing w:after="200" w:line="276" w:lineRule="auto"/>
        <w:jc w:val="both"/>
      </w:pPr>
    </w:p>
    <w:p w14:paraId="782C791B" w14:textId="77777777" w:rsidR="00E33DFA" w:rsidRPr="004B1BF4" w:rsidRDefault="004B1BF4" w:rsidP="00C93734">
      <w:pPr>
        <w:pStyle w:val="NormalNoSpace"/>
        <w:jc w:val="both"/>
        <w:rPr>
          <w:b/>
        </w:rPr>
      </w:pPr>
      <w:bookmarkStart w:id="675" w:name="AtkinsContactInformation"/>
      <w:r w:rsidRPr="004B1BF4">
        <w:rPr>
          <w:b/>
        </w:rPr>
        <w:t>richard.coburn@atkinsglobal.com</w:t>
      </w:r>
      <w:bookmarkEnd w:id="675"/>
    </w:p>
    <w:sectPr w:rsidR="00E33DFA" w:rsidRPr="004B1BF4" w:rsidSect="00B877A8">
      <w:headerReference w:type="default" r:id="rId87"/>
      <w:footerReference w:type="default" r:id="rId88"/>
      <w:headerReference w:type="first" r:id="rId89"/>
      <w:footerReference w:type="first" r:id="rId90"/>
      <w:pgSz w:w="11906" w:h="16838" w:code="9"/>
      <w:pgMar w:top="964" w:right="1134" w:bottom="964" w:left="1134" w:header="51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85FF58" w14:textId="77777777" w:rsidR="003848D8" w:rsidRPr="004B1BF4" w:rsidRDefault="003848D8" w:rsidP="00DC0958">
      <w:pPr>
        <w:spacing w:after="0"/>
      </w:pPr>
      <w:r w:rsidRPr="004B1BF4">
        <w:separator/>
      </w:r>
    </w:p>
  </w:endnote>
  <w:endnote w:type="continuationSeparator" w:id="0">
    <w:p w14:paraId="17220D63" w14:textId="77777777" w:rsidR="003848D8" w:rsidRPr="004B1BF4" w:rsidRDefault="003848D8" w:rsidP="00DC0958">
      <w:pPr>
        <w:spacing w:after="0"/>
      </w:pPr>
      <w:r w:rsidRPr="004B1BF4">
        <w:continuationSeparator/>
      </w:r>
    </w:p>
  </w:endnote>
  <w:endnote w:type="continuationNotice" w:id="1">
    <w:p w14:paraId="0AD81A14" w14:textId="77777777" w:rsidR="003848D8" w:rsidRDefault="003848D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5E779" w14:textId="77777777" w:rsidR="00AA0EF3" w:rsidRPr="004B1BF4" w:rsidRDefault="00AA0EF3" w:rsidP="006E7873">
    <w:pPr>
      <w:pStyle w:val="Footer"/>
    </w:pPr>
  </w:p>
  <w:p w14:paraId="630DDEB4" w14:textId="77777777" w:rsidR="00AA0EF3" w:rsidRPr="004B1BF4" w:rsidRDefault="00AA0EF3" w:rsidP="006E7873">
    <w:pPr>
      <w:pStyle w:val="Footer"/>
    </w:pPr>
  </w:p>
  <w:tbl>
    <w:tblPr>
      <w:tblStyle w:val="TableGrid"/>
      <w:tblW w:w="5000" w:type="pct"/>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4"/>
      <w:gridCol w:w="1984"/>
    </w:tblGrid>
    <w:tr w:rsidR="00AA0EF3" w:rsidRPr="004B1BF4" w14:paraId="2A2EF365" w14:textId="77777777" w:rsidTr="00EA436B">
      <w:tc>
        <w:tcPr>
          <w:tcW w:w="3971" w:type="pct"/>
          <w:vAlign w:val="bottom"/>
        </w:tcPr>
        <w:p w14:paraId="26257FC0" w14:textId="77777777" w:rsidR="00AA0EF3" w:rsidRPr="004B1BF4" w:rsidRDefault="00BE2463" w:rsidP="00002A21">
          <w:pPr>
            <w:pStyle w:val="FooterBold"/>
          </w:pPr>
          <w:fldSimple w:instr=" DOCVARIABLE  Confidential  \* MERGEFORMAT ">
            <w:r w:rsidR="00AA0EF3">
              <w:t xml:space="preserve"> </w:t>
            </w:r>
          </w:fldSimple>
        </w:p>
        <w:p w14:paraId="07A2B2DC" w14:textId="77777777" w:rsidR="00AA0EF3" w:rsidRPr="004B1BF4" w:rsidRDefault="00AA0EF3" w:rsidP="00BF1A6E">
          <w:pPr>
            <w:pStyle w:val="Footer"/>
          </w:pPr>
          <w:r w:rsidRPr="004B1BF4">
            <w:rPr>
              <w:b/>
            </w:rPr>
            <w:t>Atkins</w:t>
          </w:r>
          <w:r w:rsidRPr="004B1BF4">
            <w:t xml:space="preserve">   </w:t>
          </w:r>
          <w:fldSimple w:instr=" DOCVARIABLE  DocFooter  \* MERGEFORMAT ">
            <w:r>
              <w:t>North East Linco</w:t>
            </w:r>
            <w:r w:rsidR="00BF1A6E">
              <w:t>lnshire Sector Study | Version 3</w:t>
            </w:r>
            <w:r>
              <w:t xml:space="preserve">.0 | 26 </w:t>
            </w:r>
            <w:r w:rsidR="00BF1A6E">
              <w:t>July</w:t>
            </w:r>
            <w:r>
              <w:t xml:space="preserve"> 2014 | 5127325</w:t>
            </w:r>
          </w:fldSimple>
        </w:p>
      </w:tc>
      <w:tc>
        <w:tcPr>
          <w:tcW w:w="1029" w:type="pct"/>
          <w:vAlign w:val="bottom"/>
        </w:tcPr>
        <w:p w14:paraId="07B447B1" w14:textId="77777777" w:rsidR="00AA0EF3" w:rsidRPr="004B1BF4" w:rsidRDefault="00AA0EF3" w:rsidP="005625D4">
          <w:pPr>
            <w:pStyle w:val="Footer"/>
            <w:jc w:val="right"/>
            <w:rPr>
              <w:szCs w:val="18"/>
            </w:rPr>
          </w:pPr>
        </w:p>
      </w:tc>
    </w:tr>
  </w:tbl>
  <w:p w14:paraId="663C35F7" w14:textId="77777777" w:rsidR="00AA0EF3" w:rsidRPr="004B1BF4" w:rsidRDefault="00AA0EF3" w:rsidP="005625D4">
    <w:pPr>
      <w:pStyle w:val="Footer"/>
      <w:rPr>
        <w:b/>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05799" w14:textId="77777777" w:rsidR="00AA0EF3" w:rsidRDefault="00AA0EF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1366"/>
      <w:docPartObj>
        <w:docPartGallery w:val="Page Numbers (Bottom of Page)"/>
        <w:docPartUnique/>
      </w:docPartObj>
    </w:sdtPr>
    <w:sdtEndPr/>
    <w:sdtContent>
      <w:p w14:paraId="58C36FAF" w14:textId="77777777" w:rsidR="00AA0EF3" w:rsidRDefault="00BE2463">
        <w:pPr>
          <w:pStyle w:val="Footer"/>
          <w:jc w:val="center"/>
        </w:pPr>
        <w:r>
          <w:fldChar w:fldCharType="begin"/>
        </w:r>
        <w:r>
          <w:instrText xml:space="preserve"> PAGE   \* MERGEFORMAT </w:instrText>
        </w:r>
        <w:r>
          <w:fldChar w:fldCharType="separate"/>
        </w:r>
        <w:r w:rsidR="00BF1A6E">
          <w:rPr>
            <w:noProof/>
          </w:rPr>
          <w:t>121</w:t>
        </w:r>
        <w:r>
          <w:rPr>
            <w:noProof/>
          </w:rPr>
          <w:fldChar w:fldCharType="end"/>
        </w:r>
      </w:p>
    </w:sdtContent>
  </w:sdt>
  <w:p w14:paraId="5CA06F67" w14:textId="77777777" w:rsidR="00AA0EF3" w:rsidRPr="004B1BF4" w:rsidRDefault="00AA0EF3" w:rsidP="005625D4">
    <w:pPr>
      <w:pStyle w:val="Footer"/>
      <w:rPr>
        <w:b/>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18584" w14:textId="77777777" w:rsidR="00AA0EF3" w:rsidRDefault="00AA0EF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64AF6" w14:textId="77777777" w:rsidR="00AA0EF3" w:rsidRPr="004B1BF4" w:rsidRDefault="00AA0EF3" w:rsidP="00E33DF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87BB8" w14:textId="77777777" w:rsidR="00AA0EF3" w:rsidRPr="004B1BF4" w:rsidRDefault="00AA0EF3" w:rsidP="00B877A8">
    <w:pPr>
      <w:pStyle w:val="Footer"/>
    </w:pPr>
    <w:bookmarkStart w:id="676" w:name="AtkinsCopyright"/>
    <w:r w:rsidRPr="004B1BF4">
      <w:t>© Atkins Ltd except where stated otherwise.</w:t>
    </w:r>
    <w:bookmarkEnd w:id="676"/>
  </w:p>
  <w:p w14:paraId="105F0E89" w14:textId="77777777" w:rsidR="00AA0EF3" w:rsidRPr="004B1BF4" w:rsidRDefault="00AA0EF3" w:rsidP="00B877A8">
    <w:pPr>
      <w:pStyle w:val="Footer"/>
    </w:pPr>
  </w:p>
  <w:p w14:paraId="29BD60F2" w14:textId="77777777" w:rsidR="00AA0EF3" w:rsidRPr="004B1BF4" w:rsidRDefault="00AA0EF3" w:rsidP="00B877A8">
    <w:pPr>
      <w:pStyle w:val="Footer"/>
    </w:pPr>
    <w:bookmarkStart w:id="677" w:name="AtkinsCopyrightText"/>
    <w:r w:rsidRPr="004B1BF4">
      <w:t>The Atkins logo, ‘Carbon Critical Design’ and the strapline</w:t>
    </w:r>
    <w:r w:rsidRPr="004B1BF4">
      <w:br/>
      <w:t>‘Plan Design Enable’ are trademarks of Atkins Ltd.</w:t>
    </w:r>
    <w:bookmarkEnd w:id="677"/>
  </w:p>
  <w:p w14:paraId="613CE477" w14:textId="77777777" w:rsidR="00AA0EF3" w:rsidRPr="004B1BF4" w:rsidRDefault="00AA0EF3" w:rsidP="00B877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AE2F2" w14:textId="77777777" w:rsidR="00AA0EF3" w:rsidRDefault="00AA0E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1362"/>
      <w:docPartObj>
        <w:docPartGallery w:val="Page Numbers (Bottom of Page)"/>
        <w:docPartUnique/>
      </w:docPartObj>
    </w:sdtPr>
    <w:sdtEndPr/>
    <w:sdtContent>
      <w:p w14:paraId="1B10732F" w14:textId="77777777" w:rsidR="00AA0EF3" w:rsidRDefault="00BE2463">
        <w:pPr>
          <w:pStyle w:val="Footer"/>
          <w:jc w:val="center"/>
        </w:pPr>
        <w:r>
          <w:fldChar w:fldCharType="begin"/>
        </w:r>
        <w:r>
          <w:instrText xml:space="preserve"> PAGE   \* MERGEFORMAT </w:instrText>
        </w:r>
        <w:r>
          <w:fldChar w:fldCharType="separate"/>
        </w:r>
        <w:r>
          <w:rPr>
            <w:noProof/>
          </w:rPr>
          <w:t>43</w:t>
        </w:r>
        <w:r>
          <w:rPr>
            <w:noProof/>
          </w:rPr>
          <w:fldChar w:fldCharType="end"/>
        </w:r>
      </w:p>
    </w:sdtContent>
  </w:sdt>
  <w:p w14:paraId="611FA19C" w14:textId="77777777" w:rsidR="00AA0EF3" w:rsidRPr="004B1BF4" w:rsidRDefault="00AA0EF3" w:rsidP="005625D4">
    <w:pPr>
      <w:pStyle w:val="Footer"/>
      <w:rPr>
        <w: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81ACE" w14:textId="77777777" w:rsidR="00AA0EF3" w:rsidRDefault="00AA0EF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1363"/>
      <w:docPartObj>
        <w:docPartGallery w:val="Page Numbers (Bottom of Page)"/>
        <w:docPartUnique/>
      </w:docPartObj>
    </w:sdtPr>
    <w:sdtEndPr/>
    <w:sdtContent>
      <w:p w14:paraId="7503D24B" w14:textId="77777777" w:rsidR="00AA0EF3" w:rsidRDefault="00BE2463">
        <w:pPr>
          <w:pStyle w:val="Footer"/>
          <w:jc w:val="center"/>
        </w:pPr>
        <w:r>
          <w:fldChar w:fldCharType="begin"/>
        </w:r>
        <w:r>
          <w:instrText xml:space="preserve"> PAGE   \* MERGEFORMAT </w:instrText>
        </w:r>
        <w:r>
          <w:fldChar w:fldCharType="separate"/>
        </w:r>
        <w:r w:rsidR="00BF1A6E">
          <w:rPr>
            <w:noProof/>
          </w:rPr>
          <w:t>53</w:t>
        </w:r>
        <w:r>
          <w:rPr>
            <w:noProof/>
          </w:rPr>
          <w:fldChar w:fldCharType="end"/>
        </w:r>
      </w:p>
    </w:sdtContent>
  </w:sdt>
  <w:p w14:paraId="2EA772FF" w14:textId="77777777" w:rsidR="00AA0EF3" w:rsidRPr="004B1BF4" w:rsidRDefault="00AA0EF3" w:rsidP="005625D4">
    <w:pPr>
      <w:pStyle w:val="Footer"/>
      <w:rPr>
        <w:b/>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C1D42" w14:textId="77777777" w:rsidR="00AA0EF3" w:rsidRDefault="00AA0EF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1364"/>
      <w:docPartObj>
        <w:docPartGallery w:val="Page Numbers (Bottom of Page)"/>
        <w:docPartUnique/>
      </w:docPartObj>
    </w:sdtPr>
    <w:sdtEndPr/>
    <w:sdtContent>
      <w:p w14:paraId="4D235EDE" w14:textId="77777777" w:rsidR="00AA0EF3" w:rsidRDefault="00BE2463">
        <w:pPr>
          <w:pStyle w:val="Footer"/>
          <w:jc w:val="center"/>
        </w:pPr>
        <w:r>
          <w:fldChar w:fldCharType="begin"/>
        </w:r>
        <w:r>
          <w:instrText xml:space="preserve"> PAGE   \* MERGEFORMAT </w:instrText>
        </w:r>
        <w:r>
          <w:fldChar w:fldCharType="separate"/>
        </w:r>
        <w:r w:rsidR="00BF1A6E">
          <w:rPr>
            <w:noProof/>
          </w:rPr>
          <w:t>66</w:t>
        </w:r>
        <w:r>
          <w:rPr>
            <w:noProof/>
          </w:rPr>
          <w:fldChar w:fldCharType="end"/>
        </w:r>
      </w:p>
    </w:sdtContent>
  </w:sdt>
  <w:p w14:paraId="60FB55DE" w14:textId="77777777" w:rsidR="00AA0EF3" w:rsidRPr="004B1BF4" w:rsidRDefault="00AA0EF3" w:rsidP="005625D4">
    <w:pPr>
      <w:pStyle w:val="Footer"/>
      <w:rPr>
        <w:b/>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8B15A" w14:textId="77777777" w:rsidR="00AA0EF3" w:rsidRDefault="00AA0EF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1365"/>
      <w:docPartObj>
        <w:docPartGallery w:val="Page Numbers (Bottom of Page)"/>
        <w:docPartUnique/>
      </w:docPartObj>
    </w:sdtPr>
    <w:sdtEndPr/>
    <w:sdtContent>
      <w:p w14:paraId="3BA640B5" w14:textId="77777777" w:rsidR="00AA0EF3" w:rsidRDefault="00BE2463">
        <w:pPr>
          <w:pStyle w:val="Footer"/>
          <w:jc w:val="center"/>
        </w:pPr>
        <w:r>
          <w:fldChar w:fldCharType="begin"/>
        </w:r>
        <w:r>
          <w:instrText xml:space="preserve"> PAGE   \* MERGEFORMAT </w:instrText>
        </w:r>
        <w:r>
          <w:fldChar w:fldCharType="separate"/>
        </w:r>
        <w:r w:rsidR="00BF1A6E">
          <w:rPr>
            <w:noProof/>
          </w:rPr>
          <w:t>75</w:t>
        </w:r>
        <w:r>
          <w:rPr>
            <w:noProof/>
          </w:rPr>
          <w:fldChar w:fldCharType="end"/>
        </w:r>
      </w:p>
    </w:sdtContent>
  </w:sdt>
  <w:p w14:paraId="740D3C36" w14:textId="77777777" w:rsidR="00AA0EF3" w:rsidRPr="004B1BF4" w:rsidRDefault="00AA0EF3" w:rsidP="005625D4">
    <w:pPr>
      <w:pStyle w:val="Foo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17EE51" w14:textId="77777777" w:rsidR="003848D8" w:rsidRPr="004B1BF4" w:rsidRDefault="003848D8" w:rsidP="00DC0958">
      <w:pPr>
        <w:spacing w:after="0"/>
      </w:pPr>
      <w:r w:rsidRPr="004B1BF4">
        <w:separator/>
      </w:r>
    </w:p>
  </w:footnote>
  <w:footnote w:type="continuationSeparator" w:id="0">
    <w:p w14:paraId="384BE369" w14:textId="77777777" w:rsidR="003848D8" w:rsidRPr="004B1BF4" w:rsidRDefault="003848D8" w:rsidP="00DC0958">
      <w:pPr>
        <w:spacing w:after="0"/>
      </w:pPr>
      <w:r w:rsidRPr="004B1BF4">
        <w:continuationSeparator/>
      </w:r>
    </w:p>
  </w:footnote>
  <w:footnote w:type="continuationNotice" w:id="1">
    <w:p w14:paraId="492419A0" w14:textId="77777777" w:rsidR="003848D8" w:rsidRDefault="003848D8">
      <w:pPr>
        <w:spacing w:after="0"/>
      </w:pPr>
    </w:p>
  </w:footnote>
  <w:footnote w:id="2">
    <w:p w14:paraId="347B88CB" w14:textId="77777777" w:rsidR="00AA0EF3" w:rsidRDefault="00AA0EF3" w:rsidP="00C55C7C">
      <w:pPr>
        <w:pStyle w:val="FootnoteText"/>
      </w:pPr>
      <w:r w:rsidRPr="00436315">
        <w:rPr>
          <w:rStyle w:val="FootnoteReference"/>
          <w:sz w:val="16"/>
        </w:rPr>
        <w:footnoteRef/>
      </w:r>
      <w:r w:rsidRPr="00436315">
        <w:rPr>
          <w:sz w:val="16"/>
        </w:rPr>
        <w:t xml:space="preserve"> At time of writing only a few enterprise zones ha</w:t>
      </w:r>
      <w:r>
        <w:rPr>
          <w:sz w:val="16"/>
        </w:rPr>
        <w:t xml:space="preserve">ve secured </w:t>
      </w:r>
      <w:r w:rsidRPr="00436315">
        <w:rPr>
          <w:sz w:val="16"/>
        </w:rPr>
        <w:t>enhanced capital allowances for companies.</w:t>
      </w:r>
    </w:p>
  </w:footnote>
  <w:footnote w:id="3">
    <w:p w14:paraId="023BB65B" w14:textId="77777777" w:rsidR="00AA0EF3" w:rsidRDefault="00AA0EF3">
      <w:pPr>
        <w:pStyle w:val="FootnoteText"/>
      </w:pPr>
      <w:r>
        <w:rPr>
          <w:rStyle w:val="FootnoteReference"/>
        </w:rPr>
        <w:footnoteRef/>
      </w:r>
      <w:r>
        <w:t xml:space="preserve"> </w:t>
      </w:r>
      <w:hyperlink r:id="rId1" w:history="1">
        <w:r w:rsidRPr="00E42F51">
          <w:rPr>
            <w:rStyle w:val="Hyperlink"/>
            <w:sz w:val="16"/>
          </w:rPr>
          <w:t>http://www.abports.co.uk/Our_Locations/Grimsby_Immingham/Grimsby/</w:t>
        </w:r>
      </w:hyperlink>
      <w:r>
        <w:rPr>
          <w:rStyle w:val="Hyperlink"/>
          <w:sz w:val="16"/>
        </w:rPr>
        <w:t xml:space="preserve"> </w:t>
      </w:r>
    </w:p>
  </w:footnote>
  <w:footnote w:id="4">
    <w:p w14:paraId="47CF7608" w14:textId="77777777" w:rsidR="00AA0EF3" w:rsidRDefault="00AA0EF3">
      <w:r>
        <w:rPr>
          <w:rStyle w:val="FootnoteReference"/>
        </w:rPr>
        <w:footnoteRef/>
      </w:r>
      <w:r>
        <w:t xml:space="preserve"> </w:t>
      </w:r>
      <w:hyperlink r:id="rId2" w:history="1">
        <w:r w:rsidRPr="00405AA8">
          <w:rPr>
            <w:rStyle w:val="Hyperlink"/>
          </w:rPr>
          <w:t>http://consult.nelincs.gov.uk/portal/localdevelopmentplans/cs/corestrategyrpo?pointId=1207924352226</w:t>
        </w:r>
      </w:hyperlink>
    </w:p>
  </w:footnote>
  <w:footnote w:id="5">
    <w:p w14:paraId="7CEFFADB" w14:textId="77777777" w:rsidR="00AA0EF3" w:rsidRDefault="00AA0EF3" w:rsidP="00121516">
      <w:pPr>
        <w:pStyle w:val="FootnoteText"/>
      </w:pPr>
      <w:r w:rsidRPr="00B50AD0">
        <w:rPr>
          <w:rStyle w:val="FootnoteReference"/>
          <w:sz w:val="16"/>
        </w:rPr>
        <w:footnoteRef/>
      </w:r>
      <w:r w:rsidRPr="00B50AD0">
        <w:rPr>
          <w:sz w:val="16"/>
        </w:rPr>
        <w:t xml:space="preserve"> </w:t>
      </w:r>
      <w:r>
        <w:rPr>
          <w:sz w:val="16"/>
        </w:rPr>
        <w:t xml:space="preserve">Although </w:t>
      </w:r>
      <w:r w:rsidRPr="00B50AD0">
        <w:rPr>
          <w:sz w:val="16"/>
        </w:rPr>
        <w:t xml:space="preserve">Grimsby Institute of Further &amp; Higher Education </w:t>
      </w:r>
      <w:r>
        <w:rPr>
          <w:sz w:val="16"/>
        </w:rPr>
        <w:t>and other colleges in North Lincolnshire offer</w:t>
      </w:r>
      <w:r w:rsidRPr="00B50AD0">
        <w:rPr>
          <w:sz w:val="16"/>
        </w:rPr>
        <w:t xml:space="preserve"> university courses</w:t>
      </w:r>
      <w:r>
        <w:rPr>
          <w:sz w:val="16"/>
        </w:rPr>
        <w:t xml:space="preserve">, this is through a ‘Higher Education in Further Education’ model which is more selective of the courses on offer and </w:t>
      </w:r>
      <w:r w:rsidRPr="00B50AD0">
        <w:rPr>
          <w:sz w:val="16"/>
        </w:rPr>
        <w:t>is far smaller than Hull and Lincoln University’s course offer.</w:t>
      </w:r>
      <w:r>
        <w:rPr>
          <w:sz w:val="16"/>
        </w:rPr>
        <w:t xml:space="preserve"> There is also less research funding and opportunities for progression. However, the ‘HE in FE’ model does have significant advantages including; lower costs, more vocational focus and attracting more people from diverse backgrounds.</w:t>
      </w:r>
    </w:p>
  </w:footnote>
  <w:footnote w:id="6">
    <w:p w14:paraId="1D778E42" w14:textId="77777777" w:rsidR="00AA0EF3" w:rsidRDefault="00AA0EF3" w:rsidP="003D7BD5">
      <w:pPr>
        <w:pStyle w:val="FootnoteText"/>
      </w:pPr>
      <w:r w:rsidRPr="007D52CD">
        <w:rPr>
          <w:rStyle w:val="FootnoteReference"/>
          <w:sz w:val="16"/>
        </w:rPr>
        <w:footnoteRef/>
      </w:r>
      <w:r w:rsidRPr="007D52CD">
        <w:rPr>
          <w:sz w:val="16"/>
        </w:rPr>
        <w:t xml:space="preserve"> See North East Lincolnshire STEAM </w:t>
      </w:r>
      <w:r>
        <w:rPr>
          <w:sz w:val="16"/>
        </w:rPr>
        <w:t xml:space="preserve">2012 </w:t>
      </w:r>
      <w:r w:rsidRPr="007D52CD">
        <w:rPr>
          <w:sz w:val="16"/>
        </w:rPr>
        <w:t>Report.</w:t>
      </w:r>
    </w:p>
  </w:footnote>
  <w:footnote w:id="7">
    <w:p w14:paraId="0E9946A2" w14:textId="77777777" w:rsidR="00AA0EF3" w:rsidRPr="001D1A46" w:rsidRDefault="00AA0EF3" w:rsidP="008D13BD">
      <w:pPr>
        <w:pStyle w:val="FootnoteText"/>
      </w:pPr>
      <w:r w:rsidRPr="001D1A46">
        <w:rPr>
          <w:rStyle w:val="FootnoteReference"/>
          <w:sz w:val="16"/>
        </w:rPr>
        <w:footnoteRef/>
      </w:r>
      <w:r w:rsidRPr="001D1A46">
        <w:rPr>
          <w:sz w:val="16"/>
        </w:rPr>
        <w:t xml:space="preserve"> </w:t>
      </w:r>
      <w:hyperlink r:id="rId3" w:history="1">
        <w:r w:rsidRPr="001D1A46">
          <w:rPr>
            <w:color w:val="0000FF"/>
            <w:sz w:val="16"/>
            <w:szCs w:val="22"/>
            <w:u w:val="single"/>
          </w:rPr>
          <w:t>http://www.ukces.org.uk/news/press-releases/2014/jan/skills-shortages-accelerate</w:t>
        </w:r>
      </w:hyperlink>
    </w:p>
  </w:footnote>
  <w:footnote w:id="8">
    <w:p w14:paraId="2937615C" w14:textId="77777777" w:rsidR="00AA0EF3" w:rsidRDefault="00AA0EF3" w:rsidP="00E168E4">
      <w:r>
        <w:rPr>
          <w:rStyle w:val="FootnoteReference"/>
        </w:rPr>
        <w:footnoteRef/>
      </w:r>
      <w:r>
        <w:t xml:space="preserve"> IDBR 2013: </w:t>
      </w:r>
      <w:r w:rsidRPr="00A019A4">
        <w:rPr>
          <w:b/>
        </w:rPr>
        <w:t>Direct employment</w:t>
      </w:r>
      <w:r>
        <w:t xml:space="preserve"> refers to</w:t>
      </w:r>
      <w:r w:rsidRPr="00A019A4">
        <w:t xml:space="preserve"> </w:t>
      </w:r>
      <w:r>
        <w:t>on-site employment. Indirect employment relates to the employment supported through the supply chain which is depending on direct activities.  Induced employment measures the number of jobs supported in the wider economy through the expenditure of income earned by  those in direct and indirect jobs.</w:t>
      </w:r>
    </w:p>
  </w:footnote>
  <w:footnote w:id="9">
    <w:p w14:paraId="4C9EDC37" w14:textId="77777777" w:rsidR="00AA0EF3" w:rsidRDefault="00AA0EF3">
      <w:pPr>
        <w:pStyle w:val="FootnoteText"/>
      </w:pPr>
      <w:r w:rsidRPr="00C13825">
        <w:rPr>
          <w:rStyle w:val="FootnoteReference"/>
          <w:sz w:val="16"/>
        </w:rPr>
        <w:footnoteRef/>
      </w:r>
      <w:r w:rsidRPr="00C13825">
        <w:rPr>
          <w:sz w:val="16"/>
        </w:rPr>
        <w:t xml:space="preserve"> </w:t>
      </w:r>
      <w:hyperlink r:id="rId4" w:history="1">
        <w:r w:rsidRPr="00C13825">
          <w:rPr>
            <w:color w:val="0000FF"/>
            <w:sz w:val="16"/>
            <w:szCs w:val="22"/>
            <w:u w:val="single"/>
          </w:rPr>
          <w:t>http://www.abports.co.uk/admin/content/files/Port%20of%20Immingham%20Master%20Plan%202010%20-2030.pdf</w:t>
        </w:r>
      </w:hyperlink>
    </w:p>
  </w:footnote>
  <w:footnote w:id="10">
    <w:p w14:paraId="05730300" w14:textId="77777777" w:rsidR="00AA0EF3" w:rsidRPr="00C40C4F" w:rsidRDefault="00AA0EF3" w:rsidP="00015AA7">
      <w:pPr>
        <w:spacing w:after="0"/>
        <w:rPr>
          <w:sz w:val="16"/>
          <w:szCs w:val="16"/>
        </w:rPr>
      </w:pPr>
      <w:r w:rsidRPr="00C40C4F">
        <w:rPr>
          <w:rStyle w:val="FootnoteReference"/>
          <w:sz w:val="16"/>
          <w:szCs w:val="16"/>
        </w:rPr>
        <w:footnoteRef/>
      </w:r>
      <w:r w:rsidRPr="00C40C4F">
        <w:rPr>
          <w:sz w:val="16"/>
          <w:szCs w:val="16"/>
        </w:rPr>
        <w:t xml:space="preserve"> </w:t>
      </w:r>
      <w:r w:rsidRPr="00C40C4F">
        <w:rPr>
          <w:rFonts w:cs="Arial"/>
          <w:sz w:val="16"/>
          <w:szCs w:val="16"/>
        </w:rPr>
        <w:t xml:space="preserve">The private ownership model found at Grimsby and Immingham (and most UK </w:t>
      </w:r>
      <w:r>
        <w:rPr>
          <w:rFonts w:cs="Arial"/>
          <w:sz w:val="16"/>
          <w:szCs w:val="16"/>
        </w:rPr>
        <w:t>p</w:t>
      </w:r>
      <w:r w:rsidRPr="00C40C4F">
        <w:rPr>
          <w:rFonts w:cs="Arial"/>
          <w:sz w:val="16"/>
          <w:szCs w:val="16"/>
        </w:rPr>
        <w:t>orts) is in contrast to the</w:t>
      </w:r>
      <w:r>
        <w:rPr>
          <w:rFonts w:cs="Arial"/>
          <w:sz w:val="16"/>
          <w:szCs w:val="16"/>
        </w:rPr>
        <w:t xml:space="preserve"> majority of</w:t>
      </w:r>
      <w:r w:rsidRPr="00C40C4F">
        <w:rPr>
          <w:rFonts w:cs="Arial"/>
          <w:sz w:val="16"/>
          <w:szCs w:val="16"/>
        </w:rPr>
        <w:t xml:space="preserve"> ownership arrangements found in Europe where the harbour authority functions are often retained by a public-sector organisation. Across several large European ports such as Antwerp and Rotterdam, a public body retains the harbour authority functions and downstream operators often lease facilities from the public body. In the UK</w:t>
      </w:r>
      <w:r>
        <w:rPr>
          <w:rFonts w:cs="Arial"/>
          <w:sz w:val="16"/>
          <w:szCs w:val="16"/>
        </w:rPr>
        <w:t>,</w:t>
      </w:r>
      <w:r w:rsidRPr="00C40C4F">
        <w:rPr>
          <w:rFonts w:cs="Arial"/>
          <w:sz w:val="16"/>
          <w:szCs w:val="16"/>
        </w:rPr>
        <w:t xml:space="preserve"> </w:t>
      </w:r>
      <w:r>
        <w:rPr>
          <w:rFonts w:cs="Arial"/>
          <w:sz w:val="16"/>
          <w:szCs w:val="16"/>
        </w:rPr>
        <w:t>p</w:t>
      </w:r>
      <w:r w:rsidRPr="00C40C4F">
        <w:rPr>
          <w:rFonts w:cs="Arial"/>
          <w:sz w:val="16"/>
          <w:szCs w:val="16"/>
        </w:rPr>
        <w:t>orts like those on the Humber tend to be vertically integrated between port ownership and harbour</w:t>
      </w:r>
      <w:r>
        <w:rPr>
          <w:rFonts w:cs="Arial"/>
          <w:sz w:val="16"/>
          <w:szCs w:val="16"/>
        </w:rPr>
        <w:t xml:space="preserve"> operation. Competition exists at</w:t>
      </w:r>
      <w:r w:rsidRPr="00C40C4F">
        <w:rPr>
          <w:rFonts w:cs="Arial"/>
          <w:sz w:val="16"/>
          <w:szCs w:val="16"/>
        </w:rPr>
        <w:t xml:space="preserve"> the port services level with multiple tenants on port estate operating a wide range of transport, warehousing and manufacturing services.</w:t>
      </w:r>
    </w:p>
  </w:footnote>
  <w:footnote w:id="11">
    <w:p w14:paraId="2846C263" w14:textId="77777777" w:rsidR="00AA0EF3" w:rsidRDefault="00AA0EF3">
      <w:pPr>
        <w:pStyle w:val="FootnoteText"/>
      </w:pPr>
      <w:r w:rsidRPr="00C40C4F">
        <w:rPr>
          <w:rStyle w:val="FootnoteReference"/>
          <w:sz w:val="16"/>
          <w:szCs w:val="16"/>
        </w:rPr>
        <w:footnoteRef/>
      </w:r>
      <w:r w:rsidRPr="00C40C4F">
        <w:rPr>
          <w:sz w:val="16"/>
          <w:szCs w:val="16"/>
        </w:rPr>
        <w:t xml:space="preserve"> </w:t>
      </w:r>
      <w:hyperlink r:id="rId5" w:history="1">
        <w:r w:rsidRPr="00C40C4F">
          <w:rPr>
            <w:color w:val="0000FF"/>
            <w:sz w:val="16"/>
            <w:szCs w:val="16"/>
            <w:u w:val="single"/>
          </w:rPr>
          <w:t>http://www.oecd.org/daf/competition/sectors/48837794.pdf</w:t>
        </w:r>
      </w:hyperlink>
    </w:p>
  </w:footnote>
  <w:footnote w:id="12">
    <w:p w14:paraId="3D9C09F6" w14:textId="77777777" w:rsidR="00AA0EF3" w:rsidRDefault="00AA0EF3">
      <w:pPr>
        <w:pStyle w:val="FootnoteText"/>
      </w:pPr>
      <w:r>
        <w:rPr>
          <w:rStyle w:val="FootnoteReference"/>
        </w:rPr>
        <w:footnoteRef/>
      </w:r>
      <w:r>
        <w:t xml:space="preserve"> </w:t>
      </w:r>
      <w:hyperlink r:id="rId6" w:history="1">
        <w:r>
          <w:rPr>
            <w:rStyle w:val="Hyperlink"/>
          </w:rPr>
          <w:t>http://ec.europa.eu/environment/air/transport/ships.htm</w:t>
        </w:r>
      </w:hyperlink>
    </w:p>
  </w:footnote>
  <w:footnote w:id="13">
    <w:p w14:paraId="2636EC79" w14:textId="77777777" w:rsidR="00AA0EF3" w:rsidRPr="00380AB4" w:rsidRDefault="00AA0EF3" w:rsidP="00EE7B23">
      <w:pPr>
        <w:pStyle w:val="FootnoteText"/>
        <w:rPr>
          <w:sz w:val="16"/>
          <w:szCs w:val="16"/>
        </w:rPr>
      </w:pPr>
      <w:r w:rsidRPr="00380AB4">
        <w:rPr>
          <w:rStyle w:val="FootnoteReference"/>
          <w:sz w:val="16"/>
          <w:szCs w:val="16"/>
        </w:rPr>
        <w:footnoteRef/>
      </w:r>
      <w:r w:rsidRPr="00380AB4">
        <w:rPr>
          <w:sz w:val="16"/>
          <w:szCs w:val="16"/>
        </w:rPr>
        <w:t xml:space="preserve"> To the extent that Grimsby F.C who play in nearby Cleethorpes are known as the </w:t>
      </w:r>
      <w:r>
        <w:rPr>
          <w:sz w:val="16"/>
          <w:szCs w:val="16"/>
        </w:rPr>
        <w:t>‘</w:t>
      </w:r>
      <w:r w:rsidRPr="00380AB4">
        <w:rPr>
          <w:sz w:val="16"/>
          <w:szCs w:val="16"/>
        </w:rPr>
        <w:t>Mariners</w:t>
      </w:r>
      <w:r>
        <w:rPr>
          <w:sz w:val="16"/>
          <w:szCs w:val="16"/>
        </w:rPr>
        <w:t>’</w:t>
      </w:r>
      <w:r w:rsidRPr="00380AB4">
        <w:rPr>
          <w:sz w:val="16"/>
          <w:szCs w:val="16"/>
        </w:rPr>
        <w:t xml:space="preserve"> and many visitor attractions</w:t>
      </w:r>
      <w:r>
        <w:rPr>
          <w:sz w:val="16"/>
          <w:szCs w:val="16"/>
        </w:rPr>
        <w:t xml:space="preserve"> (e.g. Fishing heritage Centre) </w:t>
      </w:r>
      <w:r w:rsidRPr="00380AB4">
        <w:rPr>
          <w:sz w:val="16"/>
          <w:szCs w:val="16"/>
        </w:rPr>
        <w:t xml:space="preserve">and cultural events </w:t>
      </w:r>
      <w:r>
        <w:rPr>
          <w:sz w:val="16"/>
          <w:szCs w:val="16"/>
        </w:rPr>
        <w:t xml:space="preserve">(Grimsby Fish Festival at Freshnay Place) </w:t>
      </w:r>
      <w:r w:rsidRPr="00380AB4">
        <w:rPr>
          <w:sz w:val="16"/>
          <w:szCs w:val="16"/>
        </w:rPr>
        <w:t xml:space="preserve">are linked to the </w:t>
      </w:r>
      <w:r>
        <w:rPr>
          <w:sz w:val="16"/>
          <w:szCs w:val="16"/>
        </w:rPr>
        <w:t xml:space="preserve">fish processing and historic </w:t>
      </w:r>
      <w:r w:rsidRPr="00380AB4">
        <w:rPr>
          <w:sz w:val="16"/>
          <w:szCs w:val="16"/>
        </w:rPr>
        <w:t>fishing industry.</w:t>
      </w:r>
    </w:p>
  </w:footnote>
  <w:footnote w:id="14">
    <w:p w14:paraId="241AAA16" w14:textId="77777777" w:rsidR="00AA0EF3" w:rsidRPr="00380AB4" w:rsidRDefault="00AA0EF3">
      <w:pPr>
        <w:pStyle w:val="FootnoteText"/>
        <w:rPr>
          <w:sz w:val="16"/>
          <w:szCs w:val="16"/>
        </w:rPr>
      </w:pPr>
      <w:r w:rsidRPr="00380AB4">
        <w:rPr>
          <w:rStyle w:val="FootnoteReference"/>
          <w:sz w:val="16"/>
          <w:szCs w:val="16"/>
        </w:rPr>
        <w:footnoteRef/>
      </w:r>
      <w:r w:rsidRPr="00380AB4">
        <w:rPr>
          <w:sz w:val="16"/>
          <w:szCs w:val="16"/>
        </w:rPr>
        <w:t xml:space="preserve"> </w:t>
      </w:r>
      <w:hyperlink r:id="rId7" w:history="1">
        <w:r w:rsidRPr="00380AB4">
          <w:rPr>
            <w:rStyle w:val="Hyperlink"/>
            <w:sz w:val="16"/>
            <w:szCs w:val="16"/>
          </w:rPr>
          <w:t>http://www.seafish.org/research--economics/industry-economics/processing-sector-statistics</w:t>
        </w:r>
      </w:hyperlink>
    </w:p>
  </w:footnote>
  <w:footnote w:id="15">
    <w:p w14:paraId="2DFBD673" w14:textId="77777777" w:rsidR="00AA0EF3" w:rsidRDefault="00AA0EF3" w:rsidP="00F5463F">
      <w:pPr>
        <w:pStyle w:val="FootnoteText"/>
      </w:pPr>
      <w:r>
        <w:rPr>
          <w:rStyle w:val="FootnoteReference"/>
        </w:rPr>
        <w:footnoteRef/>
      </w:r>
      <w:r>
        <w:t xml:space="preserve"> IDBR 2013</w:t>
      </w:r>
    </w:p>
  </w:footnote>
  <w:footnote w:id="16">
    <w:p w14:paraId="315EC60E" w14:textId="77777777" w:rsidR="00AA0EF3" w:rsidRDefault="00AA0EF3" w:rsidP="00306CF8">
      <w:pPr>
        <w:pStyle w:val="FootnoteText"/>
      </w:pPr>
      <w:r w:rsidRPr="009C52E2">
        <w:rPr>
          <w:rStyle w:val="FootnoteReference"/>
          <w:sz w:val="16"/>
          <w:szCs w:val="16"/>
        </w:rPr>
        <w:footnoteRef/>
      </w:r>
      <w:r w:rsidRPr="009C52E2">
        <w:rPr>
          <w:sz w:val="16"/>
          <w:szCs w:val="16"/>
        </w:rPr>
        <w:t xml:space="preserve"> </w:t>
      </w:r>
      <w:hyperlink r:id="rId8" w:history="1">
        <w:r w:rsidRPr="009C52E2">
          <w:rPr>
            <w:rStyle w:val="Hyperlink"/>
            <w:sz w:val="16"/>
            <w:szCs w:val="16"/>
          </w:rPr>
          <w:t>https://www.gov.uk/government/uploads/system/uploads/attachment_data/file/227259/9643-BIS-UK_Agri_Tech_Strategy_Accessible.pdf</w:t>
        </w:r>
      </w:hyperlink>
    </w:p>
  </w:footnote>
  <w:footnote w:id="17">
    <w:p w14:paraId="1BE0DD7B" w14:textId="77777777" w:rsidR="00AA0EF3" w:rsidRDefault="00AA0EF3" w:rsidP="008C5751">
      <w:pPr>
        <w:pStyle w:val="FootnoteText"/>
      </w:pPr>
      <w:r w:rsidRPr="00DD3B88">
        <w:rPr>
          <w:rStyle w:val="FootnoteReference"/>
          <w:sz w:val="16"/>
        </w:rPr>
        <w:footnoteRef/>
      </w:r>
      <w:r w:rsidRPr="00DD3B88">
        <w:rPr>
          <w:sz w:val="16"/>
        </w:rPr>
        <w:t xml:space="preserve"> </w:t>
      </w:r>
      <w:hyperlink r:id="rId9" w:history="1">
        <w:r w:rsidRPr="00DD3B88">
          <w:rPr>
            <w:rStyle w:val="Hyperlink"/>
            <w:sz w:val="16"/>
          </w:rPr>
          <w:t>http://www.marinemanagement.org.uk/fisheries/funding/index.htm</w:t>
        </w:r>
      </w:hyperlink>
    </w:p>
  </w:footnote>
  <w:footnote w:id="18">
    <w:p w14:paraId="1C9D7BB9" w14:textId="77777777" w:rsidR="00AA0EF3" w:rsidRDefault="00AA0EF3" w:rsidP="00F5463F">
      <w:pPr>
        <w:pStyle w:val="FootnoteText"/>
      </w:pPr>
      <w:r>
        <w:rPr>
          <w:rStyle w:val="FootnoteReference"/>
        </w:rPr>
        <w:footnoteRef/>
      </w:r>
      <w:r>
        <w:t xml:space="preserve"> IDBR 2013</w:t>
      </w:r>
    </w:p>
  </w:footnote>
  <w:footnote w:id="19">
    <w:p w14:paraId="60A018FC" w14:textId="77777777" w:rsidR="00AA0EF3" w:rsidRPr="009C52E2" w:rsidRDefault="00AA0EF3" w:rsidP="006059F8">
      <w:pPr>
        <w:pStyle w:val="FootnoteText"/>
        <w:rPr>
          <w:sz w:val="16"/>
          <w:szCs w:val="16"/>
        </w:rPr>
      </w:pPr>
      <w:r w:rsidRPr="009C52E2">
        <w:rPr>
          <w:rFonts w:cs="Arial"/>
          <w:szCs w:val="22"/>
          <w:vertAlign w:val="superscript"/>
        </w:rPr>
        <w:footnoteRef/>
      </w:r>
      <w:r w:rsidRPr="009C52E2">
        <w:rPr>
          <w:rFonts w:cs="Arial"/>
          <w:szCs w:val="22"/>
          <w:vertAlign w:val="superscript"/>
        </w:rPr>
        <w:t xml:space="preserve"> </w:t>
      </w:r>
      <w:r w:rsidRPr="009C52E2">
        <w:rPr>
          <w:rFonts w:cs="Arial"/>
          <w:sz w:val="16"/>
          <w:szCs w:val="16"/>
        </w:rPr>
        <w:t>http://www.commercialtraining.co.uk/The-UKs-Energy-Estuary.php</w:t>
      </w:r>
    </w:p>
  </w:footnote>
  <w:footnote w:id="20">
    <w:p w14:paraId="78EB5EE6" w14:textId="77777777" w:rsidR="00AA0EF3" w:rsidRPr="00612E42" w:rsidRDefault="00AA0EF3">
      <w:pPr>
        <w:pStyle w:val="FootnoteText"/>
      </w:pPr>
      <w:r>
        <w:rPr>
          <w:rStyle w:val="FootnoteReference"/>
        </w:rPr>
        <w:footnoteRef/>
      </w:r>
      <w:r>
        <w:t xml:space="preserve"> Department of Energy and Climate Change, 2013. </w:t>
      </w:r>
      <w:r>
        <w:rPr>
          <w:i/>
        </w:rPr>
        <w:t>UK Renewable Energy Roadmap Update 2013</w:t>
      </w:r>
      <w:r>
        <w:t xml:space="preserve">. </w:t>
      </w:r>
    </w:p>
  </w:footnote>
  <w:footnote w:id="21">
    <w:p w14:paraId="78A49836" w14:textId="77777777" w:rsidR="00AA0EF3" w:rsidRDefault="00AA0EF3" w:rsidP="00C535C6">
      <w:r w:rsidRPr="008910F3">
        <w:rPr>
          <w:rStyle w:val="FootnoteReference"/>
          <w:sz w:val="16"/>
        </w:rPr>
        <w:footnoteRef/>
      </w:r>
      <w:r w:rsidRPr="008910F3">
        <w:rPr>
          <w:sz w:val="16"/>
        </w:rPr>
        <w:t xml:space="preserve"> Using data from Energy and Utility Skills, RenewableUK and UKCES, in 2012, the energy sector employed 473,000 people within the UK, whilst the Renewables industry employed 34,380 jobs (7.3% of all energy jobs). There are no similar research figures on firm numbers.</w:t>
      </w:r>
    </w:p>
  </w:footnote>
  <w:footnote w:id="22">
    <w:p w14:paraId="5D7036CB" w14:textId="77777777" w:rsidR="00AA0EF3" w:rsidRDefault="00AA0EF3" w:rsidP="00F54736">
      <w:pPr>
        <w:pStyle w:val="FootnoteText"/>
      </w:pPr>
      <w:r>
        <w:rPr>
          <w:rStyle w:val="FootnoteReference"/>
        </w:rPr>
        <w:footnoteRef/>
      </w:r>
      <w:r>
        <w:t xml:space="preserve"> IDBR 2013</w:t>
      </w:r>
    </w:p>
  </w:footnote>
  <w:footnote w:id="23">
    <w:p w14:paraId="34F2E83B" w14:textId="77777777" w:rsidR="00AA0EF3" w:rsidRDefault="00AA0EF3" w:rsidP="00F54736">
      <w:pPr>
        <w:pStyle w:val="FootnoteText"/>
      </w:pPr>
      <w:r>
        <w:rPr>
          <w:rStyle w:val="FootnoteReference"/>
        </w:rPr>
        <w:footnoteRef/>
      </w:r>
      <w:r>
        <w:t xml:space="preserve"> See Humber Sub-Regional Renewable Energy Sector Skills and Training Study (2012) </w:t>
      </w:r>
    </w:p>
  </w:footnote>
  <w:footnote w:id="24">
    <w:p w14:paraId="65C3FB25" w14:textId="77777777" w:rsidR="00AA0EF3" w:rsidRDefault="00AA0EF3">
      <w:pPr>
        <w:pStyle w:val="FootnoteText"/>
      </w:pPr>
      <w:r w:rsidRPr="00A67AE7">
        <w:rPr>
          <w:rStyle w:val="FootnoteReference"/>
          <w:sz w:val="16"/>
        </w:rPr>
        <w:footnoteRef/>
      </w:r>
      <w:r w:rsidRPr="00A67AE7">
        <w:rPr>
          <w:sz w:val="16"/>
        </w:rPr>
        <w:t xml:space="preserve"> </w:t>
      </w:r>
      <w:hyperlink r:id="rId10" w:history="1">
        <w:r w:rsidRPr="00A67AE7">
          <w:rPr>
            <w:rStyle w:val="Hyperlink"/>
            <w:sz w:val="16"/>
          </w:rPr>
          <w:t>https://www.gov.uk/government/uploads/system/uploads/attachment_data/file/243987/bis-13-1092-offshore-wind-industrial-strategy.pdf</w:t>
        </w:r>
      </w:hyperlink>
    </w:p>
  </w:footnote>
  <w:footnote w:id="25">
    <w:p w14:paraId="2A86A0DF" w14:textId="77777777" w:rsidR="00AA0EF3" w:rsidRDefault="00AA0EF3" w:rsidP="00920CBC">
      <w:pPr>
        <w:pStyle w:val="FootnoteText"/>
      </w:pPr>
      <w:r w:rsidRPr="009C52E2">
        <w:rPr>
          <w:rStyle w:val="FootnoteReference"/>
          <w:sz w:val="16"/>
        </w:rPr>
        <w:footnoteRef/>
      </w:r>
      <w:r w:rsidRPr="009C52E2">
        <w:rPr>
          <w:sz w:val="16"/>
        </w:rPr>
        <w:t xml:space="preserve"> </w:t>
      </w:r>
      <w:hyperlink r:id="rId11" w:history="1">
        <w:r w:rsidRPr="009C52E2">
          <w:rPr>
            <w:rStyle w:val="Hyperlink"/>
            <w:sz w:val="16"/>
          </w:rPr>
          <w:t>http://www.scotsman.com/news/environment/scotland-s-offshore-wind-farms-investment-halved-1-3283585</w:t>
        </w:r>
      </w:hyperlink>
    </w:p>
  </w:footnote>
  <w:footnote w:id="26">
    <w:p w14:paraId="09D64A1B" w14:textId="77777777" w:rsidR="00AA0EF3" w:rsidRPr="000645EB" w:rsidRDefault="00AA0EF3" w:rsidP="00113414">
      <w:pPr>
        <w:pStyle w:val="FootnoteText"/>
        <w:rPr>
          <w:sz w:val="16"/>
          <w:szCs w:val="16"/>
        </w:rPr>
      </w:pPr>
      <w:r w:rsidRPr="000645EB">
        <w:rPr>
          <w:rStyle w:val="FootnoteReference"/>
          <w:sz w:val="16"/>
          <w:szCs w:val="16"/>
        </w:rPr>
        <w:footnoteRef/>
      </w:r>
      <w:r w:rsidRPr="000645EB">
        <w:rPr>
          <w:sz w:val="16"/>
          <w:szCs w:val="16"/>
        </w:rPr>
        <w:t xml:space="preserve"> </w:t>
      </w:r>
      <w:hyperlink r:id="rId12" w:history="1">
        <w:r w:rsidRPr="000645EB">
          <w:rPr>
            <w:rStyle w:val="Hyperlink"/>
            <w:sz w:val="16"/>
            <w:szCs w:val="16"/>
          </w:rPr>
          <w:t>http://www.ewea.org/fileadmin/ewea_documents/documents/publications/factsheets/EWEA_FS-employment.pdf</w:t>
        </w:r>
      </w:hyperlink>
    </w:p>
  </w:footnote>
  <w:footnote w:id="27">
    <w:p w14:paraId="7CE59F08" w14:textId="77777777" w:rsidR="00AA0EF3" w:rsidRDefault="00AA0EF3" w:rsidP="00920CBC">
      <w:pPr>
        <w:pStyle w:val="FootnoteText"/>
      </w:pPr>
      <w:r w:rsidRPr="000645EB">
        <w:rPr>
          <w:rStyle w:val="FootnoteReference"/>
          <w:sz w:val="16"/>
          <w:szCs w:val="16"/>
        </w:rPr>
        <w:footnoteRef/>
      </w:r>
      <w:r w:rsidRPr="000645EB">
        <w:rPr>
          <w:sz w:val="16"/>
          <w:szCs w:val="16"/>
        </w:rPr>
        <w:t xml:space="preserve"> </w:t>
      </w:r>
      <w:r w:rsidRPr="000645EB">
        <w:rPr>
          <w:rFonts w:cs="Arial"/>
          <w:sz w:val="16"/>
          <w:szCs w:val="16"/>
        </w:rPr>
        <w:t xml:space="preserve">For example Alstom’s </w:t>
      </w:r>
      <w:r w:rsidRPr="000645EB">
        <w:rPr>
          <w:sz w:val="16"/>
          <w:szCs w:val="16"/>
        </w:rPr>
        <w:t> </w:t>
      </w:r>
      <w:r w:rsidRPr="000645EB">
        <w:rPr>
          <w:rFonts w:cs="Arial"/>
          <w:sz w:val="16"/>
          <w:szCs w:val="16"/>
        </w:rPr>
        <w:t>6-MW Haliade 150 turbine which is sunk to a depth of over 60 metres, a 61 metre tall jacket, a 78 metre tower, a nacelle that stands 100 metres above sea level, and blades that are over 73 metres long. The entire structure is said to weigh around 1,500 tonnes</w:t>
      </w:r>
    </w:p>
  </w:footnote>
  <w:footnote w:id="28">
    <w:p w14:paraId="10130313" w14:textId="77777777" w:rsidR="00AA0EF3" w:rsidRDefault="00AA0EF3">
      <w:r>
        <w:rPr>
          <w:rStyle w:val="FootnoteReference"/>
        </w:rPr>
        <w:footnoteRef/>
      </w:r>
      <w:r>
        <w:t xml:space="preserve"> Renewable UK &amp; The Crown Estate, 2013. </w:t>
      </w:r>
      <w:r>
        <w:rPr>
          <w:i/>
        </w:rPr>
        <w:t xml:space="preserve">Building an Industry. </w:t>
      </w:r>
      <w:hyperlink r:id="rId13" w:history="1">
        <w:r w:rsidRPr="00347DF8">
          <w:rPr>
            <w:rStyle w:val="Hyperlink"/>
          </w:rPr>
          <w:t>http://www.renewableuk.com/en/publications/index.cfm/BAI2013</w:t>
        </w:r>
      </w:hyperlink>
      <w:r>
        <w:rPr>
          <w:i/>
        </w:rPr>
        <w:t xml:space="preserve"> </w:t>
      </w:r>
    </w:p>
  </w:footnote>
  <w:footnote w:id="29">
    <w:p w14:paraId="4469AB78" w14:textId="77777777" w:rsidR="00AA0EF3" w:rsidRDefault="00AA0EF3" w:rsidP="00920CBC">
      <w:pPr>
        <w:pStyle w:val="FootnoteText"/>
      </w:pPr>
      <w:r w:rsidRPr="009C52E2">
        <w:rPr>
          <w:rStyle w:val="FootnoteReference"/>
          <w:sz w:val="16"/>
        </w:rPr>
        <w:footnoteRef/>
      </w:r>
      <w:r w:rsidRPr="009C52E2">
        <w:rPr>
          <w:sz w:val="16"/>
        </w:rPr>
        <w:t xml:space="preserve"> </w:t>
      </w:r>
      <w:hyperlink r:id="rId14" w:history="1">
        <w:r w:rsidRPr="009C52E2">
          <w:rPr>
            <w:rStyle w:val="Hyperlink"/>
            <w:sz w:val="16"/>
          </w:rPr>
          <w:t>http://www.telegraph.co.uk/earth/energy/windpower/10474562/Developers-pull-the-plug-on-one-of-the-worlds-largest-offshore-windfarms.html</w:t>
        </w:r>
      </w:hyperlink>
    </w:p>
  </w:footnote>
  <w:footnote w:id="30">
    <w:p w14:paraId="24E403F2" w14:textId="77777777" w:rsidR="00AA0EF3" w:rsidRDefault="00AA0EF3">
      <w:pPr>
        <w:pStyle w:val="FootnoteText"/>
      </w:pPr>
      <w:r w:rsidRPr="009C52E2">
        <w:rPr>
          <w:rStyle w:val="FootnoteReference"/>
          <w:sz w:val="16"/>
        </w:rPr>
        <w:footnoteRef/>
      </w:r>
      <w:r w:rsidRPr="009C52E2">
        <w:rPr>
          <w:sz w:val="16"/>
        </w:rPr>
        <w:t xml:space="preserve"> </w:t>
      </w:r>
      <w:hyperlink r:id="rId15" w:history="1">
        <w:r w:rsidRPr="009C52E2">
          <w:rPr>
            <w:rStyle w:val="Hyperlink"/>
            <w:sz w:val="16"/>
          </w:rPr>
          <w:t>http://www.visitbritain.org/insightsandstatistics/visitoreconomyfacts/</w:t>
        </w:r>
      </w:hyperlink>
    </w:p>
  </w:footnote>
  <w:footnote w:id="31">
    <w:p w14:paraId="5A781D39" w14:textId="77777777" w:rsidR="00AA0EF3" w:rsidRDefault="00AA0EF3" w:rsidP="00144B5C">
      <w:pPr>
        <w:pStyle w:val="FootnoteText"/>
      </w:pPr>
      <w:r>
        <w:rPr>
          <w:rStyle w:val="FootnoteReference"/>
        </w:rPr>
        <w:footnoteRef/>
      </w:r>
      <w:r>
        <w:t xml:space="preserve"> IDBR 2013</w:t>
      </w:r>
    </w:p>
  </w:footnote>
  <w:footnote w:id="32">
    <w:p w14:paraId="4D060A65" w14:textId="77777777" w:rsidR="00AA0EF3" w:rsidRPr="00237D23" w:rsidRDefault="00AA0EF3" w:rsidP="00553FD5">
      <w:pPr>
        <w:pStyle w:val="FootnoteText"/>
        <w:rPr>
          <w:rFonts w:cs="Arial"/>
        </w:rPr>
      </w:pPr>
      <w:r w:rsidRPr="00237D23">
        <w:rPr>
          <w:rStyle w:val="FootnoteReference"/>
          <w:rFonts w:cs="Arial"/>
          <w:sz w:val="16"/>
        </w:rPr>
        <w:footnoteRef/>
      </w:r>
      <w:r w:rsidRPr="00237D23">
        <w:rPr>
          <w:rFonts w:cs="Arial"/>
          <w:sz w:val="16"/>
        </w:rPr>
        <w:t xml:space="preserve"> </w:t>
      </w:r>
      <w:r>
        <w:rPr>
          <w:rFonts w:cs="Arial"/>
          <w:sz w:val="16"/>
        </w:rPr>
        <w:t>We adopted the average wage for key business activities in the 2007 SIC. Additionally, t</w:t>
      </w:r>
      <w:r w:rsidRPr="00237D23">
        <w:rPr>
          <w:rFonts w:cs="Arial"/>
          <w:sz w:val="16"/>
        </w:rPr>
        <w:t>here is no average wage for</w:t>
      </w:r>
      <w:r>
        <w:rPr>
          <w:rFonts w:cs="Arial"/>
          <w:sz w:val="16"/>
        </w:rPr>
        <w:t xml:space="preserve"> in this for</w:t>
      </w:r>
      <w:r w:rsidRPr="00237D23">
        <w:rPr>
          <w:rFonts w:cs="Arial"/>
          <w:sz w:val="16"/>
        </w:rPr>
        <w:t xml:space="preserve"> Renewables so it has been assumed this is close to the average wage in the UK.</w:t>
      </w:r>
    </w:p>
  </w:footnote>
  <w:footnote w:id="33">
    <w:p w14:paraId="7BC993BD" w14:textId="77777777" w:rsidR="00AA0EF3" w:rsidRPr="001D1A46" w:rsidRDefault="00AA0EF3" w:rsidP="00553FD5">
      <w:pPr>
        <w:pStyle w:val="FootnoteText"/>
      </w:pPr>
      <w:r w:rsidRPr="001D1A46">
        <w:rPr>
          <w:rStyle w:val="FootnoteReference"/>
          <w:sz w:val="16"/>
        </w:rPr>
        <w:footnoteRef/>
      </w:r>
      <w:r w:rsidRPr="001D1A46">
        <w:rPr>
          <w:sz w:val="16"/>
        </w:rPr>
        <w:t xml:space="preserve"> </w:t>
      </w:r>
      <w:hyperlink r:id="rId16" w:history="1">
        <w:r w:rsidRPr="001D1A46">
          <w:rPr>
            <w:color w:val="0000FF"/>
            <w:sz w:val="16"/>
            <w:szCs w:val="22"/>
            <w:u w:val="single"/>
          </w:rPr>
          <w:t>http://www.ukces.org.uk/news/press-releases/2014/jan/skills-shortages-accelerate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F60D2" w14:textId="77777777" w:rsidR="00AA0EF3" w:rsidRPr="00B877A8" w:rsidRDefault="00AA0EF3" w:rsidP="00B877A8">
    <w:pPr>
      <w:pStyle w:val="Header"/>
    </w:pPr>
    <w:r>
      <w:rPr>
        <w:noProof/>
        <w:lang w:eastAsia="en-GB"/>
      </w:rPr>
      <w:drawing>
        <wp:anchor distT="0" distB="0" distL="114300" distR="114300" simplePos="0" relativeHeight="251664896" behindDoc="1" locked="0" layoutInCell="1" allowOverlap="1" wp14:anchorId="7B95ABDE" wp14:editId="37EF6640">
          <wp:simplePos x="0" y="0"/>
          <wp:positionH relativeFrom="page">
            <wp:posOffset>0</wp:posOffset>
          </wp:positionH>
          <wp:positionV relativeFrom="page">
            <wp:posOffset>0</wp:posOffset>
          </wp:positionV>
          <wp:extent cx="7562442" cy="10692130"/>
          <wp:effectExtent l="19050" t="0" r="408" b="0"/>
          <wp:wrapNone/>
          <wp:docPr id="92" name="FrontPag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2442" cy="10692130"/>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9A0C1" w14:textId="77777777" w:rsidR="00AA0EF3" w:rsidRPr="004C787C" w:rsidRDefault="00AA0EF3" w:rsidP="005C36DC">
    <w:pPr>
      <w:pStyle w:val="Header"/>
      <w:rPr>
        <w:b/>
      </w:rPr>
    </w:pPr>
    <w:r w:rsidRPr="004C787C">
      <w:rPr>
        <w:b/>
        <w:noProof/>
        <w:lang w:eastAsia="en-GB"/>
      </w:rPr>
      <w:drawing>
        <wp:anchor distT="0" distB="0" distL="114300" distR="114300" simplePos="0" relativeHeight="251651584" behindDoc="1" locked="0" layoutInCell="0" allowOverlap="1" wp14:anchorId="23BF6ED1" wp14:editId="020B1A47">
          <wp:simplePos x="0" y="0"/>
          <wp:positionH relativeFrom="page">
            <wp:posOffset>-10211</wp:posOffset>
          </wp:positionH>
          <wp:positionV relativeFrom="page">
            <wp:posOffset>512064</wp:posOffset>
          </wp:positionV>
          <wp:extent cx="7581443" cy="10270541"/>
          <wp:effectExtent l="19050" t="0" r="0" b="0"/>
          <wp:wrapNone/>
          <wp:docPr id="117" name="Picture 4" descr="G:\Atkins\8755 Bid templates\8755 Design files\Production\Colourway 1\Contents\Contents Pages 2 4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tkins\8755 Bid templates\8755 Design files\Production\Colourway 1\Contents\Contents Pages 2 4 copy.gif"/>
                  <pic:cNvPicPr>
                    <a:picLocks noChangeAspect="1" noChangeArrowheads="1"/>
                  </pic:cNvPicPr>
                </pic:nvPicPr>
                <pic:blipFill>
                  <a:blip r:embed="rId1" cstate="print"/>
                  <a:srcRect t="4263"/>
                  <a:stretch>
                    <a:fillRect/>
                  </a:stretch>
                </pic:blipFill>
                <pic:spPr bwMode="auto">
                  <a:xfrm>
                    <a:off x="0" y="0"/>
                    <a:ext cx="7581900" cy="10267950"/>
                  </a:xfrm>
                  <a:prstGeom prst="rect">
                    <a:avLst/>
                  </a:prstGeom>
                  <a:noFill/>
                  <a:ln w="9525">
                    <a:noFill/>
                    <a:miter lim="800000"/>
                    <a:headEnd/>
                    <a:tailEnd/>
                  </a:ln>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7599F" w14:textId="77777777" w:rsidR="00AA0EF3" w:rsidRPr="004C787C" w:rsidRDefault="00AA0EF3" w:rsidP="005C36DC">
    <w:pPr>
      <w:pStyle w:val="Header"/>
      <w:rPr>
        <w:b/>
      </w:rPr>
    </w:pPr>
    <w:r w:rsidRPr="004C787C">
      <w:rPr>
        <w:b/>
        <w:noProof/>
        <w:lang w:eastAsia="en-GB"/>
      </w:rPr>
      <w:drawing>
        <wp:anchor distT="0" distB="0" distL="114300" distR="114300" simplePos="0" relativeHeight="251653632" behindDoc="1" locked="0" layoutInCell="0" allowOverlap="1" wp14:anchorId="7EFBBACE" wp14:editId="1A3A66B4">
          <wp:simplePos x="0" y="0"/>
          <wp:positionH relativeFrom="page">
            <wp:posOffset>-10211</wp:posOffset>
          </wp:positionH>
          <wp:positionV relativeFrom="page">
            <wp:posOffset>512064</wp:posOffset>
          </wp:positionV>
          <wp:extent cx="7581443" cy="10270541"/>
          <wp:effectExtent l="19050" t="0" r="0" b="0"/>
          <wp:wrapNone/>
          <wp:docPr id="118" name="Picture 4" descr="G:\Atkins\8755 Bid templates\8755 Design files\Production\Colourway 1\Contents\Contents Pages 2 4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tkins\8755 Bid templates\8755 Design files\Production\Colourway 1\Contents\Contents Pages 2 4 copy.gif"/>
                  <pic:cNvPicPr>
                    <a:picLocks noChangeAspect="1" noChangeArrowheads="1"/>
                  </pic:cNvPicPr>
                </pic:nvPicPr>
                <pic:blipFill>
                  <a:blip r:embed="rId1" cstate="print"/>
                  <a:srcRect t="4263"/>
                  <a:stretch>
                    <a:fillRect/>
                  </a:stretch>
                </pic:blipFill>
                <pic:spPr bwMode="auto">
                  <a:xfrm>
                    <a:off x="0" y="0"/>
                    <a:ext cx="7581900" cy="10267950"/>
                  </a:xfrm>
                  <a:prstGeom prst="rect">
                    <a:avLst/>
                  </a:prstGeom>
                  <a:noFill/>
                  <a:ln w="9525">
                    <a:noFill/>
                    <a:miter lim="800000"/>
                    <a:headEnd/>
                    <a:tailEnd/>
                  </a:ln>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rsidR="00AA0EF3" w:rsidRPr="004B1BF4" w14:paraId="223D9BEF" w14:textId="77777777" w:rsidTr="009D5CB3">
      <w:tc>
        <w:tcPr>
          <w:tcW w:w="9854" w:type="dxa"/>
          <w:shd w:val="clear" w:color="auto" w:fill="auto"/>
        </w:tcPr>
        <w:p w14:paraId="570CD469" w14:textId="77777777" w:rsidR="00AA0EF3" w:rsidRPr="004B1BF4" w:rsidRDefault="00BE2463" w:rsidP="005C2FF5">
          <w:pPr>
            <w:pStyle w:val="Header"/>
          </w:pPr>
          <w:fldSimple w:instr=" DOCVARIABLE  DocProjectTitle  \* MERGEFORMAT ">
            <w:r w:rsidR="00AA0EF3" w:rsidRPr="00E95E1A">
              <w:rPr>
                <w:bCs/>
              </w:rPr>
              <w:t>North</w:t>
            </w:r>
            <w:r w:rsidR="00AA0EF3">
              <w:t xml:space="preserve"> East Lincolnshire Sector Study &amp; Employment Land Review</w:t>
            </w:r>
          </w:fldSimple>
        </w:p>
      </w:tc>
    </w:tr>
    <w:tr w:rsidR="00AA0EF3" w:rsidRPr="004B1BF4" w14:paraId="350C40E4" w14:textId="77777777" w:rsidTr="004733A1">
      <w:trPr>
        <w:trHeight w:val="274"/>
      </w:trPr>
      <w:tc>
        <w:tcPr>
          <w:tcW w:w="9854" w:type="dxa"/>
          <w:tcBorders>
            <w:bottom w:val="single" w:sz="4" w:space="0" w:color="BFBFBF" w:themeColor="background1" w:themeShade="BF"/>
          </w:tcBorders>
          <w:shd w:val="clear" w:color="auto" w:fill="auto"/>
        </w:tcPr>
        <w:p w14:paraId="3093E6DC" w14:textId="77777777" w:rsidR="00AA0EF3" w:rsidRPr="004B1BF4" w:rsidRDefault="00BE2463" w:rsidP="005C2FF5">
          <w:pPr>
            <w:pStyle w:val="Header"/>
          </w:pPr>
          <w:fldSimple w:instr=" DOCVARIABLE  DocReportTitle  \* MERGEFORMAT ">
            <w:r w:rsidR="00AA0EF3" w:rsidRPr="00E95E1A">
              <w:rPr>
                <w:bCs/>
              </w:rPr>
              <w:t>North</w:t>
            </w:r>
            <w:r w:rsidR="00AA0EF3">
              <w:t xml:space="preserve"> East Lincolnshire Sector Study</w:t>
            </w:r>
          </w:fldSimple>
        </w:p>
      </w:tc>
    </w:tr>
  </w:tbl>
  <w:p w14:paraId="322242CC" w14:textId="77777777" w:rsidR="00AA0EF3" w:rsidRPr="004B1BF4" w:rsidRDefault="00AA0EF3" w:rsidP="009D5CB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092A6" w14:textId="77777777" w:rsidR="00AA0EF3" w:rsidRPr="004C787C" w:rsidRDefault="00AA0EF3" w:rsidP="005C36DC">
    <w:pPr>
      <w:pStyle w:val="Header"/>
      <w:rPr>
        <w:b/>
      </w:rPr>
    </w:pPr>
    <w:r w:rsidRPr="004C787C">
      <w:rPr>
        <w:b/>
        <w:noProof/>
        <w:lang w:eastAsia="en-GB"/>
      </w:rPr>
      <w:drawing>
        <wp:anchor distT="0" distB="0" distL="114300" distR="114300" simplePos="0" relativeHeight="251655680" behindDoc="1" locked="0" layoutInCell="0" allowOverlap="1" wp14:anchorId="4D82C727" wp14:editId="2D1F131D">
          <wp:simplePos x="0" y="0"/>
          <wp:positionH relativeFrom="page">
            <wp:posOffset>-10211</wp:posOffset>
          </wp:positionH>
          <wp:positionV relativeFrom="page">
            <wp:posOffset>512064</wp:posOffset>
          </wp:positionV>
          <wp:extent cx="7581443" cy="10270541"/>
          <wp:effectExtent l="19050" t="0" r="0" b="0"/>
          <wp:wrapNone/>
          <wp:docPr id="119" name="Picture 4" descr="G:\Atkins\8755 Bid templates\8755 Design files\Production\Colourway 1\Contents\Contents Pages 2 4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tkins\8755 Bid templates\8755 Design files\Production\Colourway 1\Contents\Contents Pages 2 4 copy.gif"/>
                  <pic:cNvPicPr>
                    <a:picLocks noChangeAspect="1" noChangeArrowheads="1"/>
                  </pic:cNvPicPr>
                </pic:nvPicPr>
                <pic:blipFill>
                  <a:blip r:embed="rId1" cstate="print"/>
                  <a:srcRect t="4263"/>
                  <a:stretch>
                    <a:fillRect/>
                  </a:stretch>
                </pic:blipFill>
                <pic:spPr bwMode="auto">
                  <a:xfrm>
                    <a:off x="0" y="0"/>
                    <a:ext cx="7581900" cy="10267950"/>
                  </a:xfrm>
                  <a:prstGeom prst="rect">
                    <a:avLst/>
                  </a:prstGeom>
                  <a:noFill/>
                  <a:ln w="9525">
                    <a:noFill/>
                    <a:miter lim="800000"/>
                    <a:headEnd/>
                    <a:tailEnd/>
                  </a:ln>
                </pic:spPr>
              </pic:pic>
            </a:graphicData>
          </a:graphic>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16C71" w14:textId="77777777" w:rsidR="00AA0EF3" w:rsidRPr="004C787C" w:rsidRDefault="00AA0EF3" w:rsidP="005C36DC">
    <w:pPr>
      <w:pStyle w:val="Header"/>
      <w:rPr>
        <w:b/>
      </w:rPr>
    </w:pPr>
    <w:r w:rsidRPr="004C787C">
      <w:rPr>
        <w:b/>
        <w:noProof/>
        <w:lang w:eastAsia="en-GB"/>
      </w:rPr>
      <w:drawing>
        <wp:anchor distT="0" distB="0" distL="114300" distR="114300" simplePos="0" relativeHeight="251657728" behindDoc="1" locked="0" layoutInCell="0" allowOverlap="1" wp14:anchorId="1C2D0140" wp14:editId="0595B332">
          <wp:simplePos x="0" y="0"/>
          <wp:positionH relativeFrom="page">
            <wp:posOffset>-10211</wp:posOffset>
          </wp:positionH>
          <wp:positionV relativeFrom="page">
            <wp:posOffset>512064</wp:posOffset>
          </wp:positionV>
          <wp:extent cx="7581443" cy="10270541"/>
          <wp:effectExtent l="19050" t="0" r="0" b="0"/>
          <wp:wrapNone/>
          <wp:docPr id="120" name="Picture 4" descr="G:\Atkins\8755 Bid templates\8755 Design files\Production\Colourway 1\Contents\Contents Pages 2 4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tkins\8755 Bid templates\8755 Design files\Production\Colourway 1\Contents\Contents Pages 2 4 copy.gif"/>
                  <pic:cNvPicPr>
                    <a:picLocks noChangeAspect="1" noChangeArrowheads="1"/>
                  </pic:cNvPicPr>
                </pic:nvPicPr>
                <pic:blipFill>
                  <a:blip r:embed="rId1" cstate="print"/>
                  <a:srcRect t="4263"/>
                  <a:stretch>
                    <a:fillRect/>
                  </a:stretch>
                </pic:blipFill>
                <pic:spPr bwMode="auto">
                  <a:xfrm>
                    <a:off x="0" y="0"/>
                    <a:ext cx="7581900" cy="10267950"/>
                  </a:xfrm>
                  <a:prstGeom prst="rect">
                    <a:avLst/>
                  </a:prstGeom>
                  <a:noFill/>
                  <a:ln w="9525">
                    <a:noFill/>
                    <a:miter lim="800000"/>
                    <a:headEnd/>
                    <a:tailEnd/>
                  </a:ln>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rsidR="00AA0EF3" w:rsidRPr="004B1BF4" w14:paraId="6361EC69" w14:textId="77777777" w:rsidTr="009D5CB3">
      <w:tc>
        <w:tcPr>
          <w:tcW w:w="9854" w:type="dxa"/>
          <w:shd w:val="clear" w:color="auto" w:fill="auto"/>
        </w:tcPr>
        <w:p w14:paraId="510C63EA" w14:textId="77777777" w:rsidR="00AA0EF3" w:rsidRPr="004B1BF4" w:rsidRDefault="00BE2463" w:rsidP="005C2FF5">
          <w:pPr>
            <w:pStyle w:val="Header"/>
          </w:pPr>
          <w:fldSimple w:instr=" DOCVARIABLE  DocProjectTitle  \* MERGEFORMAT ">
            <w:r w:rsidR="00AA0EF3" w:rsidRPr="00E95E1A">
              <w:rPr>
                <w:bCs/>
              </w:rPr>
              <w:t>North</w:t>
            </w:r>
            <w:r w:rsidR="00AA0EF3">
              <w:t xml:space="preserve"> East Lincolnshire Sector Study &amp; Employment Land Review</w:t>
            </w:r>
          </w:fldSimple>
        </w:p>
      </w:tc>
    </w:tr>
    <w:tr w:rsidR="00AA0EF3" w:rsidRPr="004B1BF4" w14:paraId="1C1B67D7" w14:textId="77777777" w:rsidTr="004733A1">
      <w:trPr>
        <w:trHeight w:val="274"/>
      </w:trPr>
      <w:tc>
        <w:tcPr>
          <w:tcW w:w="9854" w:type="dxa"/>
          <w:tcBorders>
            <w:bottom w:val="single" w:sz="4" w:space="0" w:color="BFBFBF" w:themeColor="background1" w:themeShade="BF"/>
          </w:tcBorders>
          <w:shd w:val="clear" w:color="auto" w:fill="auto"/>
        </w:tcPr>
        <w:p w14:paraId="3EB76145" w14:textId="77777777" w:rsidR="00AA0EF3" w:rsidRPr="004B1BF4" w:rsidRDefault="00BE2463" w:rsidP="005C2FF5">
          <w:pPr>
            <w:pStyle w:val="Header"/>
          </w:pPr>
          <w:fldSimple w:instr=" DOCVARIABLE  DocReportTitle  \* MERGEFORMAT ">
            <w:r w:rsidR="00AA0EF3" w:rsidRPr="00E95E1A">
              <w:rPr>
                <w:bCs/>
              </w:rPr>
              <w:t>North</w:t>
            </w:r>
            <w:r w:rsidR="00AA0EF3">
              <w:t xml:space="preserve"> East Lincolnshire Sector Study</w:t>
            </w:r>
          </w:fldSimple>
        </w:p>
      </w:tc>
    </w:tr>
  </w:tbl>
  <w:p w14:paraId="626B596D" w14:textId="77777777" w:rsidR="00AA0EF3" w:rsidRPr="004B1BF4" w:rsidRDefault="00AA0EF3" w:rsidP="009D5CB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47777" w14:textId="77777777" w:rsidR="00AA0EF3" w:rsidRPr="004C787C" w:rsidRDefault="00AA0EF3" w:rsidP="005C36DC">
    <w:pPr>
      <w:pStyle w:val="Header"/>
      <w:rPr>
        <w:b/>
      </w:rPr>
    </w:pPr>
    <w:r w:rsidRPr="004C787C">
      <w:rPr>
        <w:b/>
        <w:noProof/>
        <w:lang w:eastAsia="en-GB"/>
      </w:rPr>
      <w:drawing>
        <wp:anchor distT="0" distB="0" distL="114300" distR="114300" simplePos="0" relativeHeight="251659776" behindDoc="1" locked="0" layoutInCell="0" allowOverlap="1" wp14:anchorId="5B082874" wp14:editId="6304D92F">
          <wp:simplePos x="0" y="0"/>
          <wp:positionH relativeFrom="page">
            <wp:posOffset>-10211</wp:posOffset>
          </wp:positionH>
          <wp:positionV relativeFrom="page">
            <wp:posOffset>512064</wp:posOffset>
          </wp:positionV>
          <wp:extent cx="7581443" cy="10270541"/>
          <wp:effectExtent l="19050" t="0" r="0" b="0"/>
          <wp:wrapNone/>
          <wp:docPr id="121" name="Picture 4" descr="G:\Atkins\8755 Bid templates\8755 Design files\Production\Colourway 1\Contents\Contents Pages 2 4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tkins\8755 Bid templates\8755 Design files\Production\Colourway 1\Contents\Contents Pages 2 4 copy.gif"/>
                  <pic:cNvPicPr>
                    <a:picLocks noChangeAspect="1" noChangeArrowheads="1"/>
                  </pic:cNvPicPr>
                </pic:nvPicPr>
                <pic:blipFill>
                  <a:blip r:embed="rId1" cstate="print"/>
                  <a:srcRect t="4263"/>
                  <a:stretch>
                    <a:fillRect/>
                  </a:stretch>
                </pic:blipFill>
                <pic:spPr bwMode="auto">
                  <a:xfrm>
                    <a:off x="0" y="0"/>
                    <a:ext cx="7581900" cy="10267950"/>
                  </a:xfrm>
                  <a:prstGeom prst="rect">
                    <a:avLst/>
                  </a:prstGeom>
                  <a:noFill/>
                  <a:ln w="9525">
                    <a:noFill/>
                    <a:miter lim="800000"/>
                    <a:headEnd/>
                    <a:tailEnd/>
                  </a:ln>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B24BD" w14:textId="77777777" w:rsidR="00AA0EF3" w:rsidRPr="004C787C" w:rsidRDefault="00AA0EF3" w:rsidP="005C36DC">
    <w:pPr>
      <w:pStyle w:val="Header"/>
      <w:rPr>
        <w:b/>
      </w:rPr>
    </w:pPr>
    <w:r w:rsidRPr="004C787C">
      <w:rPr>
        <w:b/>
        <w:noProof/>
        <w:lang w:eastAsia="en-GB"/>
      </w:rPr>
      <w:drawing>
        <wp:anchor distT="0" distB="0" distL="114300" distR="114300" simplePos="0" relativeHeight="251661824" behindDoc="1" locked="0" layoutInCell="0" allowOverlap="1" wp14:anchorId="4C0CC141" wp14:editId="205ECB02">
          <wp:simplePos x="0" y="0"/>
          <wp:positionH relativeFrom="page">
            <wp:posOffset>-10211</wp:posOffset>
          </wp:positionH>
          <wp:positionV relativeFrom="page">
            <wp:posOffset>512064</wp:posOffset>
          </wp:positionV>
          <wp:extent cx="7581443" cy="10270541"/>
          <wp:effectExtent l="19050" t="0" r="0" b="0"/>
          <wp:wrapNone/>
          <wp:docPr id="122" name="Picture 4" descr="G:\Atkins\8755 Bid templates\8755 Design files\Production\Colourway 1\Contents\Contents Pages 2 4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tkins\8755 Bid templates\8755 Design files\Production\Colourway 1\Contents\Contents Pages 2 4 copy.gif"/>
                  <pic:cNvPicPr>
                    <a:picLocks noChangeAspect="1" noChangeArrowheads="1"/>
                  </pic:cNvPicPr>
                </pic:nvPicPr>
                <pic:blipFill>
                  <a:blip r:embed="rId1" cstate="print"/>
                  <a:srcRect t="4263"/>
                  <a:stretch>
                    <a:fillRect/>
                  </a:stretch>
                </pic:blipFill>
                <pic:spPr bwMode="auto">
                  <a:xfrm>
                    <a:off x="0" y="0"/>
                    <a:ext cx="7581900" cy="10267950"/>
                  </a:xfrm>
                  <a:prstGeom prst="rect">
                    <a:avLst/>
                  </a:prstGeom>
                  <a:noFill/>
                  <a:ln w="9525">
                    <a:noFill/>
                    <a:miter lim="800000"/>
                    <a:headEnd/>
                    <a:tailEnd/>
                  </a:ln>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rsidR="00AA0EF3" w:rsidRPr="004B1BF4" w14:paraId="6F0B2CD3" w14:textId="77777777" w:rsidTr="009D5CB3">
      <w:tc>
        <w:tcPr>
          <w:tcW w:w="9854" w:type="dxa"/>
          <w:shd w:val="clear" w:color="auto" w:fill="auto"/>
        </w:tcPr>
        <w:p w14:paraId="53E0B84C" w14:textId="77777777" w:rsidR="00AA0EF3" w:rsidRPr="004B1BF4" w:rsidRDefault="00BE2463" w:rsidP="005C2FF5">
          <w:pPr>
            <w:pStyle w:val="Header"/>
          </w:pPr>
          <w:fldSimple w:instr=" DOCVARIABLE  DocProjectTitle  \* MERGEFORMAT ">
            <w:r w:rsidR="00AA0EF3" w:rsidRPr="00E95E1A">
              <w:rPr>
                <w:bCs/>
              </w:rPr>
              <w:t>North</w:t>
            </w:r>
            <w:r w:rsidR="00AA0EF3">
              <w:t xml:space="preserve"> East Lincolnshire Sector Study &amp; Employment Land Review</w:t>
            </w:r>
          </w:fldSimple>
        </w:p>
      </w:tc>
    </w:tr>
    <w:tr w:rsidR="00AA0EF3" w:rsidRPr="004B1BF4" w14:paraId="59FC5934" w14:textId="77777777" w:rsidTr="004733A1">
      <w:trPr>
        <w:trHeight w:val="274"/>
      </w:trPr>
      <w:tc>
        <w:tcPr>
          <w:tcW w:w="9854" w:type="dxa"/>
          <w:tcBorders>
            <w:bottom w:val="single" w:sz="4" w:space="0" w:color="BFBFBF" w:themeColor="background1" w:themeShade="BF"/>
          </w:tcBorders>
          <w:shd w:val="clear" w:color="auto" w:fill="auto"/>
        </w:tcPr>
        <w:p w14:paraId="1AC3861A" w14:textId="77777777" w:rsidR="00AA0EF3" w:rsidRPr="004B1BF4" w:rsidRDefault="00BE2463" w:rsidP="005C2FF5">
          <w:pPr>
            <w:pStyle w:val="Header"/>
          </w:pPr>
          <w:fldSimple w:instr=" DOCVARIABLE  DocReportTitle  \* MERGEFORMAT ">
            <w:r w:rsidR="00AA0EF3" w:rsidRPr="00E95E1A">
              <w:rPr>
                <w:bCs/>
              </w:rPr>
              <w:t>North</w:t>
            </w:r>
            <w:r w:rsidR="00AA0EF3">
              <w:t xml:space="preserve"> East Lincolnshire Sector Study</w:t>
            </w:r>
          </w:fldSimple>
        </w:p>
      </w:tc>
    </w:tr>
  </w:tbl>
  <w:p w14:paraId="40F6FDDA" w14:textId="77777777" w:rsidR="00AA0EF3" w:rsidRPr="004B1BF4" w:rsidRDefault="00AA0EF3" w:rsidP="009D5CB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8DAFB" w14:textId="77777777" w:rsidR="00AA0EF3" w:rsidRPr="004B1BF4" w:rsidRDefault="00AA0EF3" w:rsidP="004C787C">
    <w:pPr>
      <w:pStyle w:val="Header"/>
    </w:pPr>
    <w:r w:rsidRPr="004B1BF4">
      <w:rPr>
        <w:noProof/>
        <w:lang w:eastAsia="en-GB"/>
      </w:rPr>
      <w:drawing>
        <wp:anchor distT="0" distB="0" distL="114300" distR="114300" simplePos="0" relativeHeight="251666944" behindDoc="1" locked="0" layoutInCell="1" allowOverlap="1" wp14:anchorId="6F9ED0E2" wp14:editId="3AC0610B">
          <wp:simplePos x="0" y="0"/>
          <wp:positionH relativeFrom="page">
            <wp:posOffset>0</wp:posOffset>
          </wp:positionH>
          <wp:positionV relativeFrom="page">
            <wp:posOffset>481330</wp:posOffset>
          </wp:positionV>
          <wp:extent cx="7560309" cy="10210379"/>
          <wp:effectExtent l="19050" t="0" r="2541" b="0"/>
          <wp:wrapNone/>
          <wp:docPr id="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7560309" cy="10210379"/>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rsidR="00AA0EF3" w:rsidRPr="004B1BF4" w14:paraId="741A160D" w14:textId="77777777" w:rsidTr="009D5CB3">
      <w:tc>
        <w:tcPr>
          <w:tcW w:w="9854" w:type="dxa"/>
          <w:shd w:val="clear" w:color="auto" w:fill="auto"/>
        </w:tcPr>
        <w:p w14:paraId="6279C226" w14:textId="77777777" w:rsidR="00AA0EF3" w:rsidRPr="004B1BF4" w:rsidRDefault="00BE2463" w:rsidP="005C2FF5">
          <w:pPr>
            <w:pStyle w:val="Header"/>
          </w:pPr>
          <w:fldSimple w:instr=" DOCVARIABLE  DocProjectTitle  \* MERGEFORMAT ">
            <w:r w:rsidR="00AA0EF3" w:rsidRPr="00E95E1A">
              <w:rPr>
                <w:bCs/>
              </w:rPr>
              <w:t>North</w:t>
            </w:r>
            <w:r w:rsidR="00AA0EF3">
              <w:t xml:space="preserve"> East Lincolnshire Sector Study &amp; Employment Land Review</w:t>
            </w:r>
          </w:fldSimple>
        </w:p>
      </w:tc>
    </w:tr>
    <w:tr w:rsidR="00AA0EF3" w:rsidRPr="004B1BF4" w14:paraId="79C5628D" w14:textId="77777777" w:rsidTr="004733A1">
      <w:trPr>
        <w:trHeight w:val="274"/>
      </w:trPr>
      <w:tc>
        <w:tcPr>
          <w:tcW w:w="9854" w:type="dxa"/>
          <w:tcBorders>
            <w:bottom w:val="single" w:sz="4" w:space="0" w:color="BFBFBF" w:themeColor="background1" w:themeShade="BF"/>
          </w:tcBorders>
          <w:shd w:val="clear" w:color="auto" w:fill="auto"/>
        </w:tcPr>
        <w:p w14:paraId="27CCE04B" w14:textId="77777777" w:rsidR="00AA0EF3" w:rsidRPr="004B1BF4" w:rsidRDefault="00BE2463" w:rsidP="005C2FF5">
          <w:pPr>
            <w:pStyle w:val="Header"/>
          </w:pPr>
          <w:fldSimple w:instr=" DOCVARIABLE  DocReportTitle  \* MERGEFORMAT ">
            <w:r w:rsidR="00AA0EF3" w:rsidRPr="00E95E1A">
              <w:rPr>
                <w:bCs/>
              </w:rPr>
              <w:t>North</w:t>
            </w:r>
            <w:r w:rsidR="00AA0EF3">
              <w:t xml:space="preserve"> East Lincolnshire Sector Study</w:t>
            </w:r>
          </w:fldSimple>
        </w:p>
      </w:tc>
    </w:tr>
  </w:tbl>
  <w:p w14:paraId="2462BC1A" w14:textId="77777777" w:rsidR="00AA0EF3" w:rsidRPr="004B1BF4" w:rsidRDefault="00AA0EF3" w:rsidP="009D5CB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F3B21" w14:textId="77777777" w:rsidR="00AA0EF3" w:rsidRPr="004C787C" w:rsidRDefault="00AA0EF3" w:rsidP="00CF6646">
    <w:pPr>
      <w:pStyle w:val="Header"/>
      <w:rPr>
        <w:b/>
      </w:rPr>
    </w:pPr>
    <w:r>
      <w:rPr>
        <w:b/>
        <w:noProof/>
        <w:lang w:eastAsia="en-GB"/>
      </w:rPr>
      <w:drawing>
        <wp:anchor distT="0" distB="0" distL="114300" distR="114300" simplePos="0" relativeHeight="251668992" behindDoc="1" locked="0" layoutInCell="0" allowOverlap="1" wp14:anchorId="0157AF0D" wp14:editId="1BE34736">
          <wp:simplePos x="0" y="0"/>
          <wp:positionH relativeFrom="page">
            <wp:posOffset>-10211</wp:posOffset>
          </wp:positionH>
          <wp:positionV relativeFrom="page">
            <wp:posOffset>512064</wp:posOffset>
          </wp:positionV>
          <wp:extent cx="7581443" cy="10270541"/>
          <wp:effectExtent l="19050" t="0" r="0" b="0"/>
          <wp:wrapNone/>
          <wp:docPr id="52" name="Picture 4" descr="G:\Atkins\8755 Bid templates\8755 Design files\Production\Colourway 1\Contents\Contents Pages 2 4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tkins\8755 Bid templates\8755 Design files\Production\Colourway 1\Contents\Contents Pages 2 4 copy.gif"/>
                  <pic:cNvPicPr>
                    <a:picLocks noChangeAspect="1" noChangeArrowheads="1"/>
                  </pic:cNvPicPr>
                </pic:nvPicPr>
                <pic:blipFill>
                  <a:blip r:embed="rId1" cstate="print"/>
                  <a:srcRect t="4263"/>
                  <a:stretch>
                    <a:fillRect/>
                  </a:stretch>
                </pic:blipFill>
                <pic:spPr bwMode="auto">
                  <a:xfrm>
                    <a:off x="0" y="0"/>
                    <a:ext cx="7581900" cy="10267950"/>
                  </a:xfrm>
                  <a:prstGeom prst="rect">
                    <a:avLst/>
                  </a:prstGeom>
                  <a:noFill/>
                  <a:ln w="9525">
                    <a:noFill/>
                    <a:miter lim="800000"/>
                    <a:headEnd/>
                    <a:tailEnd/>
                  </a:ln>
                </pic:spPr>
              </pic:pic>
            </a:graphicData>
          </a:graphic>
        </wp:anchor>
      </w:drawing>
    </w:r>
  </w:p>
  <w:p w14:paraId="510C58DF" w14:textId="77777777" w:rsidR="00AA0EF3" w:rsidRPr="004C787C" w:rsidRDefault="00AA0EF3" w:rsidP="00DE3B2D">
    <w:pPr>
      <w:pStyle w:val="Header"/>
      <w:rPr>
        <w:b/>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51F7C" w14:textId="77777777" w:rsidR="00AA0EF3" w:rsidRPr="004C787C" w:rsidRDefault="00AA0EF3" w:rsidP="006C76D4">
    <w:pPr>
      <w:pStyle w:val="Header"/>
      <w:rPr>
        <w:b/>
      </w:rPr>
    </w:pPr>
    <w:r>
      <w:rPr>
        <w:b/>
        <w:noProof/>
        <w:lang w:eastAsia="en-GB"/>
      </w:rPr>
      <w:drawing>
        <wp:anchor distT="0" distB="0" distL="114300" distR="114300" simplePos="0" relativeHeight="251716096" behindDoc="1" locked="0" layoutInCell="0" allowOverlap="1" wp14:anchorId="792FB303" wp14:editId="35F381F9">
          <wp:simplePos x="0" y="0"/>
          <wp:positionH relativeFrom="page">
            <wp:posOffset>-10211</wp:posOffset>
          </wp:positionH>
          <wp:positionV relativeFrom="page">
            <wp:posOffset>512064</wp:posOffset>
          </wp:positionV>
          <wp:extent cx="7581443" cy="10270541"/>
          <wp:effectExtent l="19050" t="0" r="0" b="0"/>
          <wp:wrapNone/>
          <wp:docPr id="36" name="Picture 4" descr="G:\Atkins\8755 Bid templates\8755 Design files\Production\Colourway 1\Contents\Contents Pages 2 4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tkins\8755 Bid templates\8755 Design files\Production\Colourway 1\Contents\Contents Pages 2 4 copy.gif"/>
                  <pic:cNvPicPr>
                    <a:picLocks noChangeAspect="1" noChangeArrowheads="1"/>
                  </pic:cNvPicPr>
                </pic:nvPicPr>
                <pic:blipFill>
                  <a:blip r:embed="rId1" cstate="print"/>
                  <a:srcRect t="4263"/>
                  <a:stretch>
                    <a:fillRect/>
                  </a:stretch>
                </pic:blipFill>
                <pic:spPr bwMode="auto">
                  <a:xfrm>
                    <a:off x="0" y="0"/>
                    <a:ext cx="7581900" cy="10267950"/>
                  </a:xfrm>
                  <a:prstGeom prst="rect">
                    <a:avLst/>
                  </a:prstGeom>
                  <a:noFill/>
                  <a:ln w="9525">
                    <a:noFill/>
                    <a:miter lim="800000"/>
                    <a:headEnd/>
                    <a:tailEnd/>
                  </a:ln>
                </pic:spPr>
              </pic:pic>
            </a:graphicData>
          </a:graphic>
        </wp:anchor>
      </w:drawing>
    </w:r>
  </w:p>
  <w:p w14:paraId="10A5A30E" w14:textId="77777777" w:rsidR="00AA0EF3" w:rsidRDefault="00AA0EF3">
    <w:pPr>
      <w:pStyle w:val="Header"/>
      <w:rPr>
        <w:b/>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8E8C1" w14:textId="77777777" w:rsidR="00AA0EF3" w:rsidRPr="004B1BF4" w:rsidRDefault="00AA0EF3" w:rsidP="006E787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C38D6" w14:textId="77777777" w:rsidR="00AA0EF3" w:rsidRPr="00B877A8" w:rsidRDefault="00AA0EF3" w:rsidP="00B877A8">
    <w:pPr>
      <w:pStyle w:val="Header"/>
    </w:pPr>
    <w:r>
      <w:rPr>
        <w:noProof/>
        <w:lang w:eastAsia="en-GB"/>
      </w:rPr>
      <w:drawing>
        <wp:anchor distT="0" distB="0" distL="114300" distR="114300" simplePos="0" relativeHeight="251654139" behindDoc="1" locked="0" layoutInCell="1" allowOverlap="1" wp14:anchorId="59CE03B3" wp14:editId="4F70C67D">
          <wp:simplePos x="0" y="0"/>
          <wp:positionH relativeFrom="page">
            <wp:posOffset>0</wp:posOffset>
          </wp:positionH>
          <wp:positionV relativeFrom="page">
            <wp:posOffset>0</wp:posOffset>
          </wp:positionV>
          <wp:extent cx="7563300" cy="10692130"/>
          <wp:effectExtent l="19050" t="0" r="0" b="0"/>
          <wp:wrapNone/>
          <wp:docPr id="3" name="BackPag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3300" cy="1069213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01C72" w14:textId="77777777" w:rsidR="00AA0EF3" w:rsidRPr="004B1BF4" w:rsidRDefault="00AA0EF3" w:rsidP="004C787C">
    <w:pPr>
      <w:pStyle w:val="Header"/>
    </w:pPr>
    <w:r w:rsidRPr="004B1BF4">
      <w:rPr>
        <w:noProof/>
        <w:lang w:eastAsia="en-GB"/>
      </w:rPr>
      <w:drawing>
        <wp:anchor distT="0" distB="0" distL="114300" distR="114300" simplePos="0" relativeHeight="251645440" behindDoc="1" locked="0" layoutInCell="1" allowOverlap="1" wp14:anchorId="76326FCD" wp14:editId="07F8016A">
          <wp:simplePos x="0" y="0"/>
          <wp:positionH relativeFrom="page">
            <wp:posOffset>0</wp:posOffset>
          </wp:positionH>
          <wp:positionV relativeFrom="page">
            <wp:posOffset>481330</wp:posOffset>
          </wp:positionV>
          <wp:extent cx="7560309" cy="10210379"/>
          <wp:effectExtent l="19050" t="0" r="2541" b="0"/>
          <wp:wrapNone/>
          <wp:docPr id="1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7560309" cy="10210379"/>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04493" w14:textId="77777777" w:rsidR="00AA0EF3" w:rsidRPr="004C787C" w:rsidRDefault="00AA0EF3" w:rsidP="008D7250">
    <w:pPr>
      <w:pStyle w:val="Header"/>
      <w:rPr>
        <w:b/>
      </w:rPr>
    </w:pPr>
    <w:r>
      <w:rPr>
        <w:b/>
        <w:noProof/>
        <w:lang w:eastAsia="en-GB"/>
      </w:rPr>
      <w:drawing>
        <wp:anchor distT="0" distB="0" distL="114300" distR="114300" simplePos="0" relativeHeight="251671040" behindDoc="1" locked="0" layoutInCell="0" allowOverlap="1" wp14:anchorId="505AEF63" wp14:editId="4B9E856D">
          <wp:simplePos x="0" y="0"/>
          <wp:positionH relativeFrom="page">
            <wp:posOffset>-10211</wp:posOffset>
          </wp:positionH>
          <wp:positionV relativeFrom="page">
            <wp:posOffset>512064</wp:posOffset>
          </wp:positionV>
          <wp:extent cx="7581443" cy="10270541"/>
          <wp:effectExtent l="19050" t="0" r="0" b="0"/>
          <wp:wrapNone/>
          <wp:docPr id="47" name="Picture 4" descr="G:\Atkins\8755 Bid templates\8755 Design files\Production\Colourway 1\Contents\Contents Pages 2 4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tkins\8755 Bid templates\8755 Design files\Production\Colourway 1\Contents\Contents Pages 2 4 copy.gif"/>
                  <pic:cNvPicPr>
                    <a:picLocks noChangeAspect="1" noChangeArrowheads="1"/>
                  </pic:cNvPicPr>
                </pic:nvPicPr>
                <pic:blipFill>
                  <a:blip r:embed="rId1" cstate="print"/>
                  <a:srcRect t="4263"/>
                  <a:stretch>
                    <a:fillRect/>
                  </a:stretch>
                </pic:blipFill>
                <pic:spPr bwMode="auto">
                  <a:xfrm>
                    <a:off x="0" y="0"/>
                    <a:ext cx="7581900" cy="10267950"/>
                  </a:xfrm>
                  <a:prstGeom prst="rect">
                    <a:avLst/>
                  </a:prstGeom>
                  <a:noFill/>
                  <a:ln w="9525">
                    <a:noFill/>
                    <a:miter lim="800000"/>
                    <a:headEnd/>
                    <a:tailEnd/>
                  </a:ln>
                </pic:spPr>
              </pic:pic>
            </a:graphicData>
          </a:graphic>
        </wp:anchor>
      </w:drawing>
    </w:r>
  </w:p>
  <w:p w14:paraId="4FA36C7B" w14:textId="77777777" w:rsidR="00AA0EF3" w:rsidRDefault="00AA0EF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rsidR="00AA0EF3" w:rsidRPr="004B1BF4" w14:paraId="575823F0" w14:textId="77777777" w:rsidTr="009D5CB3">
      <w:tc>
        <w:tcPr>
          <w:tcW w:w="9854" w:type="dxa"/>
          <w:shd w:val="clear" w:color="auto" w:fill="auto"/>
        </w:tcPr>
        <w:p w14:paraId="5F86F454" w14:textId="77777777" w:rsidR="00AA0EF3" w:rsidRPr="004B1BF4" w:rsidRDefault="00BE2463" w:rsidP="005C2FF5">
          <w:pPr>
            <w:pStyle w:val="Header"/>
          </w:pPr>
          <w:fldSimple w:instr=" DOCVARIABLE  DocProjectTitle  \* MERGEFORMAT ">
            <w:r w:rsidR="00AA0EF3" w:rsidRPr="00E95E1A">
              <w:rPr>
                <w:bCs/>
              </w:rPr>
              <w:t>North</w:t>
            </w:r>
            <w:r w:rsidR="00AA0EF3">
              <w:t xml:space="preserve"> East Lincolnshire Sector Study &amp; Employment Land Review</w:t>
            </w:r>
          </w:fldSimple>
        </w:p>
      </w:tc>
    </w:tr>
    <w:tr w:rsidR="00AA0EF3" w:rsidRPr="004B1BF4" w14:paraId="011EC096" w14:textId="77777777" w:rsidTr="004733A1">
      <w:trPr>
        <w:trHeight w:val="274"/>
      </w:trPr>
      <w:tc>
        <w:tcPr>
          <w:tcW w:w="9854" w:type="dxa"/>
          <w:tcBorders>
            <w:bottom w:val="single" w:sz="4" w:space="0" w:color="BFBFBF" w:themeColor="background1" w:themeShade="BF"/>
          </w:tcBorders>
          <w:shd w:val="clear" w:color="auto" w:fill="auto"/>
        </w:tcPr>
        <w:p w14:paraId="6B679DD4" w14:textId="77777777" w:rsidR="00AA0EF3" w:rsidRPr="004B1BF4" w:rsidRDefault="00BE2463" w:rsidP="005C2FF5">
          <w:pPr>
            <w:pStyle w:val="Header"/>
          </w:pPr>
          <w:fldSimple w:instr=" DOCVARIABLE  DocReportTitle  \* MERGEFORMAT ">
            <w:r w:rsidR="00AA0EF3" w:rsidRPr="00E95E1A">
              <w:rPr>
                <w:bCs/>
              </w:rPr>
              <w:t>North</w:t>
            </w:r>
            <w:r w:rsidR="00AA0EF3">
              <w:t xml:space="preserve"> East Lincolnshire Sector Study</w:t>
            </w:r>
          </w:fldSimple>
        </w:p>
      </w:tc>
    </w:tr>
  </w:tbl>
  <w:p w14:paraId="13CEE3A1" w14:textId="77777777" w:rsidR="00AA0EF3" w:rsidRPr="004B1BF4" w:rsidRDefault="00AA0EF3" w:rsidP="009D5CB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4E1E5" w14:textId="77777777" w:rsidR="00AA0EF3" w:rsidRPr="004B1BF4" w:rsidRDefault="00AA0EF3" w:rsidP="004C787C">
    <w:pPr>
      <w:pStyle w:val="Header"/>
    </w:pPr>
    <w:r w:rsidRPr="004B1BF4">
      <w:rPr>
        <w:noProof/>
        <w:lang w:eastAsia="en-GB"/>
      </w:rPr>
      <w:drawing>
        <wp:anchor distT="0" distB="0" distL="114300" distR="114300" simplePos="0" relativeHeight="251647488" behindDoc="1" locked="0" layoutInCell="1" allowOverlap="1" wp14:anchorId="1B7185FC" wp14:editId="6D2DD0C9">
          <wp:simplePos x="0" y="0"/>
          <wp:positionH relativeFrom="page">
            <wp:posOffset>0</wp:posOffset>
          </wp:positionH>
          <wp:positionV relativeFrom="page">
            <wp:posOffset>481330</wp:posOffset>
          </wp:positionV>
          <wp:extent cx="7560309" cy="10210379"/>
          <wp:effectExtent l="19050" t="0" r="2541" b="0"/>
          <wp:wrapNone/>
          <wp:docPr id="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7560309" cy="10210379"/>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78D73" w14:textId="77777777" w:rsidR="00AA0EF3" w:rsidRPr="004C787C" w:rsidRDefault="00AA0EF3" w:rsidP="008D13BD">
    <w:pPr>
      <w:pStyle w:val="Header"/>
      <w:rPr>
        <w:b/>
      </w:rPr>
    </w:pPr>
    <w:r>
      <w:rPr>
        <w:b/>
        <w:noProof/>
        <w:lang w:eastAsia="en-GB"/>
      </w:rPr>
      <w:drawing>
        <wp:anchor distT="0" distB="0" distL="114300" distR="114300" simplePos="0" relativeHeight="251663872" behindDoc="1" locked="0" layoutInCell="0" allowOverlap="1" wp14:anchorId="11AFB0B9" wp14:editId="1C1B6CDF">
          <wp:simplePos x="0" y="0"/>
          <wp:positionH relativeFrom="page">
            <wp:posOffset>-10211</wp:posOffset>
          </wp:positionH>
          <wp:positionV relativeFrom="page">
            <wp:posOffset>512064</wp:posOffset>
          </wp:positionV>
          <wp:extent cx="7581443" cy="10270541"/>
          <wp:effectExtent l="19050" t="0" r="0" b="0"/>
          <wp:wrapNone/>
          <wp:docPr id="115" name="Picture 4" descr="G:\Atkins\8755 Bid templates\8755 Design files\Production\Colourway 1\Contents\Contents Pages 2 4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tkins\8755 Bid templates\8755 Design files\Production\Colourway 1\Contents\Contents Pages 2 4 copy.gif"/>
                  <pic:cNvPicPr>
                    <a:picLocks noChangeAspect="1" noChangeArrowheads="1"/>
                  </pic:cNvPicPr>
                </pic:nvPicPr>
                <pic:blipFill>
                  <a:blip r:embed="rId1" cstate="print"/>
                  <a:srcRect t="4263"/>
                  <a:stretch>
                    <a:fillRect/>
                  </a:stretch>
                </pic:blipFill>
                <pic:spPr bwMode="auto">
                  <a:xfrm>
                    <a:off x="0" y="0"/>
                    <a:ext cx="7581900" cy="10267950"/>
                  </a:xfrm>
                  <a:prstGeom prst="rect">
                    <a:avLst/>
                  </a:prstGeom>
                  <a:noFill/>
                  <a:ln w="9525">
                    <a:noFill/>
                    <a:miter lim="800000"/>
                    <a:headEnd/>
                    <a:tailEnd/>
                  </a:ln>
                </pic:spPr>
              </pic:pic>
            </a:graphicData>
          </a:graphic>
        </wp:anchor>
      </w:drawing>
    </w:r>
  </w:p>
  <w:p w14:paraId="6B5A6AA3" w14:textId="77777777" w:rsidR="00AA0EF3" w:rsidRPr="004B1BF4" w:rsidRDefault="00AA0EF3" w:rsidP="008D13B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7A00A" w14:textId="77777777" w:rsidR="00AA0EF3" w:rsidRPr="004C787C" w:rsidRDefault="00AA0EF3" w:rsidP="005C36DC">
    <w:pPr>
      <w:pStyle w:val="Header"/>
      <w:rPr>
        <w:b/>
      </w:rPr>
    </w:pPr>
    <w:r w:rsidRPr="004C787C">
      <w:rPr>
        <w:b/>
        <w:noProof/>
        <w:lang w:eastAsia="en-GB"/>
      </w:rPr>
      <w:drawing>
        <wp:anchor distT="0" distB="0" distL="114300" distR="114300" simplePos="0" relativeHeight="251649536" behindDoc="1" locked="0" layoutInCell="0" allowOverlap="1" wp14:anchorId="632C5B4F" wp14:editId="37B7DDA9">
          <wp:simplePos x="0" y="0"/>
          <wp:positionH relativeFrom="page">
            <wp:posOffset>-10211</wp:posOffset>
          </wp:positionH>
          <wp:positionV relativeFrom="page">
            <wp:posOffset>512064</wp:posOffset>
          </wp:positionV>
          <wp:extent cx="7581443" cy="10270541"/>
          <wp:effectExtent l="19050" t="0" r="0" b="0"/>
          <wp:wrapNone/>
          <wp:docPr id="116" name="Picture 4" descr="G:\Atkins\8755 Bid templates\8755 Design files\Production\Colourway 1\Contents\Contents Pages 2 4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tkins\8755 Bid templates\8755 Design files\Production\Colourway 1\Contents\Contents Pages 2 4 copy.gif"/>
                  <pic:cNvPicPr>
                    <a:picLocks noChangeAspect="1" noChangeArrowheads="1"/>
                  </pic:cNvPicPr>
                </pic:nvPicPr>
                <pic:blipFill>
                  <a:blip r:embed="rId1" cstate="print"/>
                  <a:srcRect t="4263"/>
                  <a:stretch>
                    <a:fillRect/>
                  </a:stretch>
                </pic:blipFill>
                <pic:spPr bwMode="auto">
                  <a:xfrm>
                    <a:off x="0" y="0"/>
                    <a:ext cx="7581900" cy="10267950"/>
                  </a:xfrm>
                  <a:prstGeom prst="rect">
                    <a:avLst/>
                  </a:prstGeom>
                  <a:noFill/>
                  <a:ln w="9525">
                    <a:noFill/>
                    <a:miter lim="800000"/>
                    <a:headEnd/>
                    <a:tailEnd/>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rsidR="00AA0EF3" w:rsidRPr="004B1BF4" w14:paraId="647C844A" w14:textId="77777777" w:rsidTr="009D5CB3">
      <w:tc>
        <w:tcPr>
          <w:tcW w:w="9854" w:type="dxa"/>
          <w:shd w:val="clear" w:color="auto" w:fill="auto"/>
        </w:tcPr>
        <w:p w14:paraId="3C6AB3B2" w14:textId="77777777" w:rsidR="00AA0EF3" w:rsidRPr="004B1BF4" w:rsidRDefault="00BE2463" w:rsidP="005C2FF5">
          <w:pPr>
            <w:pStyle w:val="Header"/>
          </w:pPr>
          <w:fldSimple w:instr=" DOCVARIABLE  DocProjectTitle  \* MERGEFORMAT ">
            <w:r w:rsidR="00AA0EF3" w:rsidRPr="00E95E1A">
              <w:rPr>
                <w:bCs/>
              </w:rPr>
              <w:t>North</w:t>
            </w:r>
            <w:r w:rsidR="00AA0EF3">
              <w:t xml:space="preserve"> East Lincolnshire Sector Study &amp; Employment Land Review</w:t>
            </w:r>
          </w:fldSimple>
        </w:p>
      </w:tc>
    </w:tr>
    <w:tr w:rsidR="00AA0EF3" w:rsidRPr="004B1BF4" w14:paraId="4FF47BE7" w14:textId="77777777" w:rsidTr="004733A1">
      <w:trPr>
        <w:trHeight w:val="274"/>
      </w:trPr>
      <w:tc>
        <w:tcPr>
          <w:tcW w:w="9854" w:type="dxa"/>
          <w:tcBorders>
            <w:bottom w:val="single" w:sz="4" w:space="0" w:color="BFBFBF" w:themeColor="background1" w:themeShade="BF"/>
          </w:tcBorders>
          <w:shd w:val="clear" w:color="auto" w:fill="auto"/>
        </w:tcPr>
        <w:p w14:paraId="17EBE673" w14:textId="77777777" w:rsidR="00AA0EF3" w:rsidRPr="004B1BF4" w:rsidRDefault="00BE2463" w:rsidP="005C2FF5">
          <w:pPr>
            <w:pStyle w:val="Header"/>
          </w:pPr>
          <w:fldSimple w:instr=" DOCVARIABLE  DocReportTitle  \* MERGEFORMAT ">
            <w:r w:rsidR="00AA0EF3" w:rsidRPr="00E95E1A">
              <w:rPr>
                <w:bCs/>
              </w:rPr>
              <w:t>North</w:t>
            </w:r>
            <w:r w:rsidR="00AA0EF3">
              <w:t xml:space="preserve"> East Lincolnshire Sector Study</w:t>
            </w:r>
          </w:fldSimple>
        </w:p>
      </w:tc>
    </w:tr>
  </w:tbl>
  <w:p w14:paraId="71423A9C" w14:textId="77777777" w:rsidR="00AA0EF3" w:rsidRPr="004B1BF4" w:rsidRDefault="00AA0EF3" w:rsidP="009D5C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1A9410"/>
    <w:lvl w:ilvl="0">
      <w:start w:val="1"/>
      <w:numFmt w:val="decimal"/>
      <w:pStyle w:val="ListNumber5"/>
      <w:lvlText w:val="%1."/>
      <w:lvlJc w:val="left"/>
      <w:pPr>
        <w:tabs>
          <w:tab w:val="num" w:pos="1492"/>
        </w:tabs>
        <w:ind w:left="1492" w:hanging="360"/>
      </w:pPr>
    </w:lvl>
  </w:abstractNum>
  <w:abstractNum w:abstractNumId="1">
    <w:nsid w:val="FFFFFF7E"/>
    <w:multiLevelType w:val="singleLevel"/>
    <w:tmpl w:val="A1CED374"/>
    <w:lvl w:ilvl="0">
      <w:start w:val="1"/>
      <w:numFmt w:val="lowerRoman"/>
      <w:pStyle w:val="ListNumber3"/>
      <w:lvlText w:val="%1."/>
      <w:lvlJc w:val="left"/>
      <w:pPr>
        <w:ind w:left="926" w:hanging="360"/>
      </w:pPr>
      <w:rPr>
        <w:rFonts w:hint="default"/>
      </w:rPr>
    </w:lvl>
  </w:abstractNum>
  <w:abstractNum w:abstractNumId="2">
    <w:nsid w:val="FFFFFF83"/>
    <w:multiLevelType w:val="singleLevel"/>
    <w:tmpl w:val="269486AE"/>
    <w:lvl w:ilvl="0">
      <w:start w:val="1"/>
      <w:numFmt w:val="bullet"/>
      <w:pStyle w:val="ListBullet2"/>
      <w:lvlText w:val="-"/>
      <w:lvlJc w:val="left"/>
      <w:pPr>
        <w:ind w:left="700" w:hanging="360"/>
      </w:pPr>
      <w:rPr>
        <w:rFonts w:ascii="Arial" w:hAnsi="Arial" w:hint="default"/>
        <w:color w:val="auto"/>
      </w:rPr>
    </w:lvl>
  </w:abstractNum>
  <w:abstractNum w:abstractNumId="3">
    <w:nsid w:val="FFFFFF88"/>
    <w:multiLevelType w:val="singleLevel"/>
    <w:tmpl w:val="6658DD72"/>
    <w:lvl w:ilvl="0">
      <w:start w:val="1"/>
      <w:numFmt w:val="decimal"/>
      <w:pStyle w:val="ListNumber"/>
      <w:lvlText w:val="%1."/>
      <w:lvlJc w:val="left"/>
      <w:pPr>
        <w:tabs>
          <w:tab w:val="num" w:pos="340"/>
        </w:tabs>
        <w:ind w:left="340" w:hanging="340"/>
      </w:pPr>
      <w:rPr>
        <w:rFonts w:hint="default"/>
      </w:rPr>
    </w:lvl>
  </w:abstractNum>
  <w:abstractNum w:abstractNumId="4">
    <w:nsid w:val="FFFFFF89"/>
    <w:multiLevelType w:val="singleLevel"/>
    <w:tmpl w:val="0064505E"/>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14677EF"/>
    <w:multiLevelType w:val="hybridMultilevel"/>
    <w:tmpl w:val="D1542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30D4720"/>
    <w:multiLevelType w:val="hybridMultilevel"/>
    <w:tmpl w:val="B5842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3575675"/>
    <w:multiLevelType w:val="hybridMultilevel"/>
    <w:tmpl w:val="3E745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3C67530"/>
    <w:multiLevelType w:val="hybridMultilevel"/>
    <w:tmpl w:val="211C7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5D90022"/>
    <w:multiLevelType w:val="hybridMultilevel"/>
    <w:tmpl w:val="AC360478"/>
    <w:lvl w:ilvl="0" w:tplc="08090001">
      <w:start w:val="1"/>
      <w:numFmt w:val="bullet"/>
      <w:lvlText w:val=""/>
      <w:lvlJc w:val="left"/>
      <w:pPr>
        <w:ind w:left="445" w:hanging="360"/>
      </w:pPr>
      <w:rPr>
        <w:rFonts w:ascii="Symbol" w:hAnsi="Symbol" w:hint="default"/>
      </w:rPr>
    </w:lvl>
    <w:lvl w:ilvl="1" w:tplc="08090003" w:tentative="1">
      <w:start w:val="1"/>
      <w:numFmt w:val="bullet"/>
      <w:lvlText w:val="o"/>
      <w:lvlJc w:val="left"/>
      <w:pPr>
        <w:ind w:left="1165" w:hanging="360"/>
      </w:pPr>
      <w:rPr>
        <w:rFonts w:ascii="Courier New" w:hAnsi="Courier New" w:cs="Courier New" w:hint="default"/>
      </w:rPr>
    </w:lvl>
    <w:lvl w:ilvl="2" w:tplc="08090005" w:tentative="1">
      <w:start w:val="1"/>
      <w:numFmt w:val="bullet"/>
      <w:lvlText w:val=""/>
      <w:lvlJc w:val="left"/>
      <w:pPr>
        <w:ind w:left="1885" w:hanging="360"/>
      </w:pPr>
      <w:rPr>
        <w:rFonts w:ascii="Wingdings" w:hAnsi="Wingdings" w:hint="default"/>
      </w:rPr>
    </w:lvl>
    <w:lvl w:ilvl="3" w:tplc="08090001" w:tentative="1">
      <w:start w:val="1"/>
      <w:numFmt w:val="bullet"/>
      <w:lvlText w:val=""/>
      <w:lvlJc w:val="left"/>
      <w:pPr>
        <w:ind w:left="2605" w:hanging="360"/>
      </w:pPr>
      <w:rPr>
        <w:rFonts w:ascii="Symbol" w:hAnsi="Symbol" w:hint="default"/>
      </w:rPr>
    </w:lvl>
    <w:lvl w:ilvl="4" w:tplc="08090003" w:tentative="1">
      <w:start w:val="1"/>
      <w:numFmt w:val="bullet"/>
      <w:lvlText w:val="o"/>
      <w:lvlJc w:val="left"/>
      <w:pPr>
        <w:ind w:left="3325" w:hanging="360"/>
      </w:pPr>
      <w:rPr>
        <w:rFonts w:ascii="Courier New" w:hAnsi="Courier New" w:cs="Courier New" w:hint="default"/>
      </w:rPr>
    </w:lvl>
    <w:lvl w:ilvl="5" w:tplc="08090005" w:tentative="1">
      <w:start w:val="1"/>
      <w:numFmt w:val="bullet"/>
      <w:lvlText w:val=""/>
      <w:lvlJc w:val="left"/>
      <w:pPr>
        <w:ind w:left="4045" w:hanging="360"/>
      </w:pPr>
      <w:rPr>
        <w:rFonts w:ascii="Wingdings" w:hAnsi="Wingdings" w:hint="default"/>
      </w:rPr>
    </w:lvl>
    <w:lvl w:ilvl="6" w:tplc="08090001" w:tentative="1">
      <w:start w:val="1"/>
      <w:numFmt w:val="bullet"/>
      <w:lvlText w:val=""/>
      <w:lvlJc w:val="left"/>
      <w:pPr>
        <w:ind w:left="4765" w:hanging="360"/>
      </w:pPr>
      <w:rPr>
        <w:rFonts w:ascii="Symbol" w:hAnsi="Symbol" w:hint="default"/>
      </w:rPr>
    </w:lvl>
    <w:lvl w:ilvl="7" w:tplc="08090003" w:tentative="1">
      <w:start w:val="1"/>
      <w:numFmt w:val="bullet"/>
      <w:lvlText w:val="o"/>
      <w:lvlJc w:val="left"/>
      <w:pPr>
        <w:ind w:left="5485" w:hanging="360"/>
      </w:pPr>
      <w:rPr>
        <w:rFonts w:ascii="Courier New" w:hAnsi="Courier New" w:cs="Courier New" w:hint="default"/>
      </w:rPr>
    </w:lvl>
    <w:lvl w:ilvl="8" w:tplc="08090005" w:tentative="1">
      <w:start w:val="1"/>
      <w:numFmt w:val="bullet"/>
      <w:lvlText w:val=""/>
      <w:lvlJc w:val="left"/>
      <w:pPr>
        <w:ind w:left="6205" w:hanging="360"/>
      </w:pPr>
      <w:rPr>
        <w:rFonts w:ascii="Wingdings" w:hAnsi="Wingdings" w:hint="default"/>
      </w:rPr>
    </w:lvl>
  </w:abstractNum>
  <w:abstractNum w:abstractNumId="10">
    <w:nsid w:val="06BB67F1"/>
    <w:multiLevelType w:val="hybridMultilevel"/>
    <w:tmpl w:val="12EAEC30"/>
    <w:lvl w:ilvl="0" w:tplc="D57A5764">
      <w:start w:val="1"/>
      <w:numFmt w:val="bullet"/>
      <w:pStyle w:val="SubBullet"/>
      <w:lvlText w:val="-"/>
      <w:lvlJc w:val="left"/>
      <w:pPr>
        <w:tabs>
          <w:tab w:val="num" w:pos="1721"/>
        </w:tabs>
        <w:ind w:left="1721" w:hanging="360"/>
      </w:pPr>
      <w:rPr>
        <w:rFonts w:ascii="Arial" w:hAnsi="Arial" w:hint="default"/>
        <w:b w:val="0"/>
        <w:i w:val="0"/>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07073EA3"/>
    <w:multiLevelType w:val="hybridMultilevel"/>
    <w:tmpl w:val="5DD4E2D4"/>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2">
    <w:nsid w:val="075D3143"/>
    <w:multiLevelType w:val="hybridMultilevel"/>
    <w:tmpl w:val="28107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8D04BAE"/>
    <w:multiLevelType w:val="hybridMultilevel"/>
    <w:tmpl w:val="0840F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9110FB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C5D0883"/>
    <w:multiLevelType w:val="hybridMultilevel"/>
    <w:tmpl w:val="89BA2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C960070"/>
    <w:multiLevelType w:val="hybridMultilevel"/>
    <w:tmpl w:val="54D8374E"/>
    <w:lvl w:ilvl="0" w:tplc="08090001">
      <w:start w:val="1"/>
      <w:numFmt w:val="bullet"/>
      <w:lvlText w:val=""/>
      <w:lvlJc w:val="left"/>
      <w:pPr>
        <w:ind w:left="360" w:hanging="360"/>
      </w:pPr>
      <w:rPr>
        <w:rFonts w:ascii="Symbol" w:hAnsi="Symbol" w:hint="default"/>
      </w:rPr>
    </w:lvl>
    <w:lvl w:ilvl="1" w:tplc="18560FA8">
      <w:numFmt w:val="bullet"/>
      <w:lvlText w:val="•"/>
      <w:lvlJc w:val="left"/>
      <w:pPr>
        <w:ind w:left="1305" w:hanging="585"/>
      </w:pPr>
      <w:rPr>
        <w:rFonts w:ascii="Arial" w:eastAsia="Batang"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0CB66207"/>
    <w:multiLevelType w:val="multilevel"/>
    <w:tmpl w:val="5BFE9936"/>
    <w:styleLink w:val="Atkinsbullets"/>
    <w:lvl w:ilvl="0">
      <w:start w:val="1"/>
      <w:numFmt w:val="bullet"/>
      <w:lvlText w:val=""/>
      <w:lvlJc w:val="left"/>
      <w:pPr>
        <w:tabs>
          <w:tab w:val="num" w:pos="567"/>
        </w:tabs>
        <w:ind w:left="1021" w:hanging="454"/>
      </w:pPr>
      <w:rPr>
        <w:rFonts w:ascii="Wingdings" w:hAnsi="Wingdings" w:hint="default"/>
      </w:rPr>
    </w:lvl>
    <w:lvl w:ilvl="1">
      <w:start w:val="1"/>
      <w:numFmt w:val="bullet"/>
      <w:lvlText w:val="–"/>
      <w:lvlJc w:val="left"/>
      <w:pPr>
        <w:tabs>
          <w:tab w:val="num" w:pos="1021"/>
        </w:tabs>
        <w:ind w:left="1475" w:hanging="454"/>
      </w:pPr>
      <w:rPr>
        <w:rFonts w:ascii="Tahoma" w:hAnsi="Tahoma" w:hint="default"/>
      </w:rPr>
    </w:lvl>
    <w:lvl w:ilvl="2">
      <w:start w:val="1"/>
      <w:numFmt w:val="bullet"/>
      <w:lvlText w:val="–"/>
      <w:lvlJc w:val="left"/>
      <w:pPr>
        <w:tabs>
          <w:tab w:val="num" w:pos="1475"/>
        </w:tabs>
        <w:ind w:left="1929" w:hanging="454"/>
      </w:pPr>
      <w:rPr>
        <w:rFonts w:ascii="Tahoma" w:hAnsi="Tahoma" w:hint="default"/>
      </w:rPr>
    </w:lvl>
    <w:lvl w:ilvl="3">
      <w:start w:val="1"/>
      <w:numFmt w:val="bullet"/>
      <w:lvlText w:val="–"/>
      <w:lvlJc w:val="left"/>
      <w:pPr>
        <w:tabs>
          <w:tab w:val="num" w:pos="1929"/>
        </w:tabs>
        <w:ind w:left="2383" w:hanging="454"/>
      </w:pPr>
      <w:rPr>
        <w:rFonts w:ascii="Tahoma" w:hAnsi="Tahoma" w:hint="default"/>
      </w:rPr>
    </w:lvl>
    <w:lvl w:ilvl="4">
      <w:start w:val="1"/>
      <w:numFmt w:val="bullet"/>
      <w:lvlText w:val="–"/>
      <w:lvlJc w:val="left"/>
      <w:pPr>
        <w:tabs>
          <w:tab w:val="num" w:pos="2383"/>
        </w:tabs>
        <w:ind w:left="2837" w:hanging="454"/>
      </w:pPr>
      <w:rPr>
        <w:rFonts w:ascii="Tahoma" w:hAnsi="Tahoma" w:hint="default"/>
      </w:rPr>
    </w:lvl>
    <w:lvl w:ilvl="5">
      <w:start w:val="1"/>
      <w:numFmt w:val="bullet"/>
      <w:lvlText w:val="–"/>
      <w:lvlJc w:val="left"/>
      <w:pPr>
        <w:tabs>
          <w:tab w:val="num" w:pos="2837"/>
        </w:tabs>
        <w:ind w:left="3291" w:hanging="454"/>
      </w:pPr>
      <w:rPr>
        <w:rFonts w:ascii="Tahoma" w:hAnsi="Tahoma" w:hint="default"/>
      </w:rPr>
    </w:lvl>
    <w:lvl w:ilvl="6">
      <w:start w:val="1"/>
      <w:numFmt w:val="bullet"/>
      <w:lvlText w:val="–"/>
      <w:lvlJc w:val="left"/>
      <w:pPr>
        <w:tabs>
          <w:tab w:val="num" w:pos="3291"/>
        </w:tabs>
        <w:ind w:left="3745" w:hanging="454"/>
      </w:pPr>
      <w:rPr>
        <w:rFonts w:ascii="Tahoma" w:hAnsi="Tahoma" w:hint="default"/>
      </w:rPr>
    </w:lvl>
    <w:lvl w:ilvl="7">
      <w:start w:val="1"/>
      <w:numFmt w:val="bullet"/>
      <w:lvlText w:val="–"/>
      <w:lvlJc w:val="left"/>
      <w:pPr>
        <w:tabs>
          <w:tab w:val="num" w:pos="3745"/>
        </w:tabs>
        <w:ind w:left="4199" w:hanging="454"/>
      </w:pPr>
      <w:rPr>
        <w:rFonts w:ascii="Tahoma" w:hAnsi="Tahoma" w:hint="default"/>
      </w:rPr>
    </w:lvl>
    <w:lvl w:ilvl="8">
      <w:start w:val="1"/>
      <w:numFmt w:val="bullet"/>
      <w:lvlText w:val="–"/>
      <w:lvlJc w:val="left"/>
      <w:pPr>
        <w:tabs>
          <w:tab w:val="num" w:pos="4199"/>
        </w:tabs>
        <w:ind w:left="4653" w:hanging="454"/>
      </w:pPr>
      <w:rPr>
        <w:rFonts w:ascii="Tahoma" w:hAnsi="Tahoma" w:hint="default"/>
      </w:rPr>
    </w:lvl>
  </w:abstractNum>
  <w:abstractNum w:abstractNumId="18">
    <w:nsid w:val="110A70BA"/>
    <w:multiLevelType w:val="hybridMultilevel"/>
    <w:tmpl w:val="CBDE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15101D2"/>
    <w:multiLevelType w:val="hybridMultilevel"/>
    <w:tmpl w:val="0E02C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2643E20"/>
    <w:multiLevelType w:val="multilevel"/>
    <w:tmpl w:val="051C41E6"/>
    <w:styleLink w:val="ATKINSNUMBERS"/>
    <w:lvl w:ilvl="0">
      <w:start w:val="1"/>
      <w:numFmt w:val="decimal"/>
      <w:lvlText w:val="%1)"/>
      <w:lvlJc w:val="left"/>
      <w:pPr>
        <w:tabs>
          <w:tab w:val="num" w:pos="567"/>
        </w:tabs>
        <w:ind w:left="567" w:hanging="567"/>
      </w:pPr>
      <w:rPr>
        <w:rFonts w:asciiTheme="minorHAnsi" w:hAnsiTheme="minorHAnsi" w:hint="default"/>
        <w:b w:val="0"/>
        <w:i w:val="0"/>
      </w:rPr>
    </w:lvl>
    <w:lvl w:ilvl="1">
      <w:start w:val="1"/>
      <w:numFmt w:val="decimal"/>
      <w:lvlText w:val="%2)"/>
      <w:lvlJc w:val="left"/>
      <w:pPr>
        <w:tabs>
          <w:tab w:val="num" w:pos="1134"/>
        </w:tabs>
        <w:ind w:left="1134" w:hanging="567"/>
      </w:pPr>
      <w:rPr>
        <w:rFonts w:hint="default"/>
      </w:rPr>
    </w:lvl>
    <w:lvl w:ilvl="2">
      <w:start w:val="1"/>
      <w:numFmt w:val="decimal"/>
      <w:lvlText w:val="%3)"/>
      <w:lvlJc w:val="righ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decimal"/>
      <w:lvlText w:val="%5)"/>
      <w:lvlJc w:val="left"/>
      <w:pPr>
        <w:tabs>
          <w:tab w:val="num" w:pos="2835"/>
        </w:tabs>
        <w:ind w:left="2835" w:hanging="567"/>
      </w:pPr>
      <w:rPr>
        <w:rFonts w:hint="default"/>
      </w:rPr>
    </w:lvl>
    <w:lvl w:ilvl="5">
      <w:start w:val="1"/>
      <w:numFmt w:val="decimal"/>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decimal"/>
      <w:lvlText w:val="%8)"/>
      <w:lvlJc w:val="left"/>
      <w:pPr>
        <w:tabs>
          <w:tab w:val="num" w:pos="4536"/>
        </w:tabs>
        <w:ind w:left="4536" w:hanging="567"/>
      </w:pPr>
      <w:rPr>
        <w:rFonts w:hint="default"/>
      </w:rPr>
    </w:lvl>
    <w:lvl w:ilvl="8">
      <w:start w:val="1"/>
      <w:numFmt w:val="decimal"/>
      <w:lvlText w:val="%9)"/>
      <w:lvlJc w:val="right"/>
      <w:pPr>
        <w:tabs>
          <w:tab w:val="num" w:pos="5103"/>
        </w:tabs>
        <w:ind w:left="5103" w:hanging="567"/>
      </w:pPr>
      <w:rPr>
        <w:rFonts w:hint="default"/>
      </w:rPr>
    </w:lvl>
  </w:abstractNum>
  <w:abstractNum w:abstractNumId="21">
    <w:nsid w:val="128477B2"/>
    <w:multiLevelType w:val="hybridMultilevel"/>
    <w:tmpl w:val="8AEA98B8"/>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2">
    <w:nsid w:val="12EC2684"/>
    <w:multiLevelType w:val="hybridMultilevel"/>
    <w:tmpl w:val="8C4A9A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722242D"/>
    <w:multiLevelType w:val="hybridMultilevel"/>
    <w:tmpl w:val="F168CE5A"/>
    <w:lvl w:ilvl="0" w:tplc="A9940E04">
      <w:start w:val="1"/>
      <w:numFmt w:val="decimal"/>
      <w:pStyle w:val="TableTitle"/>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BE31943"/>
    <w:multiLevelType w:val="hybridMultilevel"/>
    <w:tmpl w:val="9BD49084"/>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nsid w:val="1D85251C"/>
    <w:multiLevelType w:val="hybridMultilevel"/>
    <w:tmpl w:val="DBEEB3C8"/>
    <w:lvl w:ilvl="0" w:tplc="08090001">
      <w:start w:val="1"/>
      <w:numFmt w:val="bullet"/>
      <w:lvlText w:val=""/>
      <w:lvlJc w:val="left"/>
      <w:pPr>
        <w:ind w:left="805" w:hanging="360"/>
      </w:pPr>
      <w:rPr>
        <w:rFonts w:ascii="Symbol" w:hAnsi="Symbol" w:hint="default"/>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26">
    <w:nsid w:val="1F220D40"/>
    <w:multiLevelType w:val="hybridMultilevel"/>
    <w:tmpl w:val="0C965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F2C0AB1"/>
    <w:multiLevelType w:val="hybridMultilevel"/>
    <w:tmpl w:val="7F020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00478A7"/>
    <w:multiLevelType w:val="hybridMultilevel"/>
    <w:tmpl w:val="C4406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2321CD4"/>
    <w:multiLevelType w:val="hybridMultilevel"/>
    <w:tmpl w:val="4FBC4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24A80CD2"/>
    <w:multiLevelType w:val="hybridMultilevel"/>
    <w:tmpl w:val="04686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5B66D3E"/>
    <w:multiLevelType w:val="hybridMultilevel"/>
    <w:tmpl w:val="425E9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62939F7"/>
    <w:multiLevelType w:val="hybridMultilevel"/>
    <w:tmpl w:val="FADA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7BE5730"/>
    <w:multiLevelType w:val="hybridMultilevel"/>
    <w:tmpl w:val="31887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8337256"/>
    <w:multiLevelType w:val="hybridMultilevel"/>
    <w:tmpl w:val="41302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8893B21"/>
    <w:multiLevelType w:val="hybridMultilevel"/>
    <w:tmpl w:val="2CF65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8B90DFC"/>
    <w:multiLevelType w:val="hybridMultilevel"/>
    <w:tmpl w:val="608E9D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C643A89"/>
    <w:multiLevelType w:val="hybridMultilevel"/>
    <w:tmpl w:val="A0789500"/>
    <w:lvl w:ilvl="0" w:tplc="04D0222E">
      <w:start w:val="1"/>
      <w:numFmt w:val="decimal"/>
      <w:lvlText w:val="%1."/>
      <w:lvlJc w:val="left"/>
      <w:pPr>
        <w:ind w:left="720" w:hanging="360"/>
      </w:pPr>
    </w:lvl>
    <w:lvl w:ilvl="1" w:tplc="805838F2" w:tentative="1">
      <w:start w:val="1"/>
      <w:numFmt w:val="lowerLetter"/>
      <w:lvlText w:val="%2."/>
      <w:lvlJc w:val="left"/>
      <w:pPr>
        <w:ind w:left="1440" w:hanging="360"/>
      </w:pPr>
    </w:lvl>
    <w:lvl w:ilvl="2" w:tplc="F9D89824" w:tentative="1">
      <w:start w:val="1"/>
      <w:numFmt w:val="lowerRoman"/>
      <w:lvlText w:val="%3."/>
      <w:lvlJc w:val="right"/>
      <w:pPr>
        <w:ind w:left="2160" w:hanging="180"/>
      </w:pPr>
    </w:lvl>
    <w:lvl w:ilvl="3" w:tplc="3F1451B4" w:tentative="1">
      <w:start w:val="1"/>
      <w:numFmt w:val="decimal"/>
      <w:lvlText w:val="%4."/>
      <w:lvlJc w:val="left"/>
      <w:pPr>
        <w:ind w:left="2880" w:hanging="360"/>
      </w:pPr>
    </w:lvl>
    <w:lvl w:ilvl="4" w:tplc="B7781086" w:tentative="1">
      <w:start w:val="1"/>
      <w:numFmt w:val="lowerLetter"/>
      <w:lvlText w:val="%5."/>
      <w:lvlJc w:val="left"/>
      <w:pPr>
        <w:ind w:left="3600" w:hanging="360"/>
      </w:pPr>
    </w:lvl>
    <w:lvl w:ilvl="5" w:tplc="67E67762" w:tentative="1">
      <w:start w:val="1"/>
      <w:numFmt w:val="lowerRoman"/>
      <w:lvlText w:val="%6."/>
      <w:lvlJc w:val="right"/>
      <w:pPr>
        <w:ind w:left="4320" w:hanging="180"/>
      </w:pPr>
    </w:lvl>
    <w:lvl w:ilvl="6" w:tplc="8E90C5EC" w:tentative="1">
      <w:start w:val="1"/>
      <w:numFmt w:val="decimal"/>
      <w:lvlText w:val="%7."/>
      <w:lvlJc w:val="left"/>
      <w:pPr>
        <w:ind w:left="5040" w:hanging="360"/>
      </w:pPr>
    </w:lvl>
    <w:lvl w:ilvl="7" w:tplc="8EF25C3E" w:tentative="1">
      <w:start w:val="1"/>
      <w:numFmt w:val="lowerLetter"/>
      <w:lvlText w:val="%8."/>
      <w:lvlJc w:val="left"/>
      <w:pPr>
        <w:ind w:left="5760" w:hanging="360"/>
      </w:pPr>
    </w:lvl>
    <w:lvl w:ilvl="8" w:tplc="4720EC9C" w:tentative="1">
      <w:start w:val="1"/>
      <w:numFmt w:val="lowerRoman"/>
      <w:lvlText w:val="%9."/>
      <w:lvlJc w:val="right"/>
      <w:pPr>
        <w:ind w:left="6480" w:hanging="180"/>
      </w:pPr>
    </w:lvl>
  </w:abstractNum>
  <w:abstractNum w:abstractNumId="38">
    <w:nsid w:val="2C6566AA"/>
    <w:multiLevelType w:val="singleLevel"/>
    <w:tmpl w:val="44AE47BC"/>
    <w:lvl w:ilvl="0">
      <w:start w:val="1"/>
      <w:numFmt w:val="bullet"/>
      <w:pStyle w:val="Level4"/>
      <w:lvlText w:val=""/>
      <w:lvlJc w:val="left"/>
      <w:pPr>
        <w:tabs>
          <w:tab w:val="num" w:pos="720"/>
        </w:tabs>
        <w:ind w:left="720" w:hanging="720"/>
      </w:pPr>
      <w:rPr>
        <w:rFonts w:ascii="Symbol" w:hAnsi="Symbol" w:hint="default"/>
      </w:rPr>
    </w:lvl>
  </w:abstractNum>
  <w:abstractNum w:abstractNumId="39">
    <w:nsid w:val="2CFA1C99"/>
    <w:multiLevelType w:val="hybridMultilevel"/>
    <w:tmpl w:val="924CD8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2D7758E7"/>
    <w:multiLevelType w:val="hybridMultilevel"/>
    <w:tmpl w:val="BF70A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DA26D63"/>
    <w:multiLevelType w:val="multilevel"/>
    <w:tmpl w:val="0AAE1E2A"/>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2">
    <w:nsid w:val="2E1752B5"/>
    <w:multiLevelType w:val="hybridMultilevel"/>
    <w:tmpl w:val="3DF42656"/>
    <w:lvl w:ilvl="0" w:tplc="A784F374">
      <w:start w:val="1"/>
      <w:numFmt w:val="decimal"/>
      <w:pStyle w:val="ListParagraph"/>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nsid w:val="2E28665C"/>
    <w:multiLevelType w:val="hybridMultilevel"/>
    <w:tmpl w:val="65142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F3F4ABD"/>
    <w:multiLevelType w:val="hybridMultilevel"/>
    <w:tmpl w:val="17CAE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2FDE20F2"/>
    <w:multiLevelType w:val="singleLevel"/>
    <w:tmpl w:val="FE4680AA"/>
    <w:lvl w:ilvl="0">
      <w:numFmt w:val="bullet"/>
      <w:pStyle w:val="GVABullets"/>
      <w:lvlText w:val=""/>
      <w:lvlJc w:val="left"/>
      <w:pPr>
        <w:tabs>
          <w:tab w:val="num" w:pos="1117"/>
        </w:tabs>
        <w:ind w:left="1117" w:hanging="397"/>
      </w:pPr>
      <w:rPr>
        <w:rFonts w:ascii="Symbol" w:hAnsi="Symbol" w:hint="default"/>
        <w:color w:val="8A2529"/>
      </w:rPr>
    </w:lvl>
  </w:abstractNum>
  <w:abstractNum w:abstractNumId="46">
    <w:nsid w:val="2FE34DA9"/>
    <w:multiLevelType w:val="hybridMultilevel"/>
    <w:tmpl w:val="0BD44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301A1EFA"/>
    <w:multiLevelType w:val="hybridMultilevel"/>
    <w:tmpl w:val="3BDE2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0237C1A"/>
    <w:multiLevelType w:val="hybridMultilevel"/>
    <w:tmpl w:val="8F146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15F5491"/>
    <w:multiLevelType w:val="hybridMultilevel"/>
    <w:tmpl w:val="0B701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4961D46"/>
    <w:multiLevelType w:val="hybridMultilevel"/>
    <w:tmpl w:val="93163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89C700A"/>
    <w:multiLevelType w:val="hybridMultilevel"/>
    <w:tmpl w:val="F8B00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392A495B"/>
    <w:multiLevelType w:val="multilevel"/>
    <w:tmpl w:val="FE00ED26"/>
    <w:lvl w:ilvl="0">
      <w:start w:val="1"/>
      <w:numFmt w:val="decimal"/>
      <w:pStyle w:val="03HeaderMainBody"/>
      <w:lvlText w:val="%1."/>
      <w:lvlJc w:val="left"/>
      <w:pPr>
        <w:tabs>
          <w:tab w:val="num" w:pos="720"/>
        </w:tabs>
        <w:ind w:left="720" w:hanging="720"/>
      </w:pPr>
      <w:rPr>
        <w:rFonts w:cs="Times New Roman" w:hint="default"/>
        <w:color w:val="006685"/>
      </w:rPr>
    </w:lvl>
    <w:lvl w:ilvl="1">
      <w:start w:val="1"/>
      <w:numFmt w:val="decimal"/>
      <w:pStyle w:val="04NumberedBodyTextCenturyGothic"/>
      <w:lvlText w:val="%1.%2"/>
      <w:lvlJc w:val="left"/>
      <w:pPr>
        <w:tabs>
          <w:tab w:val="num" w:pos="720"/>
        </w:tabs>
        <w:ind w:left="720" w:hanging="720"/>
      </w:pPr>
      <w:rPr>
        <w:rFonts w:ascii="Century Gothic" w:hAnsi="Century Gothic" w:cs="Times New Roman" w:hint="default"/>
        <w:vanish w:val="0"/>
        <w:color w:val="auto"/>
        <w:sz w:val="20"/>
        <w:szCs w:val="20"/>
      </w:rPr>
    </w:lvl>
    <w:lvl w:ilvl="2">
      <w:start w:val="1"/>
      <w:numFmt w:val="decimal"/>
      <w:isLgl/>
      <w:lvlText w:val="%1.%2.%3"/>
      <w:lvlJc w:val="left"/>
      <w:pPr>
        <w:tabs>
          <w:tab w:val="num" w:pos="737"/>
        </w:tabs>
        <w:ind w:left="737" w:hanging="737"/>
      </w:pPr>
      <w:rPr>
        <w:rFonts w:cs="Times New Roman" w:hint="default"/>
      </w:rPr>
    </w:lvl>
    <w:lvl w:ilvl="3">
      <w:start w:val="1"/>
      <w:numFmt w:val="decimal"/>
      <w:isLgl/>
      <w:lvlText w:val="%1.%2.%3.%4"/>
      <w:lvlJc w:val="left"/>
      <w:pPr>
        <w:tabs>
          <w:tab w:val="num" w:pos="737"/>
        </w:tabs>
        <w:ind w:left="737" w:hanging="737"/>
      </w:pPr>
      <w:rPr>
        <w:rFonts w:cs="Times New Roman" w:hint="default"/>
      </w:rPr>
    </w:lvl>
    <w:lvl w:ilvl="4">
      <w:start w:val="1"/>
      <w:numFmt w:val="decimal"/>
      <w:isLgl/>
      <w:lvlText w:val="%1.%2.%3.%4.%5"/>
      <w:lvlJc w:val="left"/>
      <w:pPr>
        <w:tabs>
          <w:tab w:val="num" w:pos="1440"/>
        </w:tabs>
        <w:ind w:left="720" w:hanging="720"/>
      </w:pPr>
      <w:rPr>
        <w:rFonts w:cs="Times New Roman" w:hint="default"/>
      </w:rPr>
    </w:lvl>
    <w:lvl w:ilvl="5">
      <w:start w:val="1"/>
      <w:numFmt w:val="decimal"/>
      <w:isLgl/>
      <w:lvlText w:val="%1.%2.%3.%4.%5.%6"/>
      <w:lvlJc w:val="left"/>
      <w:pPr>
        <w:tabs>
          <w:tab w:val="num" w:pos="1800"/>
        </w:tabs>
        <w:ind w:left="1080" w:hanging="1080"/>
      </w:pPr>
      <w:rPr>
        <w:rFonts w:cs="Times New Roman" w:hint="default"/>
      </w:rPr>
    </w:lvl>
    <w:lvl w:ilvl="6">
      <w:start w:val="1"/>
      <w:numFmt w:val="decimal"/>
      <w:isLgl/>
      <w:lvlText w:val="%1.%2.%3.%4.%5.%6.%7"/>
      <w:lvlJc w:val="left"/>
      <w:pPr>
        <w:tabs>
          <w:tab w:val="num" w:pos="2160"/>
        </w:tabs>
        <w:ind w:left="1080" w:hanging="1080"/>
      </w:pPr>
      <w:rPr>
        <w:rFonts w:cs="Times New Roman" w:hint="default"/>
      </w:rPr>
    </w:lvl>
    <w:lvl w:ilvl="7">
      <w:start w:val="1"/>
      <w:numFmt w:val="decimal"/>
      <w:isLgl/>
      <w:lvlText w:val="%1.%2.%3.%4.%5.%6.%7.%8"/>
      <w:lvlJc w:val="left"/>
      <w:pPr>
        <w:tabs>
          <w:tab w:val="num" w:pos="2520"/>
        </w:tabs>
        <w:ind w:left="1440" w:hanging="1440"/>
      </w:pPr>
      <w:rPr>
        <w:rFonts w:cs="Times New Roman" w:hint="default"/>
      </w:rPr>
    </w:lvl>
    <w:lvl w:ilvl="8">
      <w:start w:val="1"/>
      <w:numFmt w:val="decimal"/>
      <w:isLgl/>
      <w:lvlText w:val="%1.%2.%3.%4.%5.%6.%7.%8.%9"/>
      <w:lvlJc w:val="left"/>
      <w:pPr>
        <w:tabs>
          <w:tab w:val="num" w:pos="2880"/>
        </w:tabs>
        <w:ind w:left="1440" w:hanging="1440"/>
      </w:pPr>
      <w:rPr>
        <w:rFonts w:cs="Times New Roman" w:hint="default"/>
      </w:rPr>
    </w:lvl>
  </w:abstractNum>
  <w:abstractNum w:abstractNumId="53">
    <w:nsid w:val="39E55074"/>
    <w:multiLevelType w:val="hybridMultilevel"/>
    <w:tmpl w:val="E4BC9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A614FD4"/>
    <w:multiLevelType w:val="hybridMultilevel"/>
    <w:tmpl w:val="9C7CD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A9D4A90"/>
    <w:multiLevelType w:val="hybridMultilevel"/>
    <w:tmpl w:val="FF3067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3B15610E"/>
    <w:multiLevelType w:val="hybridMultilevel"/>
    <w:tmpl w:val="1DB87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3C5B4160"/>
    <w:multiLevelType w:val="hybridMultilevel"/>
    <w:tmpl w:val="6A4E9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D397528"/>
    <w:multiLevelType w:val="hybridMultilevel"/>
    <w:tmpl w:val="B022AC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3E4B1035"/>
    <w:multiLevelType w:val="hybridMultilevel"/>
    <w:tmpl w:val="F0184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F597B15"/>
    <w:multiLevelType w:val="hybridMultilevel"/>
    <w:tmpl w:val="64D6EC5C"/>
    <w:lvl w:ilvl="0" w:tplc="27568B2E">
      <w:start w:val="1"/>
      <w:numFmt w:val="bullet"/>
      <w:lvlText w:val=""/>
      <w:lvlJc w:val="left"/>
      <w:pPr>
        <w:ind w:left="720" w:hanging="360"/>
      </w:pPr>
      <w:rPr>
        <w:rFonts w:ascii="Symbol" w:hAnsi="Symbol" w:hint="default"/>
      </w:rPr>
    </w:lvl>
    <w:lvl w:ilvl="1" w:tplc="F8A471E8" w:tentative="1">
      <w:start w:val="1"/>
      <w:numFmt w:val="bullet"/>
      <w:lvlText w:val="o"/>
      <w:lvlJc w:val="left"/>
      <w:pPr>
        <w:ind w:left="1440" w:hanging="360"/>
      </w:pPr>
      <w:rPr>
        <w:rFonts w:ascii="Courier New" w:hAnsi="Courier New" w:cs="Courier New" w:hint="default"/>
      </w:rPr>
    </w:lvl>
    <w:lvl w:ilvl="2" w:tplc="498631A6" w:tentative="1">
      <w:start w:val="1"/>
      <w:numFmt w:val="bullet"/>
      <w:lvlText w:val=""/>
      <w:lvlJc w:val="left"/>
      <w:pPr>
        <w:ind w:left="2160" w:hanging="360"/>
      </w:pPr>
      <w:rPr>
        <w:rFonts w:ascii="Wingdings" w:hAnsi="Wingdings" w:hint="default"/>
      </w:rPr>
    </w:lvl>
    <w:lvl w:ilvl="3" w:tplc="00F042C8" w:tentative="1">
      <w:start w:val="1"/>
      <w:numFmt w:val="bullet"/>
      <w:lvlText w:val=""/>
      <w:lvlJc w:val="left"/>
      <w:pPr>
        <w:ind w:left="2880" w:hanging="360"/>
      </w:pPr>
      <w:rPr>
        <w:rFonts w:ascii="Symbol" w:hAnsi="Symbol" w:hint="default"/>
      </w:rPr>
    </w:lvl>
    <w:lvl w:ilvl="4" w:tplc="6B46BB10" w:tentative="1">
      <w:start w:val="1"/>
      <w:numFmt w:val="bullet"/>
      <w:lvlText w:val="o"/>
      <w:lvlJc w:val="left"/>
      <w:pPr>
        <w:ind w:left="3600" w:hanging="360"/>
      </w:pPr>
      <w:rPr>
        <w:rFonts w:ascii="Courier New" w:hAnsi="Courier New" w:cs="Courier New" w:hint="default"/>
      </w:rPr>
    </w:lvl>
    <w:lvl w:ilvl="5" w:tplc="F426FC9C" w:tentative="1">
      <w:start w:val="1"/>
      <w:numFmt w:val="bullet"/>
      <w:lvlText w:val=""/>
      <w:lvlJc w:val="left"/>
      <w:pPr>
        <w:ind w:left="4320" w:hanging="360"/>
      </w:pPr>
      <w:rPr>
        <w:rFonts w:ascii="Wingdings" w:hAnsi="Wingdings" w:hint="default"/>
      </w:rPr>
    </w:lvl>
    <w:lvl w:ilvl="6" w:tplc="72FCA4E0" w:tentative="1">
      <w:start w:val="1"/>
      <w:numFmt w:val="bullet"/>
      <w:lvlText w:val=""/>
      <w:lvlJc w:val="left"/>
      <w:pPr>
        <w:ind w:left="5040" w:hanging="360"/>
      </w:pPr>
      <w:rPr>
        <w:rFonts w:ascii="Symbol" w:hAnsi="Symbol" w:hint="default"/>
      </w:rPr>
    </w:lvl>
    <w:lvl w:ilvl="7" w:tplc="B000A2E0" w:tentative="1">
      <w:start w:val="1"/>
      <w:numFmt w:val="bullet"/>
      <w:lvlText w:val="o"/>
      <w:lvlJc w:val="left"/>
      <w:pPr>
        <w:ind w:left="5760" w:hanging="360"/>
      </w:pPr>
      <w:rPr>
        <w:rFonts w:ascii="Courier New" w:hAnsi="Courier New" w:cs="Courier New" w:hint="default"/>
      </w:rPr>
    </w:lvl>
    <w:lvl w:ilvl="8" w:tplc="F8BE4F90" w:tentative="1">
      <w:start w:val="1"/>
      <w:numFmt w:val="bullet"/>
      <w:lvlText w:val=""/>
      <w:lvlJc w:val="left"/>
      <w:pPr>
        <w:ind w:left="6480" w:hanging="360"/>
      </w:pPr>
      <w:rPr>
        <w:rFonts w:ascii="Wingdings" w:hAnsi="Wingdings" w:hint="default"/>
      </w:rPr>
    </w:lvl>
  </w:abstractNum>
  <w:abstractNum w:abstractNumId="61">
    <w:nsid w:val="3FAC6977"/>
    <w:multiLevelType w:val="hybridMultilevel"/>
    <w:tmpl w:val="B3A8A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10E6977"/>
    <w:multiLevelType w:val="hybridMultilevel"/>
    <w:tmpl w:val="81B45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41720473"/>
    <w:multiLevelType w:val="hybridMultilevel"/>
    <w:tmpl w:val="9A7AE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417D2146"/>
    <w:multiLevelType w:val="hybridMultilevel"/>
    <w:tmpl w:val="4134E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26C5B04"/>
    <w:multiLevelType w:val="hybridMultilevel"/>
    <w:tmpl w:val="D3503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43513582"/>
    <w:multiLevelType w:val="hybridMultilevel"/>
    <w:tmpl w:val="12767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4469420C"/>
    <w:multiLevelType w:val="hybridMultilevel"/>
    <w:tmpl w:val="23BA2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4C61552"/>
    <w:multiLevelType w:val="hybridMultilevel"/>
    <w:tmpl w:val="1BF85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451E4E8C"/>
    <w:multiLevelType w:val="hybridMultilevel"/>
    <w:tmpl w:val="6FCA2DA8"/>
    <w:lvl w:ilvl="0" w:tplc="C2EC914A">
      <w:start w:val="1"/>
      <w:numFmt w:val="decimal"/>
      <w:pStyle w:val="FigureTitle"/>
      <w:lvlText w:val="Figure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4562760E"/>
    <w:multiLevelType w:val="hybridMultilevel"/>
    <w:tmpl w:val="AA54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46073A27"/>
    <w:multiLevelType w:val="hybridMultilevel"/>
    <w:tmpl w:val="3468D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60E538A"/>
    <w:multiLevelType w:val="hybridMultilevel"/>
    <w:tmpl w:val="4A34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47892287"/>
    <w:multiLevelType w:val="hybridMultilevel"/>
    <w:tmpl w:val="79D44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482444A8"/>
    <w:multiLevelType w:val="hybridMultilevel"/>
    <w:tmpl w:val="2A1CE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4E822069"/>
    <w:multiLevelType w:val="hybridMultilevel"/>
    <w:tmpl w:val="830CCDAE"/>
    <w:lvl w:ilvl="0" w:tplc="08090001">
      <w:start w:val="1"/>
      <w:numFmt w:val="bullet"/>
      <w:lvlText w:val=""/>
      <w:lvlJc w:val="left"/>
      <w:pPr>
        <w:ind w:left="720" w:hanging="360"/>
      </w:pPr>
      <w:rPr>
        <w:rFonts w:ascii="Symbol" w:hAnsi="Symbol" w:hint="default"/>
      </w:rPr>
    </w:lvl>
    <w:lvl w:ilvl="1" w:tplc="5C1E7B26">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4F011735"/>
    <w:multiLevelType w:val="hybridMultilevel"/>
    <w:tmpl w:val="2004C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502573D9"/>
    <w:multiLevelType w:val="hybridMultilevel"/>
    <w:tmpl w:val="2A38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5146415C"/>
    <w:multiLevelType w:val="hybridMultilevel"/>
    <w:tmpl w:val="6FCAF562"/>
    <w:lvl w:ilvl="0" w:tplc="EE9675E0">
      <w:start w:val="1"/>
      <w:numFmt w:val="lowerRoman"/>
      <w:pStyle w:val="ListNumber4"/>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527753BB"/>
    <w:multiLevelType w:val="singleLevel"/>
    <w:tmpl w:val="FABA7A76"/>
    <w:lvl w:ilvl="0">
      <w:start w:val="1"/>
      <w:numFmt w:val="bullet"/>
      <w:pStyle w:val="Level5"/>
      <w:lvlText w:val=""/>
      <w:lvlJc w:val="left"/>
      <w:pPr>
        <w:tabs>
          <w:tab w:val="num" w:pos="720"/>
        </w:tabs>
        <w:ind w:left="720" w:hanging="720"/>
      </w:pPr>
      <w:rPr>
        <w:rFonts w:ascii="Symbol" w:hAnsi="Symbol" w:hint="default"/>
      </w:rPr>
    </w:lvl>
  </w:abstractNum>
  <w:abstractNum w:abstractNumId="80">
    <w:nsid w:val="535C2B7A"/>
    <w:multiLevelType w:val="hybridMultilevel"/>
    <w:tmpl w:val="24CE6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53CC7A47"/>
    <w:multiLevelType w:val="hybridMultilevel"/>
    <w:tmpl w:val="A1907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54242C01"/>
    <w:multiLevelType w:val="hybridMultilevel"/>
    <w:tmpl w:val="ADDED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55607E81"/>
    <w:multiLevelType w:val="hybridMultilevel"/>
    <w:tmpl w:val="02747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55BA03DB"/>
    <w:multiLevelType w:val="hybridMultilevel"/>
    <w:tmpl w:val="3F2E226C"/>
    <w:lvl w:ilvl="0" w:tplc="C8FE6978">
      <w:start w:val="1"/>
      <w:numFmt w:val="lowerLetter"/>
      <w:pStyle w:val="ListNumber2"/>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578B3C53"/>
    <w:multiLevelType w:val="hybridMultilevel"/>
    <w:tmpl w:val="0DCA466C"/>
    <w:lvl w:ilvl="0" w:tplc="79AC557A">
      <w:start w:val="1"/>
      <w:numFmt w:val="bullet"/>
      <w:lvlText w:val=""/>
      <w:lvlJc w:val="left"/>
      <w:pPr>
        <w:ind w:left="720" w:hanging="360"/>
      </w:pPr>
      <w:rPr>
        <w:rFonts w:ascii="Symbol" w:hAnsi="Symbol" w:hint="default"/>
      </w:rPr>
    </w:lvl>
    <w:lvl w:ilvl="1" w:tplc="AC3ADAC2" w:tentative="1">
      <w:start w:val="1"/>
      <w:numFmt w:val="bullet"/>
      <w:lvlText w:val="o"/>
      <w:lvlJc w:val="left"/>
      <w:pPr>
        <w:ind w:left="1440" w:hanging="360"/>
      </w:pPr>
      <w:rPr>
        <w:rFonts w:ascii="Courier New" w:hAnsi="Courier New" w:cs="Courier New" w:hint="default"/>
      </w:rPr>
    </w:lvl>
    <w:lvl w:ilvl="2" w:tplc="F08A6C60" w:tentative="1">
      <w:start w:val="1"/>
      <w:numFmt w:val="bullet"/>
      <w:lvlText w:val=""/>
      <w:lvlJc w:val="left"/>
      <w:pPr>
        <w:ind w:left="2160" w:hanging="360"/>
      </w:pPr>
      <w:rPr>
        <w:rFonts w:ascii="Wingdings" w:hAnsi="Wingdings" w:hint="default"/>
      </w:rPr>
    </w:lvl>
    <w:lvl w:ilvl="3" w:tplc="F7AC366E" w:tentative="1">
      <w:start w:val="1"/>
      <w:numFmt w:val="bullet"/>
      <w:lvlText w:val=""/>
      <w:lvlJc w:val="left"/>
      <w:pPr>
        <w:ind w:left="2880" w:hanging="360"/>
      </w:pPr>
      <w:rPr>
        <w:rFonts w:ascii="Symbol" w:hAnsi="Symbol" w:hint="default"/>
      </w:rPr>
    </w:lvl>
    <w:lvl w:ilvl="4" w:tplc="7F2E8446" w:tentative="1">
      <w:start w:val="1"/>
      <w:numFmt w:val="bullet"/>
      <w:lvlText w:val="o"/>
      <w:lvlJc w:val="left"/>
      <w:pPr>
        <w:ind w:left="3600" w:hanging="360"/>
      </w:pPr>
      <w:rPr>
        <w:rFonts w:ascii="Courier New" w:hAnsi="Courier New" w:cs="Courier New" w:hint="default"/>
      </w:rPr>
    </w:lvl>
    <w:lvl w:ilvl="5" w:tplc="F814A770" w:tentative="1">
      <w:start w:val="1"/>
      <w:numFmt w:val="bullet"/>
      <w:lvlText w:val=""/>
      <w:lvlJc w:val="left"/>
      <w:pPr>
        <w:ind w:left="4320" w:hanging="360"/>
      </w:pPr>
      <w:rPr>
        <w:rFonts w:ascii="Wingdings" w:hAnsi="Wingdings" w:hint="default"/>
      </w:rPr>
    </w:lvl>
    <w:lvl w:ilvl="6" w:tplc="E912DF48" w:tentative="1">
      <w:start w:val="1"/>
      <w:numFmt w:val="bullet"/>
      <w:lvlText w:val=""/>
      <w:lvlJc w:val="left"/>
      <w:pPr>
        <w:ind w:left="5040" w:hanging="360"/>
      </w:pPr>
      <w:rPr>
        <w:rFonts w:ascii="Symbol" w:hAnsi="Symbol" w:hint="default"/>
      </w:rPr>
    </w:lvl>
    <w:lvl w:ilvl="7" w:tplc="6068D19E" w:tentative="1">
      <w:start w:val="1"/>
      <w:numFmt w:val="bullet"/>
      <w:lvlText w:val="o"/>
      <w:lvlJc w:val="left"/>
      <w:pPr>
        <w:ind w:left="5760" w:hanging="360"/>
      </w:pPr>
      <w:rPr>
        <w:rFonts w:ascii="Courier New" w:hAnsi="Courier New" w:cs="Courier New" w:hint="default"/>
      </w:rPr>
    </w:lvl>
    <w:lvl w:ilvl="8" w:tplc="2E40CBF4" w:tentative="1">
      <w:start w:val="1"/>
      <w:numFmt w:val="bullet"/>
      <w:lvlText w:val=""/>
      <w:lvlJc w:val="left"/>
      <w:pPr>
        <w:ind w:left="6480" w:hanging="360"/>
      </w:pPr>
      <w:rPr>
        <w:rFonts w:ascii="Wingdings" w:hAnsi="Wingdings" w:hint="default"/>
      </w:rPr>
    </w:lvl>
  </w:abstractNum>
  <w:abstractNum w:abstractNumId="86">
    <w:nsid w:val="57D6698C"/>
    <w:multiLevelType w:val="hybridMultilevel"/>
    <w:tmpl w:val="E39A3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59460CDC"/>
    <w:multiLevelType w:val="hybridMultilevel"/>
    <w:tmpl w:val="0B40FDB2"/>
    <w:lvl w:ilvl="0" w:tplc="D0887DCA">
      <w:start w:val="1"/>
      <w:numFmt w:val="bullet"/>
      <w:pStyle w:val="Bullets"/>
      <w:lvlText w:val=""/>
      <w:lvlJc w:val="left"/>
      <w:pPr>
        <w:tabs>
          <w:tab w:val="num" w:pos="1361"/>
        </w:tabs>
        <w:ind w:left="1361" w:hanging="425"/>
      </w:pPr>
      <w:rPr>
        <w:rFonts w:ascii="Symbol" w:hAnsi="Symbol" w:hint="default"/>
        <w:b w:val="0"/>
        <w:i w:val="0"/>
        <w:color w:val="0083BE"/>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8">
    <w:nsid w:val="5A2C09A5"/>
    <w:multiLevelType w:val="hybridMultilevel"/>
    <w:tmpl w:val="62FCD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5AA70473"/>
    <w:multiLevelType w:val="hybridMultilevel"/>
    <w:tmpl w:val="DEF4D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5D2F1FF1"/>
    <w:multiLevelType w:val="hybridMultilevel"/>
    <w:tmpl w:val="1C58C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5D455D64"/>
    <w:multiLevelType w:val="singleLevel"/>
    <w:tmpl w:val="36D889E0"/>
    <w:lvl w:ilvl="0">
      <w:start w:val="1"/>
      <w:numFmt w:val="bullet"/>
      <w:pStyle w:val="Level7"/>
      <w:lvlText w:val="–"/>
      <w:lvlJc w:val="left"/>
      <w:pPr>
        <w:tabs>
          <w:tab w:val="num" w:pos="851"/>
        </w:tabs>
        <w:ind w:left="851" w:hanging="397"/>
      </w:pPr>
      <w:rPr>
        <w:rFonts w:ascii="Tahoma" w:hAnsi="Tahoma" w:hint="default"/>
        <w:color w:val="808080"/>
      </w:rPr>
    </w:lvl>
  </w:abstractNum>
  <w:abstractNum w:abstractNumId="92">
    <w:nsid w:val="5D7816DC"/>
    <w:multiLevelType w:val="hybridMultilevel"/>
    <w:tmpl w:val="312A5DD4"/>
    <w:lvl w:ilvl="0" w:tplc="F9A4C938">
      <w:start w:val="1"/>
      <w:numFmt w:val="bullet"/>
      <w:lvlText w:val=""/>
      <w:lvlJc w:val="left"/>
      <w:pPr>
        <w:ind w:left="720" w:hanging="360"/>
      </w:pPr>
      <w:rPr>
        <w:rFonts w:ascii="Symbol" w:hAnsi="Symbol" w:hint="default"/>
      </w:rPr>
    </w:lvl>
    <w:lvl w:ilvl="1" w:tplc="E4E85C54" w:tentative="1">
      <w:start w:val="1"/>
      <w:numFmt w:val="bullet"/>
      <w:lvlText w:val="o"/>
      <w:lvlJc w:val="left"/>
      <w:pPr>
        <w:ind w:left="1440" w:hanging="360"/>
      </w:pPr>
      <w:rPr>
        <w:rFonts w:ascii="Courier New" w:hAnsi="Courier New" w:cs="Courier New" w:hint="default"/>
      </w:rPr>
    </w:lvl>
    <w:lvl w:ilvl="2" w:tplc="664A892C" w:tentative="1">
      <w:start w:val="1"/>
      <w:numFmt w:val="bullet"/>
      <w:lvlText w:val=""/>
      <w:lvlJc w:val="left"/>
      <w:pPr>
        <w:ind w:left="2160" w:hanging="360"/>
      </w:pPr>
      <w:rPr>
        <w:rFonts w:ascii="Wingdings" w:hAnsi="Wingdings" w:hint="default"/>
      </w:rPr>
    </w:lvl>
    <w:lvl w:ilvl="3" w:tplc="D8861684" w:tentative="1">
      <w:start w:val="1"/>
      <w:numFmt w:val="bullet"/>
      <w:lvlText w:val=""/>
      <w:lvlJc w:val="left"/>
      <w:pPr>
        <w:ind w:left="2880" w:hanging="360"/>
      </w:pPr>
      <w:rPr>
        <w:rFonts w:ascii="Symbol" w:hAnsi="Symbol" w:hint="default"/>
      </w:rPr>
    </w:lvl>
    <w:lvl w:ilvl="4" w:tplc="159686F6" w:tentative="1">
      <w:start w:val="1"/>
      <w:numFmt w:val="bullet"/>
      <w:lvlText w:val="o"/>
      <w:lvlJc w:val="left"/>
      <w:pPr>
        <w:ind w:left="3600" w:hanging="360"/>
      </w:pPr>
      <w:rPr>
        <w:rFonts w:ascii="Courier New" w:hAnsi="Courier New" w:cs="Courier New" w:hint="default"/>
      </w:rPr>
    </w:lvl>
    <w:lvl w:ilvl="5" w:tplc="036A5476" w:tentative="1">
      <w:start w:val="1"/>
      <w:numFmt w:val="bullet"/>
      <w:lvlText w:val=""/>
      <w:lvlJc w:val="left"/>
      <w:pPr>
        <w:ind w:left="4320" w:hanging="360"/>
      </w:pPr>
      <w:rPr>
        <w:rFonts w:ascii="Wingdings" w:hAnsi="Wingdings" w:hint="default"/>
      </w:rPr>
    </w:lvl>
    <w:lvl w:ilvl="6" w:tplc="88383D20" w:tentative="1">
      <w:start w:val="1"/>
      <w:numFmt w:val="bullet"/>
      <w:lvlText w:val=""/>
      <w:lvlJc w:val="left"/>
      <w:pPr>
        <w:ind w:left="5040" w:hanging="360"/>
      </w:pPr>
      <w:rPr>
        <w:rFonts w:ascii="Symbol" w:hAnsi="Symbol" w:hint="default"/>
      </w:rPr>
    </w:lvl>
    <w:lvl w:ilvl="7" w:tplc="6FE05C2E" w:tentative="1">
      <w:start w:val="1"/>
      <w:numFmt w:val="bullet"/>
      <w:lvlText w:val="o"/>
      <w:lvlJc w:val="left"/>
      <w:pPr>
        <w:ind w:left="5760" w:hanging="360"/>
      </w:pPr>
      <w:rPr>
        <w:rFonts w:ascii="Courier New" w:hAnsi="Courier New" w:cs="Courier New" w:hint="default"/>
      </w:rPr>
    </w:lvl>
    <w:lvl w:ilvl="8" w:tplc="BE72B0B2" w:tentative="1">
      <w:start w:val="1"/>
      <w:numFmt w:val="bullet"/>
      <w:lvlText w:val=""/>
      <w:lvlJc w:val="left"/>
      <w:pPr>
        <w:ind w:left="6480" w:hanging="360"/>
      </w:pPr>
      <w:rPr>
        <w:rFonts w:ascii="Wingdings" w:hAnsi="Wingdings" w:hint="default"/>
      </w:rPr>
    </w:lvl>
  </w:abstractNum>
  <w:abstractNum w:abstractNumId="93">
    <w:nsid w:val="5F4C401D"/>
    <w:multiLevelType w:val="hybridMultilevel"/>
    <w:tmpl w:val="D9F2B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5F7D010F"/>
    <w:multiLevelType w:val="hybridMultilevel"/>
    <w:tmpl w:val="AFA4C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5FC67E0B"/>
    <w:multiLevelType w:val="hybridMultilevel"/>
    <w:tmpl w:val="9EC8E4B8"/>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61F715AA"/>
    <w:multiLevelType w:val="hybridMultilevel"/>
    <w:tmpl w:val="BA34D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632F3DA6"/>
    <w:multiLevelType w:val="hybridMultilevel"/>
    <w:tmpl w:val="81A8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648A5F3B"/>
    <w:multiLevelType w:val="multilevel"/>
    <w:tmpl w:val="4D9CAC1E"/>
    <w:lvl w:ilvl="0">
      <w:start w:val="1"/>
      <w:numFmt w:val="decimal"/>
      <w:pStyle w:val="level8"/>
      <w:suff w:val="space"/>
      <w:lvlText w:val="Question %1"/>
      <w:lvlJc w:val="left"/>
      <w:pPr>
        <w:ind w:left="510" w:hanging="51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9">
    <w:nsid w:val="64E31346"/>
    <w:multiLevelType w:val="hybridMultilevel"/>
    <w:tmpl w:val="282A1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68AD01AE"/>
    <w:multiLevelType w:val="hybridMultilevel"/>
    <w:tmpl w:val="F8B00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690E123E"/>
    <w:multiLevelType w:val="multilevel"/>
    <w:tmpl w:val="023AE9A0"/>
    <w:lvl w:ilvl="0">
      <w:start w:val="1"/>
      <w:numFmt w:val="decimal"/>
      <w:pStyle w:val="Heading1"/>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i w:val="0"/>
      </w:rPr>
    </w:lvl>
    <w:lvl w:ilvl="3">
      <w:start w:val="1"/>
      <w:numFmt w:val="decimal"/>
      <w:pStyle w:val="Heading4"/>
      <w:lvlText w:val="%1.%2.%3.%4."/>
      <w:lvlJc w:val="left"/>
      <w:pPr>
        <w:tabs>
          <w:tab w:val="num" w:pos="5103"/>
        </w:tabs>
        <w:ind w:left="1021" w:hanging="1021"/>
      </w:pPr>
      <w:rPr>
        <w:rFonts w:hint="default"/>
        <w:i w:val="0"/>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2014"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102">
    <w:nsid w:val="6BE044C3"/>
    <w:multiLevelType w:val="hybridMultilevel"/>
    <w:tmpl w:val="4B36E266"/>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103">
    <w:nsid w:val="6C6D5EF0"/>
    <w:multiLevelType w:val="singleLevel"/>
    <w:tmpl w:val="F8AA466E"/>
    <w:lvl w:ilvl="0">
      <w:start w:val="1"/>
      <w:numFmt w:val="lowerLetter"/>
      <w:lvlRestart w:val="0"/>
      <w:pStyle w:val="TOC8"/>
      <w:lvlText w:val="%1)"/>
      <w:lvlJc w:val="left"/>
      <w:pPr>
        <w:tabs>
          <w:tab w:val="num" w:pos="1440"/>
        </w:tabs>
        <w:ind w:left="1440" w:hanging="720"/>
      </w:pPr>
      <w:rPr>
        <w:rFonts w:ascii="Arial" w:hAnsi="Arial" w:cs="Wingdings" w:hint="default"/>
        <w:b w:val="0"/>
        <w:i w:val="0"/>
        <w:sz w:val="22"/>
        <w:u w:val="none"/>
      </w:rPr>
    </w:lvl>
  </w:abstractNum>
  <w:abstractNum w:abstractNumId="104">
    <w:nsid w:val="6C931389"/>
    <w:multiLevelType w:val="hybridMultilevel"/>
    <w:tmpl w:val="50F4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6D005976"/>
    <w:multiLevelType w:val="hybridMultilevel"/>
    <w:tmpl w:val="2B363B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
    <w:nsid w:val="6E591F57"/>
    <w:multiLevelType w:val="hybridMultilevel"/>
    <w:tmpl w:val="E606F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6EA44D44"/>
    <w:multiLevelType w:val="hybridMultilevel"/>
    <w:tmpl w:val="009A5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70CC0217"/>
    <w:multiLevelType w:val="hybridMultilevel"/>
    <w:tmpl w:val="B4047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72D1008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731C4FAE"/>
    <w:multiLevelType w:val="hybridMultilevel"/>
    <w:tmpl w:val="D43CC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73DD3BC2"/>
    <w:multiLevelType w:val="hybridMultilevel"/>
    <w:tmpl w:val="6630D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74BE717E"/>
    <w:multiLevelType w:val="hybridMultilevel"/>
    <w:tmpl w:val="5D88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774A345F"/>
    <w:multiLevelType w:val="multilevel"/>
    <w:tmpl w:val="DE921A2A"/>
    <w:lvl w:ilvl="0">
      <w:start w:val="1"/>
      <w:numFmt w:val="decimal"/>
      <w:pStyle w:val="ListNumb1"/>
      <w:lvlText w:val="%1."/>
      <w:lvlJc w:val="left"/>
      <w:pPr>
        <w:ind w:left="340" w:hanging="340"/>
      </w:pPr>
      <w:rPr>
        <w:rFonts w:hint="default"/>
      </w:rPr>
    </w:lvl>
    <w:lvl w:ilvl="1">
      <w:start w:val="1"/>
      <w:numFmt w:val="lowerLetter"/>
      <w:pStyle w:val="ListNumb2"/>
      <w:lvlText w:val="%2."/>
      <w:lvlJc w:val="left"/>
      <w:pPr>
        <w:ind w:left="680" w:hanging="340"/>
      </w:pPr>
      <w:rPr>
        <w:rFonts w:hint="default"/>
      </w:rPr>
    </w:lvl>
    <w:lvl w:ilvl="2">
      <w:start w:val="1"/>
      <w:numFmt w:val="lowerRoman"/>
      <w:pStyle w:val="ListNumb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nsid w:val="77F844A0"/>
    <w:multiLevelType w:val="hybridMultilevel"/>
    <w:tmpl w:val="C066B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783C7348"/>
    <w:multiLevelType w:val="hybridMultilevel"/>
    <w:tmpl w:val="A64C4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78BD2C23"/>
    <w:multiLevelType w:val="hybridMultilevel"/>
    <w:tmpl w:val="ECE4A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7905046C"/>
    <w:multiLevelType w:val="hybridMultilevel"/>
    <w:tmpl w:val="82C09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7A7F231B"/>
    <w:multiLevelType w:val="hybridMultilevel"/>
    <w:tmpl w:val="FBFEE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7E333671"/>
    <w:multiLevelType w:val="hybridMultilevel"/>
    <w:tmpl w:val="88CEE5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7F1C1ECF"/>
    <w:multiLevelType w:val="hybridMultilevel"/>
    <w:tmpl w:val="2A904364"/>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21">
    <w:nsid w:val="7F1F1822"/>
    <w:multiLevelType w:val="hybridMultilevel"/>
    <w:tmpl w:val="F27AE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7F1F2E48"/>
    <w:multiLevelType w:val="hybridMultilevel"/>
    <w:tmpl w:val="557CE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7F942C19"/>
    <w:multiLevelType w:val="hybridMultilevel"/>
    <w:tmpl w:val="085293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101"/>
  </w:num>
  <w:num w:numId="6">
    <w:abstractNumId w:val="23"/>
  </w:num>
  <w:num w:numId="7">
    <w:abstractNumId w:val="69"/>
  </w:num>
  <w:num w:numId="8">
    <w:abstractNumId w:val="84"/>
  </w:num>
  <w:num w:numId="9">
    <w:abstractNumId w:val="78"/>
  </w:num>
  <w:num w:numId="10">
    <w:abstractNumId w:val="101"/>
  </w:num>
  <w:num w:numId="11">
    <w:abstractNumId w:val="4"/>
  </w:num>
  <w:num w:numId="12">
    <w:abstractNumId w:val="2"/>
  </w:num>
  <w:num w:numId="13">
    <w:abstractNumId w:val="113"/>
  </w:num>
  <w:num w:numId="14">
    <w:abstractNumId w:val="42"/>
  </w:num>
  <w:num w:numId="15">
    <w:abstractNumId w:val="16"/>
  </w:num>
  <w:num w:numId="16">
    <w:abstractNumId w:val="87"/>
  </w:num>
  <w:num w:numId="17">
    <w:abstractNumId w:val="10"/>
  </w:num>
  <w:num w:numId="18">
    <w:abstractNumId w:val="39"/>
  </w:num>
  <w:num w:numId="19">
    <w:abstractNumId w:val="118"/>
  </w:num>
  <w:num w:numId="20">
    <w:abstractNumId w:val="21"/>
  </w:num>
  <w:num w:numId="21">
    <w:abstractNumId w:val="24"/>
  </w:num>
  <w:num w:numId="22">
    <w:abstractNumId w:val="70"/>
  </w:num>
  <w:num w:numId="23">
    <w:abstractNumId w:val="80"/>
  </w:num>
  <w:num w:numId="24">
    <w:abstractNumId w:val="31"/>
  </w:num>
  <w:num w:numId="25">
    <w:abstractNumId w:val="12"/>
  </w:num>
  <w:num w:numId="26">
    <w:abstractNumId w:val="114"/>
  </w:num>
  <w:num w:numId="27">
    <w:abstractNumId w:val="51"/>
  </w:num>
  <w:num w:numId="28">
    <w:abstractNumId w:val="100"/>
  </w:num>
  <w:num w:numId="29">
    <w:abstractNumId w:val="47"/>
  </w:num>
  <w:num w:numId="30">
    <w:abstractNumId w:val="94"/>
  </w:num>
  <w:num w:numId="31">
    <w:abstractNumId w:val="58"/>
  </w:num>
  <w:num w:numId="32">
    <w:abstractNumId w:val="116"/>
  </w:num>
  <w:num w:numId="33">
    <w:abstractNumId w:val="18"/>
  </w:num>
  <w:num w:numId="34">
    <w:abstractNumId w:val="122"/>
  </w:num>
  <w:num w:numId="35">
    <w:abstractNumId w:val="5"/>
  </w:num>
  <w:num w:numId="36">
    <w:abstractNumId w:val="65"/>
  </w:num>
  <w:num w:numId="37">
    <w:abstractNumId w:val="97"/>
  </w:num>
  <w:num w:numId="38">
    <w:abstractNumId w:val="93"/>
  </w:num>
  <w:num w:numId="39">
    <w:abstractNumId w:val="71"/>
  </w:num>
  <w:num w:numId="40">
    <w:abstractNumId w:val="106"/>
  </w:num>
  <w:num w:numId="41">
    <w:abstractNumId w:val="48"/>
  </w:num>
  <w:num w:numId="42">
    <w:abstractNumId w:val="105"/>
  </w:num>
  <w:num w:numId="43">
    <w:abstractNumId w:val="107"/>
  </w:num>
  <w:num w:numId="44">
    <w:abstractNumId w:val="104"/>
  </w:num>
  <w:num w:numId="45">
    <w:abstractNumId w:val="91"/>
  </w:num>
  <w:num w:numId="46">
    <w:abstractNumId w:val="98"/>
  </w:num>
  <w:num w:numId="47">
    <w:abstractNumId w:val="109"/>
  </w:num>
  <w:num w:numId="48">
    <w:abstractNumId w:val="14"/>
  </w:num>
  <w:num w:numId="49">
    <w:abstractNumId w:val="41"/>
  </w:num>
  <w:num w:numId="50">
    <w:abstractNumId w:val="20"/>
  </w:num>
  <w:num w:numId="51">
    <w:abstractNumId w:val="17"/>
  </w:num>
  <w:num w:numId="52">
    <w:abstractNumId w:val="79"/>
  </w:num>
  <w:num w:numId="53">
    <w:abstractNumId w:val="103"/>
  </w:num>
  <w:num w:numId="54">
    <w:abstractNumId w:val="38"/>
  </w:num>
  <w:num w:numId="55">
    <w:abstractNumId w:val="37"/>
  </w:num>
  <w:num w:numId="56">
    <w:abstractNumId w:val="26"/>
  </w:num>
  <w:num w:numId="57">
    <w:abstractNumId w:val="82"/>
  </w:num>
  <w:num w:numId="58">
    <w:abstractNumId w:val="13"/>
  </w:num>
  <w:num w:numId="59">
    <w:abstractNumId w:val="72"/>
  </w:num>
  <w:num w:numId="60">
    <w:abstractNumId w:val="33"/>
  </w:num>
  <w:num w:numId="61">
    <w:abstractNumId w:val="27"/>
  </w:num>
  <w:num w:numId="62">
    <w:abstractNumId w:val="52"/>
  </w:num>
  <w:num w:numId="63">
    <w:abstractNumId w:val="45"/>
  </w:num>
  <w:num w:numId="6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1"/>
  </w:num>
  <w:num w:numId="66">
    <w:abstractNumId w:val="61"/>
  </w:num>
  <w:num w:numId="67">
    <w:abstractNumId w:val="75"/>
  </w:num>
  <w:num w:numId="68">
    <w:abstractNumId w:val="121"/>
  </w:num>
  <w:num w:numId="69">
    <w:abstractNumId w:val="29"/>
  </w:num>
  <w:num w:numId="70">
    <w:abstractNumId w:val="62"/>
  </w:num>
  <w:num w:numId="71">
    <w:abstractNumId w:val="44"/>
  </w:num>
  <w:num w:numId="72">
    <w:abstractNumId w:val="40"/>
  </w:num>
  <w:num w:numId="73">
    <w:abstractNumId w:val="59"/>
  </w:num>
  <w:num w:numId="74">
    <w:abstractNumId w:val="35"/>
  </w:num>
  <w:num w:numId="75">
    <w:abstractNumId w:val="32"/>
  </w:num>
  <w:num w:numId="76">
    <w:abstractNumId w:val="95"/>
  </w:num>
  <w:num w:numId="77">
    <w:abstractNumId w:val="108"/>
  </w:num>
  <w:num w:numId="78">
    <w:abstractNumId w:val="60"/>
  </w:num>
  <w:num w:numId="79">
    <w:abstractNumId w:val="28"/>
  </w:num>
  <w:num w:numId="80">
    <w:abstractNumId w:val="92"/>
  </w:num>
  <w:num w:numId="81">
    <w:abstractNumId w:val="68"/>
  </w:num>
  <w:num w:numId="82">
    <w:abstractNumId w:val="25"/>
  </w:num>
  <w:num w:numId="83">
    <w:abstractNumId w:val="9"/>
  </w:num>
  <w:num w:numId="84">
    <w:abstractNumId w:val="102"/>
  </w:num>
  <w:num w:numId="85">
    <w:abstractNumId w:val="46"/>
  </w:num>
  <w:num w:numId="86">
    <w:abstractNumId w:val="85"/>
  </w:num>
  <w:num w:numId="87">
    <w:abstractNumId w:val="77"/>
  </w:num>
  <w:num w:numId="88">
    <w:abstractNumId w:val="22"/>
  </w:num>
  <w:num w:numId="89">
    <w:abstractNumId w:val="115"/>
  </w:num>
  <w:num w:numId="90">
    <w:abstractNumId w:val="117"/>
  </w:num>
  <w:num w:numId="91">
    <w:abstractNumId w:val="90"/>
  </w:num>
  <w:num w:numId="92">
    <w:abstractNumId w:val="120"/>
  </w:num>
  <w:num w:numId="93">
    <w:abstractNumId w:val="99"/>
  </w:num>
  <w:num w:numId="94">
    <w:abstractNumId w:val="110"/>
  </w:num>
  <w:num w:numId="95">
    <w:abstractNumId w:val="53"/>
  </w:num>
  <w:num w:numId="96">
    <w:abstractNumId w:val="30"/>
  </w:num>
  <w:num w:numId="97">
    <w:abstractNumId w:val="54"/>
  </w:num>
  <w:num w:numId="98">
    <w:abstractNumId w:val="6"/>
  </w:num>
  <w:num w:numId="99">
    <w:abstractNumId w:val="74"/>
  </w:num>
  <w:num w:numId="100">
    <w:abstractNumId w:val="43"/>
  </w:num>
  <w:num w:numId="101">
    <w:abstractNumId w:val="50"/>
  </w:num>
  <w:num w:numId="102">
    <w:abstractNumId w:val="86"/>
  </w:num>
  <w:num w:numId="103">
    <w:abstractNumId w:val="88"/>
  </w:num>
  <w:num w:numId="104">
    <w:abstractNumId w:val="56"/>
  </w:num>
  <w:num w:numId="105">
    <w:abstractNumId w:val="49"/>
  </w:num>
  <w:num w:numId="106">
    <w:abstractNumId w:val="36"/>
  </w:num>
  <w:num w:numId="107">
    <w:abstractNumId w:val="119"/>
  </w:num>
  <w:num w:numId="108">
    <w:abstractNumId w:val="123"/>
  </w:num>
  <w:num w:numId="109">
    <w:abstractNumId w:val="55"/>
  </w:num>
  <w:num w:numId="110">
    <w:abstractNumId w:val="64"/>
  </w:num>
  <w:num w:numId="111">
    <w:abstractNumId w:val="96"/>
  </w:num>
  <w:num w:numId="112">
    <w:abstractNumId w:val="11"/>
  </w:num>
  <w:num w:numId="113">
    <w:abstractNumId w:val="111"/>
  </w:num>
  <w:num w:numId="114">
    <w:abstractNumId w:val="76"/>
  </w:num>
  <w:num w:numId="115">
    <w:abstractNumId w:val="34"/>
  </w:num>
  <w:num w:numId="116">
    <w:abstractNumId w:val="73"/>
  </w:num>
  <w:num w:numId="117">
    <w:abstractNumId w:val="112"/>
  </w:num>
  <w:num w:numId="118">
    <w:abstractNumId w:val="67"/>
  </w:num>
  <w:num w:numId="119">
    <w:abstractNumId w:val="83"/>
  </w:num>
  <w:num w:numId="120">
    <w:abstractNumId w:val="66"/>
  </w:num>
  <w:num w:numId="121">
    <w:abstractNumId w:val="7"/>
  </w:num>
  <w:num w:numId="122">
    <w:abstractNumId w:val="89"/>
  </w:num>
  <w:num w:numId="123">
    <w:abstractNumId w:val="15"/>
  </w:num>
  <w:num w:numId="124">
    <w:abstractNumId w:val="19"/>
  </w:num>
  <w:num w:numId="125">
    <w:abstractNumId w:val="8"/>
  </w:num>
  <w:num w:numId="126">
    <w:abstractNumId w:val="63"/>
  </w:num>
  <w:num w:numId="127">
    <w:abstractNumId w:val="57"/>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680"/>
  <w:drawingGridHorizontalSpacing w:val="100"/>
  <w:displayHorizontalDrawingGridEvery w:val="2"/>
  <w:characterSpacingControl w:val="doNotCompress"/>
  <w:hdrShapeDefaults>
    <o:shapedefaults v:ext="edit" spidmax="49153" fill="f" fillcolor="white" stroke="f">
      <v:fill color="white" on="f"/>
      <v:stroke on="f"/>
      <v:textbox inset="0,0,0,0"/>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dditionalInformation" w:val=" "/>
    <w:docVar w:name="ClientName" w:val="North East Lincolnshire Council"/>
    <w:docVar w:name="Confidential" w:val=" "/>
    <w:docVar w:name="CurrentTemplateVersion" w:val="2.1"/>
    <w:docVar w:name="DocDate" w:val="26 February 2014"/>
    <w:docVar w:name="DocDateSubmission" w:val="26 February 2014"/>
    <w:docVar w:name="DocFooter" w:val="North East Lincolnshire Sector Study | Version 1.0 | 26 February 2014 | 5127325"/>
    <w:docVar w:name="DocJobNumber" w:val="5127325"/>
    <w:docVar w:name="DocName" w:val="North East Lincolnshire Sector Study"/>
    <w:docVar w:name="DocProjectTitle" w:val="North East Lincolnshire Sector Study &amp; Employment Land Review"/>
    <w:docVar w:name="DocReference" w:val="5127325"/>
    <w:docVar w:name="DocReportTitle" w:val="North East Lincolnshire Sector Study"/>
    <w:docVar w:name="DocTemplateName" w:val="Atkins Report.dotm"/>
    <w:docVar w:name="DocumentDate" w:val="Date"/>
    <w:docVar w:name="DocVersion" w:val="Version 1.0"/>
    <w:docVar w:name="InitialTemplateVersion" w:val="2.1"/>
    <w:docVar w:name="PageNumbering" w:val="Standard"/>
    <w:docVar w:name="PageSize" w:val="A4"/>
    <w:docVar w:name="TitlePageExists" w:val="True"/>
    <w:docVar w:name="TitlePageImage" w:val="Green and yellow - full page"/>
  </w:docVars>
  <w:rsids>
    <w:rsidRoot w:val="00B621ED"/>
    <w:rsid w:val="00000DCA"/>
    <w:rsid w:val="00002A21"/>
    <w:rsid w:val="00004AAD"/>
    <w:rsid w:val="000062F3"/>
    <w:rsid w:val="00006B70"/>
    <w:rsid w:val="0001122C"/>
    <w:rsid w:val="0001158B"/>
    <w:rsid w:val="00015430"/>
    <w:rsid w:val="00015AA7"/>
    <w:rsid w:val="00016EDC"/>
    <w:rsid w:val="00017172"/>
    <w:rsid w:val="00017A68"/>
    <w:rsid w:val="00020BBD"/>
    <w:rsid w:val="000223CF"/>
    <w:rsid w:val="00022632"/>
    <w:rsid w:val="00022D94"/>
    <w:rsid w:val="00025C3F"/>
    <w:rsid w:val="00026032"/>
    <w:rsid w:val="00030A94"/>
    <w:rsid w:val="00030C7C"/>
    <w:rsid w:val="00032BD7"/>
    <w:rsid w:val="00032D54"/>
    <w:rsid w:val="00032DEC"/>
    <w:rsid w:val="000331B4"/>
    <w:rsid w:val="00033456"/>
    <w:rsid w:val="00034249"/>
    <w:rsid w:val="000375D1"/>
    <w:rsid w:val="00037960"/>
    <w:rsid w:val="00037CA4"/>
    <w:rsid w:val="000402AD"/>
    <w:rsid w:val="00040F19"/>
    <w:rsid w:val="000416AE"/>
    <w:rsid w:val="00041DBA"/>
    <w:rsid w:val="00041EE2"/>
    <w:rsid w:val="0004439E"/>
    <w:rsid w:val="00044BE5"/>
    <w:rsid w:val="00045D66"/>
    <w:rsid w:val="00050B9A"/>
    <w:rsid w:val="0005147B"/>
    <w:rsid w:val="00054108"/>
    <w:rsid w:val="00055F1F"/>
    <w:rsid w:val="00063E9F"/>
    <w:rsid w:val="000645D1"/>
    <w:rsid w:val="000645EB"/>
    <w:rsid w:val="0006478B"/>
    <w:rsid w:val="000651EF"/>
    <w:rsid w:val="00065AD0"/>
    <w:rsid w:val="000663A3"/>
    <w:rsid w:val="00066AB0"/>
    <w:rsid w:val="00067569"/>
    <w:rsid w:val="00070D3D"/>
    <w:rsid w:val="000718C2"/>
    <w:rsid w:val="00071C0F"/>
    <w:rsid w:val="000728FF"/>
    <w:rsid w:val="0007479F"/>
    <w:rsid w:val="00080C64"/>
    <w:rsid w:val="00081745"/>
    <w:rsid w:val="00082A49"/>
    <w:rsid w:val="00082A6D"/>
    <w:rsid w:val="0008430F"/>
    <w:rsid w:val="0008502D"/>
    <w:rsid w:val="00087F03"/>
    <w:rsid w:val="00090EDC"/>
    <w:rsid w:val="00091375"/>
    <w:rsid w:val="00092536"/>
    <w:rsid w:val="00092FBD"/>
    <w:rsid w:val="00093699"/>
    <w:rsid w:val="00094A83"/>
    <w:rsid w:val="0009664C"/>
    <w:rsid w:val="00096E5D"/>
    <w:rsid w:val="000A0326"/>
    <w:rsid w:val="000A2C39"/>
    <w:rsid w:val="000A4388"/>
    <w:rsid w:val="000A5538"/>
    <w:rsid w:val="000A5C63"/>
    <w:rsid w:val="000B1020"/>
    <w:rsid w:val="000B1890"/>
    <w:rsid w:val="000B20DF"/>
    <w:rsid w:val="000B2322"/>
    <w:rsid w:val="000B2A19"/>
    <w:rsid w:val="000B2F76"/>
    <w:rsid w:val="000B3776"/>
    <w:rsid w:val="000B43AD"/>
    <w:rsid w:val="000B44DE"/>
    <w:rsid w:val="000B58D8"/>
    <w:rsid w:val="000B7506"/>
    <w:rsid w:val="000C05ED"/>
    <w:rsid w:val="000C0B23"/>
    <w:rsid w:val="000C0C3C"/>
    <w:rsid w:val="000C0D1D"/>
    <w:rsid w:val="000C1C4A"/>
    <w:rsid w:val="000D0563"/>
    <w:rsid w:val="000D076F"/>
    <w:rsid w:val="000D0DE4"/>
    <w:rsid w:val="000D0E9D"/>
    <w:rsid w:val="000D1596"/>
    <w:rsid w:val="000D18F7"/>
    <w:rsid w:val="000D197B"/>
    <w:rsid w:val="000D5ED0"/>
    <w:rsid w:val="000D6826"/>
    <w:rsid w:val="000D7A5C"/>
    <w:rsid w:val="000E0FA5"/>
    <w:rsid w:val="000E1698"/>
    <w:rsid w:val="000E1D59"/>
    <w:rsid w:val="000E33E6"/>
    <w:rsid w:val="000E46A2"/>
    <w:rsid w:val="000E5A12"/>
    <w:rsid w:val="000E5A61"/>
    <w:rsid w:val="000E5DBD"/>
    <w:rsid w:val="000E6097"/>
    <w:rsid w:val="000F17C6"/>
    <w:rsid w:val="000F23F6"/>
    <w:rsid w:val="000F74C0"/>
    <w:rsid w:val="000F7640"/>
    <w:rsid w:val="000F7A58"/>
    <w:rsid w:val="000F7EFF"/>
    <w:rsid w:val="0010073E"/>
    <w:rsid w:val="00100A9E"/>
    <w:rsid w:val="00102792"/>
    <w:rsid w:val="001078BD"/>
    <w:rsid w:val="00107D47"/>
    <w:rsid w:val="00111D7A"/>
    <w:rsid w:val="001122BA"/>
    <w:rsid w:val="0011327A"/>
    <w:rsid w:val="00113414"/>
    <w:rsid w:val="001134B0"/>
    <w:rsid w:val="0011708A"/>
    <w:rsid w:val="00121516"/>
    <w:rsid w:val="001219CC"/>
    <w:rsid w:val="001231D8"/>
    <w:rsid w:val="0012616E"/>
    <w:rsid w:val="00126638"/>
    <w:rsid w:val="00127076"/>
    <w:rsid w:val="00130510"/>
    <w:rsid w:val="00131467"/>
    <w:rsid w:val="00131877"/>
    <w:rsid w:val="00131ABE"/>
    <w:rsid w:val="00132D1E"/>
    <w:rsid w:val="001330E5"/>
    <w:rsid w:val="00133122"/>
    <w:rsid w:val="0013414D"/>
    <w:rsid w:val="00134607"/>
    <w:rsid w:val="0013569E"/>
    <w:rsid w:val="001367C7"/>
    <w:rsid w:val="00140692"/>
    <w:rsid w:val="00142DA6"/>
    <w:rsid w:val="0014379B"/>
    <w:rsid w:val="00144AA4"/>
    <w:rsid w:val="00144B5C"/>
    <w:rsid w:val="00145C29"/>
    <w:rsid w:val="001503C7"/>
    <w:rsid w:val="00150951"/>
    <w:rsid w:val="00150B0E"/>
    <w:rsid w:val="00151182"/>
    <w:rsid w:val="0015373B"/>
    <w:rsid w:val="00154175"/>
    <w:rsid w:val="00155D59"/>
    <w:rsid w:val="00160094"/>
    <w:rsid w:val="00161E40"/>
    <w:rsid w:val="00162A1A"/>
    <w:rsid w:val="00162F48"/>
    <w:rsid w:val="00163B84"/>
    <w:rsid w:val="001655BA"/>
    <w:rsid w:val="001659D4"/>
    <w:rsid w:val="00165B72"/>
    <w:rsid w:val="00170ED4"/>
    <w:rsid w:val="001714C5"/>
    <w:rsid w:val="00172D20"/>
    <w:rsid w:val="001745A1"/>
    <w:rsid w:val="00176D51"/>
    <w:rsid w:val="00177C68"/>
    <w:rsid w:val="0018389C"/>
    <w:rsid w:val="001838C4"/>
    <w:rsid w:val="00185EE9"/>
    <w:rsid w:val="001936C3"/>
    <w:rsid w:val="00193F7F"/>
    <w:rsid w:val="00194283"/>
    <w:rsid w:val="00195BC8"/>
    <w:rsid w:val="0019757D"/>
    <w:rsid w:val="001A1ABA"/>
    <w:rsid w:val="001A3206"/>
    <w:rsid w:val="001A3839"/>
    <w:rsid w:val="001A3A3B"/>
    <w:rsid w:val="001A3F1A"/>
    <w:rsid w:val="001A42CC"/>
    <w:rsid w:val="001A6A55"/>
    <w:rsid w:val="001B0190"/>
    <w:rsid w:val="001B0840"/>
    <w:rsid w:val="001B1371"/>
    <w:rsid w:val="001B27EC"/>
    <w:rsid w:val="001B40C5"/>
    <w:rsid w:val="001B6FB2"/>
    <w:rsid w:val="001B70DF"/>
    <w:rsid w:val="001B7A46"/>
    <w:rsid w:val="001C1A27"/>
    <w:rsid w:val="001C2D92"/>
    <w:rsid w:val="001C33BF"/>
    <w:rsid w:val="001C4944"/>
    <w:rsid w:val="001C69F8"/>
    <w:rsid w:val="001C7B69"/>
    <w:rsid w:val="001D0EAA"/>
    <w:rsid w:val="001D1694"/>
    <w:rsid w:val="001D263B"/>
    <w:rsid w:val="001D285A"/>
    <w:rsid w:val="001D2E56"/>
    <w:rsid w:val="001D3CC8"/>
    <w:rsid w:val="001D51CF"/>
    <w:rsid w:val="001D5466"/>
    <w:rsid w:val="001D5FDC"/>
    <w:rsid w:val="001D6117"/>
    <w:rsid w:val="001D757C"/>
    <w:rsid w:val="001D7B94"/>
    <w:rsid w:val="001E222E"/>
    <w:rsid w:val="001E2997"/>
    <w:rsid w:val="001E585D"/>
    <w:rsid w:val="001E6E1E"/>
    <w:rsid w:val="001F1394"/>
    <w:rsid w:val="001F1BCE"/>
    <w:rsid w:val="001F3092"/>
    <w:rsid w:val="001F3653"/>
    <w:rsid w:val="001F4A00"/>
    <w:rsid w:val="001F4C17"/>
    <w:rsid w:val="001F4E30"/>
    <w:rsid w:val="001F5145"/>
    <w:rsid w:val="001F578E"/>
    <w:rsid w:val="001F7158"/>
    <w:rsid w:val="001F71A4"/>
    <w:rsid w:val="00202482"/>
    <w:rsid w:val="00202FB3"/>
    <w:rsid w:val="00203161"/>
    <w:rsid w:val="002045DF"/>
    <w:rsid w:val="002056A8"/>
    <w:rsid w:val="00210BC7"/>
    <w:rsid w:val="002118C1"/>
    <w:rsid w:val="00211D4A"/>
    <w:rsid w:val="00215393"/>
    <w:rsid w:val="0021582D"/>
    <w:rsid w:val="00215CE6"/>
    <w:rsid w:val="0021679C"/>
    <w:rsid w:val="002215B8"/>
    <w:rsid w:val="00223955"/>
    <w:rsid w:val="00223F3F"/>
    <w:rsid w:val="00226872"/>
    <w:rsid w:val="00226F97"/>
    <w:rsid w:val="00227074"/>
    <w:rsid w:val="00230926"/>
    <w:rsid w:val="00230CC9"/>
    <w:rsid w:val="00233269"/>
    <w:rsid w:val="00234FFA"/>
    <w:rsid w:val="0023565F"/>
    <w:rsid w:val="00236B17"/>
    <w:rsid w:val="00236CEF"/>
    <w:rsid w:val="0023780E"/>
    <w:rsid w:val="0024103F"/>
    <w:rsid w:val="002423BB"/>
    <w:rsid w:val="00242DAD"/>
    <w:rsid w:val="00245A07"/>
    <w:rsid w:val="002460FD"/>
    <w:rsid w:val="00247229"/>
    <w:rsid w:val="0025258E"/>
    <w:rsid w:val="0025293C"/>
    <w:rsid w:val="0025373D"/>
    <w:rsid w:val="00254778"/>
    <w:rsid w:val="00261A64"/>
    <w:rsid w:val="00261E3D"/>
    <w:rsid w:val="00263261"/>
    <w:rsid w:val="002635C4"/>
    <w:rsid w:val="002638C4"/>
    <w:rsid w:val="002651B9"/>
    <w:rsid w:val="00265B2B"/>
    <w:rsid w:val="00270929"/>
    <w:rsid w:val="00272BB6"/>
    <w:rsid w:val="00273D42"/>
    <w:rsid w:val="00275A2F"/>
    <w:rsid w:val="00275F09"/>
    <w:rsid w:val="0027627F"/>
    <w:rsid w:val="00281B18"/>
    <w:rsid w:val="00281E00"/>
    <w:rsid w:val="00282B77"/>
    <w:rsid w:val="00283377"/>
    <w:rsid w:val="00283A3A"/>
    <w:rsid w:val="00285976"/>
    <w:rsid w:val="00285B31"/>
    <w:rsid w:val="0028663D"/>
    <w:rsid w:val="00287BD5"/>
    <w:rsid w:val="00292ED8"/>
    <w:rsid w:val="00293441"/>
    <w:rsid w:val="00293DF6"/>
    <w:rsid w:val="00293F2D"/>
    <w:rsid w:val="00294E96"/>
    <w:rsid w:val="00295377"/>
    <w:rsid w:val="002977D0"/>
    <w:rsid w:val="00297D09"/>
    <w:rsid w:val="002A40AA"/>
    <w:rsid w:val="002A434B"/>
    <w:rsid w:val="002A4A83"/>
    <w:rsid w:val="002A51B7"/>
    <w:rsid w:val="002A6E64"/>
    <w:rsid w:val="002A7849"/>
    <w:rsid w:val="002A7DE7"/>
    <w:rsid w:val="002B1956"/>
    <w:rsid w:val="002B21A0"/>
    <w:rsid w:val="002B33ED"/>
    <w:rsid w:val="002B4944"/>
    <w:rsid w:val="002B528A"/>
    <w:rsid w:val="002B63CF"/>
    <w:rsid w:val="002B7717"/>
    <w:rsid w:val="002C0E1A"/>
    <w:rsid w:val="002C1B79"/>
    <w:rsid w:val="002C1BF3"/>
    <w:rsid w:val="002C2147"/>
    <w:rsid w:val="002C2B8D"/>
    <w:rsid w:val="002C599A"/>
    <w:rsid w:val="002C5BE9"/>
    <w:rsid w:val="002C6EB4"/>
    <w:rsid w:val="002D07CB"/>
    <w:rsid w:val="002D0DF4"/>
    <w:rsid w:val="002D14A9"/>
    <w:rsid w:val="002D1540"/>
    <w:rsid w:val="002D27A5"/>
    <w:rsid w:val="002D3BD7"/>
    <w:rsid w:val="002D4CD7"/>
    <w:rsid w:val="002D64C4"/>
    <w:rsid w:val="002E0D85"/>
    <w:rsid w:val="002E2CA1"/>
    <w:rsid w:val="002E3680"/>
    <w:rsid w:val="002E37F5"/>
    <w:rsid w:val="002E46EE"/>
    <w:rsid w:val="002E59EA"/>
    <w:rsid w:val="002F256E"/>
    <w:rsid w:val="002F2F31"/>
    <w:rsid w:val="002F3016"/>
    <w:rsid w:val="002F36E4"/>
    <w:rsid w:val="002F4896"/>
    <w:rsid w:val="002F4D55"/>
    <w:rsid w:val="002F6C3A"/>
    <w:rsid w:val="002F7137"/>
    <w:rsid w:val="0030104F"/>
    <w:rsid w:val="0030395B"/>
    <w:rsid w:val="00306CF8"/>
    <w:rsid w:val="00307852"/>
    <w:rsid w:val="00310D01"/>
    <w:rsid w:val="003113D2"/>
    <w:rsid w:val="0031349F"/>
    <w:rsid w:val="00315598"/>
    <w:rsid w:val="003169FF"/>
    <w:rsid w:val="00316A04"/>
    <w:rsid w:val="00317BE8"/>
    <w:rsid w:val="0032126E"/>
    <w:rsid w:val="00321608"/>
    <w:rsid w:val="003219F8"/>
    <w:rsid w:val="00322BB8"/>
    <w:rsid w:val="003243EA"/>
    <w:rsid w:val="0032443C"/>
    <w:rsid w:val="00324E6B"/>
    <w:rsid w:val="003250CE"/>
    <w:rsid w:val="00325DE0"/>
    <w:rsid w:val="00325DEF"/>
    <w:rsid w:val="003264EC"/>
    <w:rsid w:val="00326DB6"/>
    <w:rsid w:val="00327102"/>
    <w:rsid w:val="003305FE"/>
    <w:rsid w:val="00333616"/>
    <w:rsid w:val="00334C25"/>
    <w:rsid w:val="0033644B"/>
    <w:rsid w:val="00336AB7"/>
    <w:rsid w:val="003429A2"/>
    <w:rsid w:val="00343177"/>
    <w:rsid w:val="003433B7"/>
    <w:rsid w:val="0034449D"/>
    <w:rsid w:val="00347DF8"/>
    <w:rsid w:val="00350276"/>
    <w:rsid w:val="00350927"/>
    <w:rsid w:val="00352D47"/>
    <w:rsid w:val="003530D9"/>
    <w:rsid w:val="00355493"/>
    <w:rsid w:val="00355C9C"/>
    <w:rsid w:val="00356F8F"/>
    <w:rsid w:val="00356FB3"/>
    <w:rsid w:val="0036064E"/>
    <w:rsid w:val="003613F6"/>
    <w:rsid w:val="00362148"/>
    <w:rsid w:val="00362CD2"/>
    <w:rsid w:val="00363791"/>
    <w:rsid w:val="003648BC"/>
    <w:rsid w:val="00364C73"/>
    <w:rsid w:val="00364F4A"/>
    <w:rsid w:val="00365C71"/>
    <w:rsid w:val="00370268"/>
    <w:rsid w:val="00370CA4"/>
    <w:rsid w:val="00373517"/>
    <w:rsid w:val="00374100"/>
    <w:rsid w:val="003775FD"/>
    <w:rsid w:val="0037770A"/>
    <w:rsid w:val="003779E2"/>
    <w:rsid w:val="00380657"/>
    <w:rsid w:val="00380AB4"/>
    <w:rsid w:val="00381126"/>
    <w:rsid w:val="00381FF9"/>
    <w:rsid w:val="003842B9"/>
    <w:rsid w:val="003848D8"/>
    <w:rsid w:val="0038652B"/>
    <w:rsid w:val="0038769D"/>
    <w:rsid w:val="003877D0"/>
    <w:rsid w:val="00390073"/>
    <w:rsid w:val="0039042A"/>
    <w:rsid w:val="0039290E"/>
    <w:rsid w:val="00393152"/>
    <w:rsid w:val="00394B5F"/>
    <w:rsid w:val="003974E8"/>
    <w:rsid w:val="003976CE"/>
    <w:rsid w:val="003A0277"/>
    <w:rsid w:val="003A02E4"/>
    <w:rsid w:val="003A05C6"/>
    <w:rsid w:val="003A0FEB"/>
    <w:rsid w:val="003A21ED"/>
    <w:rsid w:val="003A22BF"/>
    <w:rsid w:val="003A24FB"/>
    <w:rsid w:val="003A270E"/>
    <w:rsid w:val="003A3BB0"/>
    <w:rsid w:val="003A3E73"/>
    <w:rsid w:val="003A3EA2"/>
    <w:rsid w:val="003A6681"/>
    <w:rsid w:val="003A7678"/>
    <w:rsid w:val="003B0447"/>
    <w:rsid w:val="003B1195"/>
    <w:rsid w:val="003B1BD8"/>
    <w:rsid w:val="003B3987"/>
    <w:rsid w:val="003C064F"/>
    <w:rsid w:val="003C0F6F"/>
    <w:rsid w:val="003C12F4"/>
    <w:rsid w:val="003C1E7A"/>
    <w:rsid w:val="003C31F0"/>
    <w:rsid w:val="003C3AC0"/>
    <w:rsid w:val="003C738A"/>
    <w:rsid w:val="003D1D9A"/>
    <w:rsid w:val="003D3AEB"/>
    <w:rsid w:val="003D64D7"/>
    <w:rsid w:val="003D7686"/>
    <w:rsid w:val="003D7BD5"/>
    <w:rsid w:val="003E12AD"/>
    <w:rsid w:val="003E146E"/>
    <w:rsid w:val="003E30E2"/>
    <w:rsid w:val="003E48BB"/>
    <w:rsid w:val="003E5492"/>
    <w:rsid w:val="003E6CFC"/>
    <w:rsid w:val="003E7DC9"/>
    <w:rsid w:val="003E7E39"/>
    <w:rsid w:val="003F00F8"/>
    <w:rsid w:val="003F05CD"/>
    <w:rsid w:val="003F1653"/>
    <w:rsid w:val="003F4677"/>
    <w:rsid w:val="003F4906"/>
    <w:rsid w:val="003F5C7E"/>
    <w:rsid w:val="003F5D42"/>
    <w:rsid w:val="003F68D7"/>
    <w:rsid w:val="003F7345"/>
    <w:rsid w:val="003F7B6F"/>
    <w:rsid w:val="00400697"/>
    <w:rsid w:val="00400A45"/>
    <w:rsid w:val="00401A26"/>
    <w:rsid w:val="004030FB"/>
    <w:rsid w:val="00403F5A"/>
    <w:rsid w:val="00404847"/>
    <w:rsid w:val="004050AE"/>
    <w:rsid w:val="00405A8E"/>
    <w:rsid w:val="00405A9B"/>
    <w:rsid w:val="00412211"/>
    <w:rsid w:val="004148FC"/>
    <w:rsid w:val="00415EA1"/>
    <w:rsid w:val="00417BDD"/>
    <w:rsid w:val="004227B8"/>
    <w:rsid w:val="0042289D"/>
    <w:rsid w:val="00424A99"/>
    <w:rsid w:val="00425EF4"/>
    <w:rsid w:val="004316D9"/>
    <w:rsid w:val="0043386E"/>
    <w:rsid w:val="00434465"/>
    <w:rsid w:val="00436315"/>
    <w:rsid w:val="00437ACB"/>
    <w:rsid w:val="00441531"/>
    <w:rsid w:val="00441F6F"/>
    <w:rsid w:val="004421F3"/>
    <w:rsid w:val="00445313"/>
    <w:rsid w:val="00446ACF"/>
    <w:rsid w:val="00450550"/>
    <w:rsid w:val="004524E8"/>
    <w:rsid w:val="00452DF0"/>
    <w:rsid w:val="00454A95"/>
    <w:rsid w:val="00455D79"/>
    <w:rsid w:val="00457BFD"/>
    <w:rsid w:val="004603A5"/>
    <w:rsid w:val="004616EC"/>
    <w:rsid w:val="00463F08"/>
    <w:rsid w:val="00464A19"/>
    <w:rsid w:val="004651D3"/>
    <w:rsid w:val="00465757"/>
    <w:rsid w:val="00465912"/>
    <w:rsid w:val="00467BA0"/>
    <w:rsid w:val="00470A9D"/>
    <w:rsid w:val="004733A1"/>
    <w:rsid w:val="00475228"/>
    <w:rsid w:val="00475C93"/>
    <w:rsid w:val="004769F1"/>
    <w:rsid w:val="00481ADB"/>
    <w:rsid w:val="00482E9B"/>
    <w:rsid w:val="004838CD"/>
    <w:rsid w:val="00484088"/>
    <w:rsid w:val="004841AB"/>
    <w:rsid w:val="00485005"/>
    <w:rsid w:val="00485B0A"/>
    <w:rsid w:val="00486814"/>
    <w:rsid w:val="00490794"/>
    <w:rsid w:val="00490E91"/>
    <w:rsid w:val="004910B0"/>
    <w:rsid w:val="0049254D"/>
    <w:rsid w:val="00493671"/>
    <w:rsid w:val="0049427F"/>
    <w:rsid w:val="00495183"/>
    <w:rsid w:val="00495332"/>
    <w:rsid w:val="0049569A"/>
    <w:rsid w:val="00496FDB"/>
    <w:rsid w:val="004973E5"/>
    <w:rsid w:val="004A1E82"/>
    <w:rsid w:val="004A2BDB"/>
    <w:rsid w:val="004A2CC4"/>
    <w:rsid w:val="004A34A3"/>
    <w:rsid w:val="004A374D"/>
    <w:rsid w:val="004A411D"/>
    <w:rsid w:val="004A4578"/>
    <w:rsid w:val="004A4698"/>
    <w:rsid w:val="004A489A"/>
    <w:rsid w:val="004A52C7"/>
    <w:rsid w:val="004A5BF3"/>
    <w:rsid w:val="004A7709"/>
    <w:rsid w:val="004A7F83"/>
    <w:rsid w:val="004B1BF4"/>
    <w:rsid w:val="004B1F92"/>
    <w:rsid w:val="004B35CA"/>
    <w:rsid w:val="004C029C"/>
    <w:rsid w:val="004C0C57"/>
    <w:rsid w:val="004C13D4"/>
    <w:rsid w:val="004C1403"/>
    <w:rsid w:val="004C2DB9"/>
    <w:rsid w:val="004C787C"/>
    <w:rsid w:val="004D07AE"/>
    <w:rsid w:val="004D1435"/>
    <w:rsid w:val="004D1D0F"/>
    <w:rsid w:val="004D218B"/>
    <w:rsid w:val="004D227A"/>
    <w:rsid w:val="004D2299"/>
    <w:rsid w:val="004D24BF"/>
    <w:rsid w:val="004D2727"/>
    <w:rsid w:val="004D3BDB"/>
    <w:rsid w:val="004D6F42"/>
    <w:rsid w:val="004D7664"/>
    <w:rsid w:val="004E0980"/>
    <w:rsid w:val="004E0E4C"/>
    <w:rsid w:val="004E12F4"/>
    <w:rsid w:val="004E587C"/>
    <w:rsid w:val="004E653E"/>
    <w:rsid w:val="004E68C3"/>
    <w:rsid w:val="004E6AAE"/>
    <w:rsid w:val="004F052C"/>
    <w:rsid w:val="004F0BE2"/>
    <w:rsid w:val="004F1AE4"/>
    <w:rsid w:val="004F225C"/>
    <w:rsid w:val="004F263A"/>
    <w:rsid w:val="004F3F27"/>
    <w:rsid w:val="004F510A"/>
    <w:rsid w:val="004F6ADB"/>
    <w:rsid w:val="005004EB"/>
    <w:rsid w:val="00502D87"/>
    <w:rsid w:val="00505915"/>
    <w:rsid w:val="00506EAF"/>
    <w:rsid w:val="00511B6F"/>
    <w:rsid w:val="0051219F"/>
    <w:rsid w:val="005122E6"/>
    <w:rsid w:val="00512E71"/>
    <w:rsid w:val="0051395B"/>
    <w:rsid w:val="005145ED"/>
    <w:rsid w:val="00514C2F"/>
    <w:rsid w:val="00514DB7"/>
    <w:rsid w:val="00514E66"/>
    <w:rsid w:val="00515D63"/>
    <w:rsid w:val="00520416"/>
    <w:rsid w:val="00520DE9"/>
    <w:rsid w:val="00521FCB"/>
    <w:rsid w:val="00522CBB"/>
    <w:rsid w:val="0052425C"/>
    <w:rsid w:val="00524B47"/>
    <w:rsid w:val="0052586E"/>
    <w:rsid w:val="0052633E"/>
    <w:rsid w:val="0052656A"/>
    <w:rsid w:val="0052787C"/>
    <w:rsid w:val="005305D1"/>
    <w:rsid w:val="005310FD"/>
    <w:rsid w:val="00531C76"/>
    <w:rsid w:val="00532346"/>
    <w:rsid w:val="00532C70"/>
    <w:rsid w:val="005339A2"/>
    <w:rsid w:val="005359F3"/>
    <w:rsid w:val="00536065"/>
    <w:rsid w:val="005368FE"/>
    <w:rsid w:val="00537C25"/>
    <w:rsid w:val="005406DE"/>
    <w:rsid w:val="00543FB0"/>
    <w:rsid w:val="00544AFB"/>
    <w:rsid w:val="00544B29"/>
    <w:rsid w:val="00544B67"/>
    <w:rsid w:val="005461B4"/>
    <w:rsid w:val="005467A0"/>
    <w:rsid w:val="00547159"/>
    <w:rsid w:val="005508AD"/>
    <w:rsid w:val="0055233B"/>
    <w:rsid w:val="0055347E"/>
    <w:rsid w:val="00553F8E"/>
    <w:rsid w:val="00553FD5"/>
    <w:rsid w:val="00554B09"/>
    <w:rsid w:val="005556BF"/>
    <w:rsid w:val="00556361"/>
    <w:rsid w:val="00556912"/>
    <w:rsid w:val="00557824"/>
    <w:rsid w:val="005625D4"/>
    <w:rsid w:val="00563F1D"/>
    <w:rsid w:val="0057082A"/>
    <w:rsid w:val="00570ECA"/>
    <w:rsid w:val="005714B1"/>
    <w:rsid w:val="00572DFF"/>
    <w:rsid w:val="00572ED6"/>
    <w:rsid w:val="00573299"/>
    <w:rsid w:val="005745A5"/>
    <w:rsid w:val="00574F36"/>
    <w:rsid w:val="00575D6D"/>
    <w:rsid w:val="00575FCC"/>
    <w:rsid w:val="00577236"/>
    <w:rsid w:val="0058109B"/>
    <w:rsid w:val="00581E5E"/>
    <w:rsid w:val="00582667"/>
    <w:rsid w:val="00583992"/>
    <w:rsid w:val="00583CB3"/>
    <w:rsid w:val="00585A4C"/>
    <w:rsid w:val="005904A7"/>
    <w:rsid w:val="005933B0"/>
    <w:rsid w:val="005963DB"/>
    <w:rsid w:val="00596C1F"/>
    <w:rsid w:val="0059728E"/>
    <w:rsid w:val="00597565"/>
    <w:rsid w:val="005A02F6"/>
    <w:rsid w:val="005A05AA"/>
    <w:rsid w:val="005A0F99"/>
    <w:rsid w:val="005A13AA"/>
    <w:rsid w:val="005A144E"/>
    <w:rsid w:val="005A3F57"/>
    <w:rsid w:val="005A4218"/>
    <w:rsid w:val="005A4DF1"/>
    <w:rsid w:val="005A6866"/>
    <w:rsid w:val="005A763A"/>
    <w:rsid w:val="005B11B0"/>
    <w:rsid w:val="005B16BC"/>
    <w:rsid w:val="005B1AB4"/>
    <w:rsid w:val="005B251C"/>
    <w:rsid w:val="005B2A05"/>
    <w:rsid w:val="005B5A60"/>
    <w:rsid w:val="005C065C"/>
    <w:rsid w:val="005C0BCB"/>
    <w:rsid w:val="005C2FF5"/>
    <w:rsid w:val="005C36DC"/>
    <w:rsid w:val="005C4043"/>
    <w:rsid w:val="005C4C57"/>
    <w:rsid w:val="005C591D"/>
    <w:rsid w:val="005C59C3"/>
    <w:rsid w:val="005C5B6E"/>
    <w:rsid w:val="005C6C63"/>
    <w:rsid w:val="005C7092"/>
    <w:rsid w:val="005C7921"/>
    <w:rsid w:val="005D01AF"/>
    <w:rsid w:val="005D0DB2"/>
    <w:rsid w:val="005D1F0B"/>
    <w:rsid w:val="005D2AE1"/>
    <w:rsid w:val="005D2C21"/>
    <w:rsid w:val="005D2D0C"/>
    <w:rsid w:val="005D2D37"/>
    <w:rsid w:val="005D392D"/>
    <w:rsid w:val="005D48FF"/>
    <w:rsid w:val="005D590A"/>
    <w:rsid w:val="005D63BF"/>
    <w:rsid w:val="005D79B3"/>
    <w:rsid w:val="005E16CD"/>
    <w:rsid w:val="005E25BC"/>
    <w:rsid w:val="005E31EF"/>
    <w:rsid w:val="005E3EC5"/>
    <w:rsid w:val="005E3EC6"/>
    <w:rsid w:val="005E77A9"/>
    <w:rsid w:val="005F07D6"/>
    <w:rsid w:val="005F1223"/>
    <w:rsid w:val="005F36B2"/>
    <w:rsid w:val="005F3B05"/>
    <w:rsid w:val="005F445B"/>
    <w:rsid w:val="005F45E2"/>
    <w:rsid w:val="005F7393"/>
    <w:rsid w:val="00600103"/>
    <w:rsid w:val="006007CC"/>
    <w:rsid w:val="00600968"/>
    <w:rsid w:val="00601AD3"/>
    <w:rsid w:val="00601ED6"/>
    <w:rsid w:val="00602544"/>
    <w:rsid w:val="0060319B"/>
    <w:rsid w:val="00604B50"/>
    <w:rsid w:val="006059F8"/>
    <w:rsid w:val="00605D29"/>
    <w:rsid w:val="006061F1"/>
    <w:rsid w:val="00610E66"/>
    <w:rsid w:val="00612E42"/>
    <w:rsid w:val="00612EBD"/>
    <w:rsid w:val="006144F2"/>
    <w:rsid w:val="0061793D"/>
    <w:rsid w:val="00617F1A"/>
    <w:rsid w:val="00620A82"/>
    <w:rsid w:val="00624304"/>
    <w:rsid w:val="00626201"/>
    <w:rsid w:val="0062687A"/>
    <w:rsid w:val="0063025A"/>
    <w:rsid w:val="006308A5"/>
    <w:rsid w:val="006321CA"/>
    <w:rsid w:val="00633587"/>
    <w:rsid w:val="00633D4D"/>
    <w:rsid w:val="00635663"/>
    <w:rsid w:val="00635BDA"/>
    <w:rsid w:val="00636214"/>
    <w:rsid w:val="0063639B"/>
    <w:rsid w:val="00640565"/>
    <w:rsid w:val="006408EF"/>
    <w:rsid w:val="00640F92"/>
    <w:rsid w:val="00641DC8"/>
    <w:rsid w:val="006420C7"/>
    <w:rsid w:val="00642CBD"/>
    <w:rsid w:val="006432E7"/>
    <w:rsid w:val="0064455C"/>
    <w:rsid w:val="0064539D"/>
    <w:rsid w:val="006457DC"/>
    <w:rsid w:val="006462AE"/>
    <w:rsid w:val="0064631B"/>
    <w:rsid w:val="006467B5"/>
    <w:rsid w:val="00647F25"/>
    <w:rsid w:val="00650B43"/>
    <w:rsid w:val="0065136D"/>
    <w:rsid w:val="006515B6"/>
    <w:rsid w:val="006540B5"/>
    <w:rsid w:val="0065437D"/>
    <w:rsid w:val="00654EA6"/>
    <w:rsid w:val="00655C5C"/>
    <w:rsid w:val="0066220D"/>
    <w:rsid w:val="006631B4"/>
    <w:rsid w:val="006633CE"/>
    <w:rsid w:val="00663C01"/>
    <w:rsid w:val="006653BC"/>
    <w:rsid w:val="006655A5"/>
    <w:rsid w:val="006666C9"/>
    <w:rsid w:val="00667464"/>
    <w:rsid w:val="00670B46"/>
    <w:rsid w:val="00675608"/>
    <w:rsid w:val="00675D59"/>
    <w:rsid w:val="00676F6C"/>
    <w:rsid w:val="00677446"/>
    <w:rsid w:val="006774B7"/>
    <w:rsid w:val="00681C5E"/>
    <w:rsid w:val="0068446A"/>
    <w:rsid w:val="00684E36"/>
    <w:rsid w:val="00685877"/>
    <w:rsid w:val="00686352"/>
    <w:rsid w:val="0068655F"/>
    <w:rsid w:val="006867A2"/>
    <w:rsid w:val="00686FB9"/>
    <w:rsid w:val="006876E5"/>
    <w:rsid w:val="00687B1E"/>
    <w:rsid w:val="006905F0"/>
    <w:rsid w:val="00690725"/>
    <w:rsid w:val="006916EE"/>
    <w:rsid w:val="006923F2"/>
    <w:rsid w:val="00693AB0"/>
    <w:rsid w:val="00694035"/>
    <w:rsid w:val="00694429"/>
    <w:rsid w:val="00696F8C"/>
    <w:rsid w:val="00697BCE"/>
    <w:rsid w:val="00697FF9"/>
    <w:rsid w:val="006A0DC1"/>
    <w:rsid w:val="006A35F2"/>
    <w:rsid w:val="006A4545"/>
    <w:rsid w:val="006A5ACB"/>
    <w:rsid w:val="006A6AC2"/>
    <w:rsid w:val="006A7C57"/>
    <w:rsid w:val="006B0C27"/>
    <w:rsid w:val="006B1464"/>
    <w:rsid w:val="006B1AB6"/>
    <w:rsid w:val="006B20B3"/>
    <w:rsid w:val="006B3871"/>
    <w:rsid w:val="006B484A"/>
    <w:rsid w:val="006B5B4A"/>
    <w:rsid w:val="006B5BC4"/>
    <w:rsid w:val="006B65FD"/>
    <w:rsid w:val="006B7B36"/>
    <w:rsid w:val="006C19B3"/>
    <w:rsid w:val="006C2F73"/>
    <w:rsid w:val="006C597F"/>
    <w:rsid w:val="006C6B83"/>
    <w:rsid w:val="006C76D4"/>
    <w:rsid w:val="006C7D7A"/>
    <w:rsid w:val="006D4A7D"/>
    <w:rsid w:val="006D7557"/>
    <w:rsid w:val="006D77AB"/>
    <w:rsid w:val="006E095D"/>
    <w:rsid w:val="006E3373"/>
    <w:rsid w:val="006E4437"/>
    <w:rsid w:val="006E454F"/>
    <w:rsid w:val="006E45B4"/>
    <w:rsid w:val="006E52FE"/>
    <w:rsid w:val="006E5314"/>
    <w:rsid w:val="006E541A"/>
    <w:rsid w:val="006E5FBB"/>
    <w:rsid w:val="006E74EA"/>
    <w:rsid w:val="006E7873"/>
    <w:rsid w:val="006F14F8"/>
    <w:rsid w:val="006F4A44"/>
    <w:rsid w:val="006F4F02"/>
    <w:rsid w:val="006F6248"/>
    <w:rsid w:val="006F6ACC"/>
    <w:rsid w:val="006F790A"/>
    <w:rsid w:val="007003BD"/>
    <w:rsid w:val="00700F64"/>
    <w:rsid w:val="007023D5"/>
    <w:rsid w:val="007027ED"/>
    <w:rsid w:val="00705133"/>
    <w:rsid w:val="00705634"/>
    <w:rsid w:val="00705714"/>
    <w:rsid w:val="00705F7B"/>
    <w:rsid w:val="007072DE"/>
    <w:rsid w:val="007075FE"/>
    <w:rsid w:val="00710240"/>
    <w:rsid w:val="00710387"/>
    <w:rsid w:val="00710493"/>
    <w:rsid w:val="00714977"/>
    <w:rsid w:val="0071592B"/>
    <w:rsid w:val="00715E21"/>
    <w:rsid w:val="00715EB2"/>
    <w:rsid w:val="00715F9C"/>
    <w:rsid w:val="00716CE3"/>
    <w:rsid w:val="00717FCF"/>
    <w:rsid w:val="00721840"/>
    <w:rsid w:val="007251CF"/>
    <w:rsid w:val="00725205"/>
    <w:rsid w:val="0072581E"/>
    <w:rsid w:val="007261B2"/>
    <w:rsid w:val="007272BD"/>
    <w:rsid w:val="00727AB8"/>
    <w:rsid w:val="0073166E"/>
    <w:rsid w:val="007317CF"/>
    <w:rsid w:val="00732193"/>
    <w:rsid w:val="007331BA"/>
    <w:rsid w:val="007338B6"/>
    <w:rsid w:val="00735147"/>
    <w:rsid w:val="007351D6"/>
    <w:rsid w:val="00737405"/>
    <w:rsid w:val="00737761"/>
    <w:rsid w:val="00737DB2"/>
    <w:rsid w:val="00740B7D"/>
    <w:rsid w:val="00740C01"/>
    <w:rsid w:val="00740FC0"/>
    <w:rsid w:val="00743985"/>
    <w:rsid w:val="00743B18"/>
    <w:rsid w:val="00744554"/>
    <w:rsid w:val="00745CA2"/>
    <w:rsid w:val="0074654D"/>
    <w:rsid w:val="00747271"/>
    <w:rsid w:val="0074774F"/>
    <w:rsid w:val="007479CC"/>
    <w:rsid w:val="00750871"/>
    <w:rsid w:val="00752442"/>
    <w:rsid w:val="007529B4"/>
    <w:rsid w:val="00753A2F"/>
    <w:rsid w:val="0075412A"/>
    <w:rsid w:val="00754915"/>
    <w:rsid w:val="00755378"/>
    <w:rsid w:val="00755506"/>
    <w:rsid w:val="007560EE"/>
    <w:rsid w:val="0075686A"/>
    <w:rsid w:val="00756A76"/>
    <w:rsid w:val="00757588"/>
    <w:rsid w:val="0075776E"/>
    <w:rsid w:val="00757E6F"/>
    <w:rsid w:val="00760B9B"/>
    <w:rsid w:val="00761BDE"/>
    <w:rsid w:val="007621D2"/>
    <w:rsid w:val="00762F91"/>
    <w:rsid w:val="007639BA"/>
    <w:rsid w:val="00763A3E"/>
    <w:rsid w:val="00765D74"/>
    <w:rsid w:val="00767839"/>
    <w:rsid w:val="00772B92"/>
    <w:rsid w:val="00772E08"/>
    <w:rsid w:val="0077370E"/>
    <w:rsid w:val="0077385A"/>
    <w:rsid w:val="00773BD2"/>
    <w:rsid w:val="00774A81"/>
    <w:rsid w:val="0077516E"/>
    <w:rsid w:val="007769F9"/>
    <w:rsid w:val="00776E9E"/>
    <w:rsid w:val="007805CB"/>
    <w:rsid w:val="00780C09"/>
    <w:rsid w:val="00781041"/>
    <w:rsid w:val="00781CD3"/>
    <w:rsid w:val="00782257"/>
    <w:rsid w:val="00783C06"/>
    <w:rsid w:val="00783EA2"/>
    <w:rsid w:val="00787593"/>
    <w:rsid w:val="0079390D"/>
    <w:rsid w:val="00794368"/>
    <w:rsid w:val="00795073"/>
    <w:rsid w:val="007969B7"/>
    <w:rsid w:val="00796A78"/>
    <w:rsid w:val="00796AAE"/>
    <w:rsid w:val="007A1492"/>
    <w:rsid w:val="007A14CB"/>
    <w:rsid w:val="007A212E"/>
    <w:rsid w:val="007A3FED"/>
    <w:rsid w:val="007A412D"/>
    <w:rsid w:val="007A42CC"/>
    <w:rsid w:val="007A50C5"/>
    <w:rsid w:val="007A5DF1"/>
    <w:rsid w:val="007B2197"/>
    <w:rsid w:val="007B272F"/>
    <w:rsid w:val="007B2993"/>
    <w:rsid w:val="007B2BF3"/>
    <w:rsid w:val="007B2CEF"/>
    <w:rsid w:val="007B321D"/>
    <w:rsid w:val="007B55F6"/>
    <w:rsid w:val="007C0068"/>
    <w:rsid w:val="007C1D69"/>
    <w:rsid w:val="007C1E90"/>
    <w:rsid w:val="007C3A3C"/>
    <w:rsid w:val="007C451A"/>
    <w:rsid w:val="007C4781"/>
    <w:rsid w:val="007C6211"/>
    <w:rsid w:val="007C77C1"/>
    <w:rsid w:val="007D52CD"/>
    <w:rsid w:val="007D5384"/>
    <w:rsid w:val="007D5C06"/>
    <w:rsid w:val="007D6AC5"/>
    <w:rsid w:val="007E0FBA"/>
    <w:rsid w:val="007E1AE3"/>
    <w:rsid w:val="007E2D4C"/>
    <w:rsid w:val="007E4809"/>
    <w:rsid w:val="007E75BA"/>
    <w:rsid w:val="007F10EF"/>
    <w:rsid w:val="007F38FD"/>
    <w:rsid w:val="007F6E71"/>
    <w:rsid w:val="0080042F"/>
    <w:rsid w:val="00800EAC"/>
    <w:rsid w:val="00801682"/>
    <w:rsid w:val="008029B5"/>
    <w:rsid w:val="00803BA4"/>
    <w:rsid w:val="0080735E"/>
    <w:rsid w:val="00807B36"/>
    <w:rsid w:val="008107FE"/>
    <w:rsid w:val="00811406"/>
    <w:rsid w:val="008121A6"/>
    <w:rsid w:val="008126AD"/>
    <w:rsid w:val="0081393E"/>
    <w:rsid w:val="00815EA9"/>
    <w:rsid w:val="00816638"/>
    <w:rsid w:val="008177BD"/>
    <w:rsid w:val="00820BFF"/>
    <w:rsid w:val="00821471"/>
    <w:rsid w:val="00823858"/>
    <w:rsid w:val="00824643"/>
    <w:rsid w:val="00825547"/>
    <w:rsid w:val="00825B5E"/>
    <w:rsid w:val="00827846"/>
    <w:rsid w:val="00827E17"/>
    <w:rsid w:val="00831033"/>
    <w:rsid w:val="008330EA"/>
    <w:rsid w:val="00836DF5"/>
    <w:rsid w:val="00837FFA"/>
    <w:rsid w:val="00841914"/>
    <w:rsid w:val="008425C0"/>
    <w:rsid w:val="008430D5"/>
    <w:rsid w:val="0084441C"/>
    <w:rsid w:val="008447F3"/>
    <w:rsid w:val="00845BB0"/>
    <w:rsid w:val="00846892"/>
    <w:rsid w:val="008468B6"/>
    <w:rsid w:val="008469CF"/>
    <w:rsid w:val="00847B5D"/>
    <w:rsid w:val="00851E96"/>
    <w:rsid w:val="0085298B"/>
    <w:rsid w:val="00855736"/>
    <w:rsid w:val="00856F05"/>
    <w:rsid w:val="008578B6"/>
    <w:rsid w:val="008623FF"/>
    <w:rsid w:val="00862CA5"/>
    <w:rsid w:val="00863168"/>
    <w:rsid w:val="00863243"/>
    <w:rsid w:val="00865226"/>
    <w:rsid w:val="00865775"/>
    <w:rsid w:val="00865982"/>
    <w:rsid w:val="00866C9F"/>
    <w:rsid w:val="00871A25"/>
    <w:rsid w:val="0087276F"/>
    <w:rsid w:val="00872D79"/>
    <w:rsid w:val="00873C74"/>
    <w:rsid w:val="0087408D"/>
    <w:rsid w:val="00874557"/>
    <w:rsid w:val="008747B6"/>
    <w:rsid w:val="00875937"/>
    <w:rsid w:val="00880743"/>
    <w:rsid w:val="008812E1"/>
    <w:rsid w:val="008812E5"/>
    <w:rsid w:val="00884789"/>
    <w:rsid w:val="00884E96"/>
    <w:rsid w:val="008910AF"/>
    <w:rsid w:val="008910F3"/>
    <w:rsid w:val="008924C8"/>
    <w:rsid w:val="00892AAB"/>
    <w:rsid w:val="00893EA5"/>
    <w:rsid w:val="00894CD3"/>
    <w:rsid w:val="0089595B"/>
    <w:rsid w:val="00895D45"/>
    <w:rsid w:val="00896101"/>
    <w:rsid w:val="0089669F"/>
    <w:rsid w:val="00897303"/>
    <w:rsid w:val="008978A9"/>
    <w:rsid w:val="008A0BA5"/>
    <w:rsid w:val="008A175F"/>
    <w:rsid w:val="008A1E35"/>
    <w:rsid w:val="008A35ED"/>
    <w:rsid w:val="008A51D4"/>
    <w:rsid w:val="008A64DD"/>
    <w:rsid w:val="008A6B1E"/>
    <w:rsid w:val="008A6B51"/>
    <w:rsid w:val="008A72CC"/>
    <w:rsid w:val="008A78C7"/>
    <w:rsid w:val="008B2AF9"/>
    <w:rsid w:val="008B38F1"/>
    <w:rsid w:val="008B4017"/>
    <w:rsid w:val="008B45A6"/>
    <w:rsid w:val="008B4F37"/>
    <w:rsid w:val="008B511B"/>
    <w:rsid w:val="008B59A3"/>
    <w:rsid w:val="008B6F3A"/>
    <w:rsid w:val="008C0CB4"/>
    <w:rsid w:val="008C5058"/>
    <w:rsid w:val="008C5751"/>
    <w:rsid w:val="008C59E5"/>
    <w:rsid w:val="008C74F8"/>
    <w:rsid w:val="008C781D"/>
    <w:rsid w:val="008D0C83"/>
    <w:rsid w:val="008D111A"/>
    <w:rsid w:val="008D13BD"/>
    <w:rsid w:val="008D64CF"/>
    <w:rsid w:val="008D65D4"/>
    <w:rsid w:val="008D65D8"/>
    <w:rsid w:val="008D7250"/>
    <w:rsid w:val="008D7A64"/>
    <w:rsid w:val="008D7E12"/>
    <w:rsid w:val="008E17B2"/>
    <w:rsid w:val="008E2187"/>
    <w:rsid w:val="008E22E9"/>
    <w:rsid w:val="008E3B2E"/>
    <w:rsid w:val="008E3CFE"/>
    <w:rsid w:val="008E72C0"/>
    <w:rsid w:val="008F1217"/>
    <w:rsid w:val="008F1C6F"/>
    <w:rsid w:val="008F39AC"/>
    <w:rsid w:val="008F3B83"/>
    <w:rsid w:val="008F3F98"/>
    <w:rsid w:val="008F6947"/>
    <w:rsid w:val="008F725D"/>
    <w:rsid w:val="008F77F1"/>
    <w:rsid w:val="009012FB"/>
    <w:rsid w:val="00901667"/>
    <w:rsid w:val="0090290A"/>
    <w:rsid w:val="009034B0"/>
    <w:rsid w:val="009052A6"/>
    <w:rsid w:val="00906D4E"/>
    <w:rsid w:val="00907201"/>
    <w:rsid w:val="00907643"/>
    <w:rsid w:val="0090784B"/>
    <w:rsid w:val="00910711"/>
    <w:rsid w:val="00911361"/>
    <w:rsid w:val="0091189A"/>
    <w:rsid w:val="009129E3"/>
    <w:rsid w:val="00917FFE"/>
    <w:rsid w:val="00920012"/>
    <w:rsid w:val="00920CBC"/>
    <w:rsid w:val="009219FE"/>
    <w:rsid w:val="00922B14"/>
    <w:rsid w:val="009230F4"/>
    <w:rsid w:val="0092466A"/>
    <w:rsid w:val="00925BF7"/>
    <w:rsid w:val="00925D1C"/>
    <w:rsid w:val="00925F20"/>
    <w:rsid w:val="009271AB"/>
    <w:rsid w:val="009306B4"/>
    <w:rsid w:val="00930D54"/>
    <w:rsid w:val="0093240F"/>
    <w:rsid w:val="00932EDE"/>
    <w:rsid w:val="00934774"/>
    <w:rsid w:val="00934F46"/>
    <w:rsid w:val="0093631F"/>
    <w:rsid w:val="00937E57"/>
    <w:rsid w:val="009405CE"/>
    <w:rsid w:val="0094173C"/>
    <w:rsid w:val="00941C9F"/>
    <w:rsid w:val="0094278E"/>
    <w:rsid w:val="00943859"/>
    <w:rsid w:val="00945C71"/>
    <w:rsid w:val="009470BB"/>
    <w:rsid w:val="00951673"/>
    <w:rsid w:val="009527AC"/>
    <w:rsid w:val="00954D3D"/>
    <w:rsid w:val="00956018"/>
    <w:rsid w:val="00957881"/>
    <w:rsid w:val="0096041B"/>
    <w:rsid w:val="00961EB8"/>
    <w:rsid w:val="009631D6"/>
    <w:rsid w:val="009656F3"/>
    <w:rsid w:val="00966568"/>
    <w:rsid w:val="00967871"/>
    <w:rsid w:val="009705BD"/>
    <w:rsid w:val="00970CA1"/>
    <w:rsid w:val="00971084"/>
    <w:rsid w:val="00972FEF"/>
    <w:rsid w:val="00973D26"/>
    <w:rsid w:val="00974617"/>
    <w:rsid w:val="00975387"/>
    <w:rsid w:val="00975EAD"/>
    <w:rsid w:val="009762B9"/>
    <w:rsid w:val="009771AB"/>
    <w:rsid w:val="00980218"/>
    <w:rsid w:val="009815DB"/>
    <w:rsid w:val="0098206F"/>
    <w:rsid w:val="00982100"/>
    <w:rsid w:val="00983C3D"/>
    <w:rsid w:val="00984A4C"/>
    <w:rsid w:val="00984EAA"/>
    <w:rsid w:val="009928B0"/>
    <w:rsid w:val="00992C92"/>
    <w:rsid w:val="009934B5"/>
    <w:rsid w:val="009938BE"/>
    <w:rsid w:val="00994152"/>
    <w:rsid w:val="00995028"/>
    <w:rsid w:val="00996E64"/>
    <w:rsid w:val="00997C2C"/>
    <w:rsid w:val="009A2792"/>
    <w:rsid w:val="009A4D7B"/>
    <w:rsid w:val="009A54C2"/>
    <w:rsid w:val="009A6B41"/>
    <w:rsid w:val="009A7E1A"/>
    <w:rsid w:val="009B3D30"/>
    <w:rsid w:val="009B4D3C"/>
    <w:rsid w:val="009B4EEF"/>
    <w:rsid w:val="009B4EFB"/>
    <w:rsid w:val="009B5CFE"/>
    <w:rsid w:val="009C015A"/>
    <w:rsid w:val="009C131A"/>
    <w:rsid w:val="009C1DAC"/>
    <w:rsid w:val="009C51D4"/>
    <w:rsid w:val="009C52E2"/>
    <w:rsid w:val="009C5684"/>
    <w:rsid w:val="009C5D31"/>
    <w:rsid w:val="009D12C7"/>
    <w:rsid w:val="009D33E2"/>
    <w:rsid w:val="009D4FFD"/>
    <w:rsid w:val="009D57CE"/>
    <w:rsid w:val="009D5CB3"/>
    <w:rsid w:val="009D5E00"/>
    <w:rsid w:val="009D6ED1"/>
    <w:rsid w:val="009D7556"/>
    <w:rsid w:val="009E089C"/>
    <w:rsid w:val="009E0C1F"/>
    <w:rsid w:val="009F001A"/>
    <w:rsid w:val="009F43F1"/>
    <w:rsid w:val="009F5177"/>
    <w:rsid w:val="009F658C"/>
    <w:rsid w:val="009F753F"/>
    <w:rsid w:val="00A019A4"/>
    <w:rsid w:val="00A0244B"/>
    <w:rsid w:val="00A03E4E"/>
    <w:rsid w:val="00A0503D"/>
    <w:rsid w:val="00A065CF"/>
    <w:rsid w:val="00A06679"/>
    <w:rsid w:val="00A0709D"/>
    <w:rsid w:val="00A07F99"/>
    <w:rsid w:val="00A126B6"/>
    <w:rsid w:val="00A13549"/>
    <w:rsid w:val="00A142F2"/>
    <w:rsid w:val="00A1463E"/>
    <w:rsid w:val="00A157BE"/>
    <w:rsid w:val="00A21ACC"/>
    <w:rsid w:val="00A247E8"/>
    <w:rsid w:val="00A24DE8"/>
    <w:rsid w:val="00A25871"/>
    <w:rsid w:val="00A27A99"/>
    <w:rsid w:val="00A31AA5"/>
    <w:rsid w:val="00A32378"/>
    <w:rsid w:val="00A32F6F"/>
    <w:rsid w:val="00A331B2"/>
    <w:rsid w:val="00A336A7"/>
    <w:rsid w:val="00A3387E"/>
    <w:rsid w:val="00A33B6C"/>
    <w:rsid w:val="00A36F5E"/>
    <w:rsid w:val="00A3797F"/>
    <w:rsid w:val="00A4020C"/>
    <w:rsid w:val="00A41064"/>
    <w:rsid w:val="00A413A4"/>
    <w:rsid w:val="00A41838"/>
    <w:rsid w:val="00A419E3"/>
    <w:rsid w:val="00A42092"/>
    <w:rsid w:val="00A43FE8"/>
    <w:rsid w:val="00A45001"/>
    <w:rsid w:val="00A46166"/>
    <w:rsid w:val="00A47381"/>
    <w:rsid w:val="00A50138"/>
    <w:rsid w:val="00A51600"/>
    <w:rsid w:val="00A5210E"/>
    <w:rsid w:val="00A52357"/>
    <w:rsid w:val="00A5294B"/>
    <w:rsid w:val="00A54FAD"/>
    <w:rsid w:val="00A574D8"/>
    <w:rsid w:val="00A578EB"/>
    <w:rsid w:val="00A57A4C"/>
    <w:rsid w:val="00A605C3"/>
    <w:rsid w:val="00A64910"/>
    <w:rsid w:val="00A6589A"/>
    <w:rsid w:val="00A65AAA"/>
    <w:rsid w:val="00A67AE7"/>
    <w:rsid w:val="00A7078D"/>
    <w:rsid w:val="00A7107B"/>
    <w:rsid w:val="00A74489"/>
    <w:rsid w:val="00A74673"/>
    <w:rsid w:val="00A7582D"/>
    <w:rsid w:val="00A76CDD"/>
    <w:rsid w:val="00A82E77"/>
    <w:rsid w:val="00A83822"/>
    <w:rsid w:val="00A83876"/>
    <w:rsid w:val="00A83AD6"/>
    <w:rsid w:val="00A85405"/>
    <w:rsid w:val="00A876BC"/>
    <w:rsid w:val="00A90E6D"/>
    <w:rsid w:val="00A92935"/>
    <w:rsid w:val="00A92EDA"/>
    <w:rsid w:val="00A93321"/>
    <w:rsid w:val="00A939E9"/>
    <w:rsid w:val="00A9606B"/>
    <w:rsid w:val="00A9638B"/>
    <w:rsid w:val="00A97370"/>
    <w:rsid w:val="00A9753C"/>
    <w:rsid w:val="00A97CB2"/>
    <w:rsid w:val="00AA0A88"/>
    <w:rsid w:val="00AA0EF3"/>
    <w:rsid w:val="00AA299F"/>
    <w:rsid w:val="00AA4794"/>
    <w:rsid w:val="00AA479D"/>
    <w:rsid w:val="00AA6C27"/>
    <w:rsid w:val="00AA7469"/>
    <w:rsid w:val="00AB224D"/>
    <w:rsid w:val="00AB2ED5"/>
    <w:rsid w:val="00AB7459"/>
    <w:rsid w:val="00AB74F2"/>
    <w:rsid w:val="00AB7EFE"/>
    <w:rsid w:val="00AC16FE"/>
    <w:rsid w:val="00AC2E26"/>
    <w:rsid w:val="00AC3A78"/>
    <w:rsid w:val="00AC4886"/>
    <w:rsid w:val="00AC4B5C"/>
    <w:rsid w:val="00AC7AF2"/>
    <w:rsid w:val="00AD12E0"/>
    <w:rsid w:val="00AD26F1"/>
    <w:rsid w:val="00AD5698"/>
    <w:rsid w:val="00AD63AE"/>
    <w:rsid w:val="00AD6736"/>
    <w:rsid w:val="00AD6BB0"/>
    <w:rsid w:val="00AE0DD9"/>
    <w:rsid w:val="00AE0E3C"/>
    <w:rsid w:val="00AE1EBA"/>
    <w:rsid w:val="00AE3B82"/>
    <w:rsid w:val="00AE50FD"/>
    <w:rsid w:val="00AE6193"/>
    <w:rsid w:val="00AE7C10"/>
    <w:rsid w:val="00AF0A21"/>
    <w:rsid w:val="00AF0D7C"/>
    <w:rsid w:val="00AF18B5"/>
    <w:rsid w:val="00AF195E"/>
    <w:rsid w:val="00AF2874"/>
    <w:rsid w:val="00AF296A"/>
    <w:rsid w:val="00AF29C2"/>
    <w:rsid w:val="00AF2D59"/>
    <w:rsid w:val="00AF41FA"/>
    <w:rsid w:val="00AF5C64"/>
    <w:rsid w:val="00AF6C04"/>
    <w:rsid w:val="00AF7358"/>
    <w:rsid w:val="00B021A0"/>
    <w:rsid w:val="00B10262"/>
    <w:rsid w:val="00B125CE"/>
    <w:rsid w:val="00B15633"/>
    <w:rsid w:val="00B166A1"/>
    <w:rsid w:val="00B17831"/>
    <w:rsid w:val="00B21356"/>
    <w:rsid w:val="00B226A8"/>
    <w:rsid w:val="00B235F1"/>
    <w:rsid w:val="00B23F10"/>
    <w:rsid w:val="00B26234"/>
    <w:rsid w:val="00B2697B"/>
    <w:rsid w:val="00B31C59"/>
    <w:rsid w:val="00B34F79"/>
    <w:rsid w:val="00B36236"/>
    <w:rsid w:val="00B369DA"/>
    <w:rsid w:val="00B44E8D"/>
    <w:rsid w:val="00B4641C"/>
    <w:rsid w:val="00B46A93"/>
    <w:rsid w:val="00B46CE3"/>
    <w:rsid w:val="00B50C53"/>
    <w:rsid w:val="00B51710"/>
    <w:rsid w:val="00B51737"/>
    <w:rsid w:val="00B51C94"/>
    <w:rsid w:val="00B523F8"/>
    <w:rsid w:val="00B54113"/>
    <w:rsid w:val="00B621ED"/>
    <w:rsid w:val="00B63132"/>
    <w:rsid w:val="00B631AE"/>
    <w:rsid w:val="00B63AE0"/>
    <w:rsid w:val="00B64B13"/>
    <w:rsid w:val="00B64C4D"/>
    <w:rsid w:val="00B6612D"/>
    <w:rsid w:val="00B6613D"/>
    <w:rsid w:val="00B67C3F"/>
    <w:rsid w:val="00B67E31"/>
    <w:rsid w:val="00B706C5"/>
    <w:rsid w:val="00B7202B"/>
    <w:rsid w:val="00B72F3E"/>
    <w:rsid w:val="00B730CF"/>
    <w:rsid w:val="00B745BF"/>
    <w:rsid w:val="00B76042"/>
    <w:rsid w:val="00B764D6"/>
    <w:rsid w:val="00B76FF2"/>
    <w:rsid w:val="00B775D2"/>
    <w:rsid w:val="00B80320"/>
    <w:rsid w:val="00B80498"/>
    <w:rsid w:val="00B81697"/>
    <w:rsid w:val="00B8194E"/>
    <w:rsid w:val="00B82258"/>
    <w:rsid w:val="00B84309"/>
    <w:rsid w:val="00B849AB"/>
    <w:rsid w:val="00B84C9F"/>
    <w:rsid w:val="00B8550E"/>
    <w:rsid w:val="00B86E49"/>
    <w:rsid w:val="00B877A8"/>
    <w:rsid w:val="00B942B6"/>
    <w:rsid w:val="00B9456A"/>
    <w:rsid w:val="00B955C7"/>
    <w:rsid w:val="00B96E82"/>
    <w:rsid w:val="00BA0855"/>
    <w:rsid w:val="00BA1CE7"/>
    <w:rsid w:val="00BA3455"/>
    <w:rsid w:val="00BA6A32"/>
    <w:rsid w:val="00BA6A7B"/>
    <w:rsid w:val="00BA6F68"/>
    <w:rsid w:val="00BA7726"/>
    <w:rsid w:val="00BB02D8"/>
    <w:rsid w:val="00BB13FF"/>
    <w:rsid w:val="00BB1F4C"/>
    <w:rsid w:val="00BB64B2"/>
    <w:rsid w:val="00BC4B99"/>
    <w:rsid w:val="00BC589A"/>
    <w:rsid w:val="00BC7DFD"/>
    <w:rsid w:val="00BD0179"/>
    <w:rsid w:val="00BD3975"/>
    <w:rsid w:val="00BE00BB"/>
    <w:rsid w:val="00BE08CF"/>
    <w:rsid w:val="00BE2463"/>
    <w:rsid w:val="00BE3518"/>
    <w:rsid w:val="00BE3583"/>
    <w:rsid w:val="00BE39B8"/>
    <w:rsid w:val="00BE3C3A"/>
    <w:rsid w:val="00BE3C80"/>
    <w:rsid w:val="00BE4B29"/>
    <w:rsid w:val="00BE4DE4"/>
    <w:rsid w:val="00BE5D4A"/>
    <w:rsid w:val="00BE6CD5"/>
    <w:rsid w:val="00BE773A"/>
    <w:rsid w:val="00BE7CA1"/>
    <w:rsid w:val="00BF1599"/>
    <w:rsid w:val="00BF1A6E"/>
    <w:rsid w:val="00BF21FA"/>
    <w:rsid w:val="00BF2DCC"/>
    <w:rsid w:val="00BF42BB"/>
    <w:rsid w:val="00BF64E6"/>
    <w:rsid w:val="00BF6DAD"/>
    <w:rsid w:val="00BF77F9"/>
    <w:rsid w:val="00C000A2"/>
    <w:rsid w:val="00C0180B"/>
    <w:rsid w:val="00C02E1D"/>
    <w:rsid w:val="00C037CA"/>
    <w:rsid w:val="00C0458D"/>
    <w:rsid w:val="00C06D3B"/>
    <w:rsid w:val="00C06DAE"/>
    <w:rsid w:val="00C10D29"/>
    <w:rsid w:val="00C1347D"/>
    <w:rsid w:val="00C13825"/>
    <w:rsid w:val="00C16FE9"/>
    <w:rsid w:val="00C213C2"/>
    <w:rsid w:val="00C253A0"/>
    <w:rsid w:val="00C26207"/>
    <w:rsid w:val="00C2655C"/>
    <w:rsid w:val="00C30A5C"/>
    <w:rsid w:val="00C317C0"/>
    <w:rsid w:val="00C32134"/>
    <w:rsid w:val="00C337D4"/>
    <w:rsid w:val="00C352BC"/>
    <w:rsid w:val="00C35854"/>
    <w:rsid w:val="00C35B7E"/>
    <w:rsid w:val="00C37A9A"/>
    <w:rsid w:val="00C40C4F"/>
    <w:rsid w:val="00C415F6"/>
    <w:rsid w:val="00C425E5"/>
    <w:rsid w:val="00C44301"/>
    <w:rsid w:val="00C4493B"/>
    <w:rsid w:val="00C44951"/>
    <w:rsid w:val="00C44A31"/>
    <w:rsid w:val="00C5044B"/>
    <w:rsid w:val="00C50CF5"/>
    <w:rsid w:val="00C50E34"/>
    <w:rsid w:val="00C5206C"/>
    <w:rsid w:val="00C535C6"/>
    <w:rsid w:val="00C55A19"/>
    <w:rsid w:val="00C55C7C"/>
    <w:rsid w:val="00C60389"/>
    <w:rsid w:val="00C61881"/>
    <w:rsid w:val="00C62B4A"/>
    <w:rsid w:val="00C63A63"/>
    <w:rsid w:val="00C6448A"/>
    <w:rsid w:val="00C64DCA"/>
    <w:rsid w:val="00C65535"/>
    <w:rsid w:val="00C67FFE"/>
    <w:rsid w:val="00C706A3"/>
    <w:rsid w:val="00C70709"/>
    <w:rsid w:val="00C72467"/>
    <w:rsid w:val="00C7440C"/>
    <w:rsid w:val="00C74C63"/>
    <w:rsid w:val="00C75607"/>
    <w:rsid w:val="00C80ECC"/>
    <w:rsid w:val="00C81E31"/>
    <w:rsid w:val="00C830DD"/>
    <w:rsid w:val="00C856E4"/>
    <w:rsid w:val="00C85F20"/>
    <w:rsid w:val="00C862D8"/>
    <w:rsid w:val="00C93734"/>
    <w:rsid w:val="00C938D8"/>
    <w:rsid w:val="00C94033"/>
    <w:rsid w:val="00C9583F"/>
    <w:rsid w:val="00C95A68"/>
    <w:rsid w:val="00C96023"/>
    <w:rsid w:val="00C9677D"/>
    <w:rsid w:val="00C97ED5"/>
    <w:rsid w:val="00CA30C7"/>
    <w:rsid w:val="00CA56EB"/>
    <w:rsid w:val="00CA5F47"/>
    <w:rsid w:val="00CA6919"/>
    <w:rsid w:val="00CA6E9B"/>
    <w:rsid w:val="00CA7111"/>
    <w:rsid w:val="00CA7B57"/>
    <w:rsid w:val="00CA7D99"/>
    <w:rsid w:val="00CB0E43"/>
    <w:rsid w:val="00CB1B65"/>
    <w:rsid w:val="00CB1FDA"/>
    <w:rsid w:val="00CB2E2A"/>
    <w:rsid w:val="00CB3076"/>
    <w:rsid w:val="00CB3507"/>
    <w:rsid w:val="00CB50CD"/>
    <w:rsid w:val="00CB55BB"/>
    <w:rsid w:val="00CB5C2E"/>
    <w:rsid w:val="00CB7706"/>
    <w:rsid w:val="00CB7B75"/>
    <w:rsid w:val="00CC0906"/>
    <w:rsid w:val="00CC09B5"/>
    <w:rsid w:val="00CC0ED0"/>
    <w:rsid w:val="00CC2545"/>
    <w:rsid w:val="00CC2BBD"/>
    <w:rsid w:val="00CC2E0D"/>
    <w:rsid w:val="00CC3707"/>
    <w:rsid w:val="00CC4823"/>
    <w:rsid w:val="00CC5B5C"/>
    <w:rsid w:val="00CC5E4B"/>
    <w:rsid w:val="00CC7A08"/>
    <w:rsid w:val="00CC7EBE"/>
    <w:rsid w:val="00CD05DB"/>
    <w:rsid w:val="00CE15C5"/>
    <w:rsid w:val="00CE45EE"/>
    <w:rsid w:val="00CE4679"/>
    <w:rsid w:val="00CE4C29"/>
    <w:rsid w:val="00CE730D"/>
    <w:rsid w:val="00CE7965"/>
    <w:rsid w:val="00CF022C"/>
    <w:rsid w:val="00CF178F"/>
    <w:rsid w:val="00CF2118"/>
    <w:rsid w:val="00CF33EC"/>
    <w:rsid w:val="00CF5511"/>
    <w:rsid w:val="00CF6603"/>
    <w:rsid w:val="00CF6646"/>
    <w:rsid w:val="00CF6C30"/>
    <w:rsid w:val="00D0111C"/>
    <w:rsid w:val="00D023D4"/>
    <w:rsid w:val="00D027D1"/>
    <w:rsid w:val="00D03CC4"/>
    <w:rsid w:val="00D048DD"/>
    <w:rsid w:val="00D052EB"/>
    <w:rsid w:val="00D06940"/>
    <w:rsid w:val="00D07E5A"/>
    <w:rsid w:val="00D12377"/>
    <w:rsid w:val="00D13200"/>
    <w:rsid w:val="00D14000"/>
    <w:rsid w:val="00D16C02"/>
    <w:rsid w:val="00D16E89"/>
    <w:rsid w:val="00D16EF9"/>
    <w:rsid w:val="00D21E12"/>
    <w:rsid w:val="00D21F89"/>
    <w:rsid w:val="00D237C9"/>
    <w:rsid w:val="00D25450"/>
    <w:rsid w:val="00D25CAE"/>
    <w:rsid w:val="00D26FF6"/>
    <w:rsid w:val="00D27250"/>
    <w:rsid w:val="00D276A1"/>
    <w:rsid w:val="00D27A14"/>
    <w:rsid w:val="00D27DAC"/>
    <w:rsid w:val="00D32AEC"/>
    <w:rsid w:val="00D330CF"/>
    <w:rsid w:val="00D339E0"/>
    <w:rsid w:val="00D345FA"/>
    <w:rsid w:val="00D357C2"/>
    <w:rsid w:val="00D36664"/>
    <w:rsid w:val="00D41AB8"/>
    <w:rsid w:val="00D42D08"/>
    <w:rsid w:val="00D46809"/>
    <w:rsid w:val="00D46C6A"/>
    <w:rsid w:val="00D46E7C"/>
    <w:rsid w:val="00D47729"/>
    <w:rsid w:val="00D47D0F"/>
    <w:rsid w:val="00D50749"/>
    <w:rsid w:val="00D51495"/>
    <w:rsid w:val="00D517C8"/>
    <w:rsid w:val="00D53E96"/>
    <w:rsid w:val="00D55D6F"/>
    <w:rsid w:val="00D5607A"/>
    <w:rsid w:val="00D564B4"/>
    <w:rsid w:val="00D569EE"/>
    <w:rsid w:val="00D57579"/>
    <w:rsid w:val="00D57757"/>
    <w:rsid w:val="00D60508"/>
    <w:rsid w:val="00D60E67"/>
    <w:rsid w:val="00D6315A"/>
    <w:rsid w:val="00D671C9"/>
    <w:rsid w:val="00D71A02"/>
    <w:rsid w:val="00D71C6A"/>
    <w:rsid w:val="00D72398"/>
    <w:rsid w:val="00D73097"/>
    <w:rsid w:val="00D7353F"/>
    <w:rsid w:val="00D759A7"/>
    <w:rsid w:val="00D763A1"/>
    <w:rsid w:val="00D764C1"/>
    <w:rsid w:val="00D80207"/>
    <w:rsid w:val="00D8354B"/>
    <w:rsid w:val="00D848F8"/>
    <w:rsid w:val="00D86283"/>
    <w:rsid w:val="00D86982"/>
    <w:rsid w:val="00D87435"/>
    <w:rsid w:val="00D87B9C"/>
    <w:rsid w:val="00D90F3E"/>
    <w:rsid w:val="00D91249"/>
    <w:rsid w:val="00D92DA6"/>
    <w:rsid w:val="00D935CC"/>
    <w:rsid w:val="00D93C8C"/>
    <w:rsid w:val="00D94FEA"/>
    <w:rsid w:val="00DA4457"/>
    <w:rsid w:val="00DA5493"/>
    <w:rsid w:val="00DA6D5A"/>
    <w:rsid w:val="00DA700E"/>
    <w:rsid w:val="00DB0605"/>
    <w:rsid w:val="00DB3D47"/>
    <w:rsid w:val="00DB4A9E"/>
    <w:rsid w:val="00DB54FE"/>
    <w:rsid w:val="00DB72B7"/>
    <w:rsid w:val="00DB7F95"/>
    <w:rsid w:val="00DC00D2"/>
    <w:rsid w:val="00DC0349"/>
    <w:rsid w:val="00DC034E"/>
    <w:rsid w:val="00DC0958"/>
    <w:rsid w:val="00DC0BE2"/>
    <w:rsid w:val="00DC1E29"/>
    <w:rsid w:val="00DC4848"/>
    <w:rsid w:val="00DC4C4B"/>
    <w:rsid w:val="00DC7266"/>
    <w:rsid w:val="00DD0DCB"/>
    <w:rsid w:val="00DD18A1"/>
    <w:rsid w:val="00DD3969"/>
    <w:rsid w:val="00DD4193"/>
    <w:rsid w:val="00DD6CD5"/>
    <w:rsid w:val="00DD793A"/>
    <w:rsid w:val="00DE086D"/>
    <w:rsid w:val="00DE2921"/>
    <w:rsid w:val="00DE3B2D"/>
    <w:rsid w:val="00DE3D4F"/>
    <w:rsid w:val="00DE5FFE"/>
    <w:rsid w:val="00DE60B7"/>
    <w:rsid w:val="00DE7E39"/>
    <w:rsid w:val="00DF16F5"/>
    <w:rsid w:val="00DF1A3A"/>
    <w:rsid w:val="00DF2286"/>
    <w:rsid w:val="00DF3676"/>
    <w:rsid w:val="00DF36EA"/>
    <w:rsid w:val="00DF4291"/>
    <w:rsid w:val="00DF75D5"/>
    <w:rsid w:val="00E022AC"/>
    <w:rsid w:val="00E0237D"/>
    <w:rsid w:val="00E02AFC"/>
    <w:rsid w:val="00E03CF7"/>
    <w:rsid w:val="00E07757"/>
    <w:rsid w:val="00E077F8"/>
    <w:rsid w:val="00E106EE"/>
    <w:rsid w:val="00E10E36"/>
    <w:rsid w:val="00E11132"/>
    <w:rsid w:val="00E111DA"/>
    <w:rsid w:val="00E113F0"/>
    <w:rsid w:val="00E1166D"/>
    <w:rsid w:val="00E12302"/>
    <w:rsid w:val="00E125E2"/>
    <w:rsid w:val="00E13EFD"/>
    <w:rsid w:val="00E15EE4"/>
    <w:rsid w:val="00E168E4"/>
    <w:rsid w:val="00E1773F"/>
    <w:rsid w:val="00E20A8B"/>
    <w:rsid w:val="00E22B2F"/>
    <w:rsid w:val="00E24CA0"/>
    <w:rsid w:val="00E24F82"/>
    <w:rsid w:val="00E25968"/>
    <w:rsid w:val="00E26D26"/>
    <w:rsid w:val="00E26DA5"/>
    <w:rsid w:val="00E27DF5"/>
    <w:rsid w:val="00E30FCA"/>
    <w:rsid w:val="00E314E6"/>
    <w:rsid w:val="00E328E1"/>
    <w:rsid w:val="00E33DFA"/>
    <w:rsid w:val="00E34E19"/>
    <w:rsid w:val="00E34E51"/>
    <w:rsid w:val="00E36397"/>
    <w:rsid w:val="00E36C4F"/>
    <w:rsid w:val="00E37733"/>
    <w:rsid w:val="00E40FFD"/>
    <w:rsid w:val="00E417DD"/>
    <w:rsid w:val="00E42099"/>
    <w:rsid w:val="00E432FB"/>
    <w:rsid w:val="00E452F0"/>
    <w:rsid w:val="00E47779"/>
    <w:rsid w:val="00E510E4"/>
    <w:rsid w:val="00E5137A"/>
    <w:rsid w:val="00E5596C"/>
    <w:rsid w:val="00E5672C"/>
    <w:rsid w:val="00E6140A"/>
    <w:rsid w:val="00E62601"/>
    <w:rsid w:val="00E62EBE"/>
    <w:rsid w:val="00E6513F"/>
    <w:rsid w:val="00E66AB6"/>
    <w:rsid w:val="00E71769"/>
    <w:rsid w:val="00E71A5B"/>
    <w:rsid w:val="00E73400"/>
    <w:rsid w:val="00E739F6"/>
    <w:rsid w:val="00E75D94"/>
    <w:rsid w:val="00E75DD4"/>
    <w:rsid w:val="00E82AD0"/>
    <w:rsid w:val="00E82C8F"/>
    <w:rsid w:val="00E84F8D"/>
    <w:rsid w:val="00E87686"/>
    <w:rsid w:val="00E90BFF"/>
    <w:rsid w:val="00E912B2"/>
    <w:rsid w:val="00E91DBE"/>
    <w:rsid w:val="00E9372D"/>
    <w:rsid w:val="00E95C5D"/>
    <w:rsid w:val="00E95E1A"/>
    <w:rsid w:val="00E96F09"/>
    <w:rsid w:val="00E97290"/>
    <w:rsid w:val="00E973A0"/>
    <w:rsid w:val="00EA0150"/>
    <w:rsid w:val="00EA10D7"/>
    <w:rsid w:val="00EA1AA8"/>
    <w:rsid w:val="00EA376B"/>
    <w:rsid w:val="00EA3771"/>
    <w:rsid w:val="00EA436B"/>
    <w:rsid w:val="00EA482E"/>
    <w:rsid w:val="00EA500B"/>
    <w:rsid w:val="00EA6D7D"/>
    <w:rsid w:val="00EB1F4E"/>
    <w:rsid w:val="00EB2074"/>
    <w:rsid w:val="00EB22D1"/>
    <w:rsid w:val="00EB2355"/>
    <w:rsid w:val="00EB37E6"/>
    <w:rsid w:val="00EB4EC6"/>
    <w:rsid w:val="00EB5D5B"/>
    <w:rsid w:val="00EB7D2C"/>
    <w:rsid w:val="00EB7F12"/>
    <w:rsid w:val="00EC0389"/>
    <w:rsid w:val="00EC0BE9"/>
    <w:rsid w:val="00EC4CC0"/>
    <w:rsid w:val="00EC5C90"/>
    <w:rsid w:val="00EC7C1B"/>
    <w:rsid w:val="00ED3620"/>
    <w:rsid w:val="00ED436E"/>
    <w:rsid w:val="00ED4C3F"/>
    <w:rsid w:val="00ED59BF"/>
    <w:rsid w:val="00ED5ADE"/>
    <w:rsid w:val="00ED7223"/>
    <w:rsid w:val="00ED7748"/>
    <w:rsid w:val="00EE2268"/>
    <w:rsid w:val="00EE3C23"/>
    <w:rsid w:val="00EE4378"/>
    <w:rsid w:val="00EE7311"/>
    <w:rsid w:val="00EE7B23"/>
    <w:rsid w:val="00EE7D9D"/>
    <w:rsid w:val="00EF0456"/>
    <w:rsid w:val="00EF0E37"/>
    <w:rsid w:val="00EF3D90"/>
    <w:rsid w:val="00EF496F"/>
    <w:rsid w:val="00EF543C"/>
    <w:rsid w:val="00EF5DE5"/>
    <w:rsid w:val="00EF668B"/>
    <w:rsid w:val="00EF6B39"/>
    <w:rsid w:val="00EF7C54"/>
    <w:rsid w:val="00F008B4"/>
    <w:rsid w:val="00F01EA6"/>
    <w:rsid w:val="00F01FA1"/>
    <w:rsid w:val="00F020B3"/>
    <w:rsid w:val="00F02A7A"/>
    <w:rsid w:val="00F0407F"/>
    <w:rsid w:val="00F043FB"/>
    <w:rsid w:val="00F06050"/>
    <w:rsid w:val="00F06B9E"/>
    <w:rsid w:val="00F07D45"/>
    <w:rsid w:val="00F100C3"/>
    <w:rsid w:val="00F14769"/>
    <w:rsid w:val="00F14CE6"/>
    <w:rsid w:val="00F15EB5"/>
    <w:rsid w:val="00F1665D"/>
    <w:rsid w:val="00F17DA2"/>
    <w:rsid w:val="00F17DB4"/>
    <w:rsid w:val="00F21889"/>
    <w:rsid w:val="00F2195F"/>
    <w:rsid w:val="00F25094"/>
    <w:rsid w:val="00F25B82"/>
    <w:rsid w:val="00F27ADF"/>
    <w:rsid w:val="00F27FC2"/>
    <w:rsid w:val="00F31655"/>
    <w:rsid w:val="00F3387B"/>
    <w:rsid w:val="00F338DA"/>
    <w:rsid w:val="00F3641B"/>
    <w:rsid w:val="00F36DA5"/>
    <w:rsid w:val="00F374A2"/>
    <w:rsid w:val="00F40094"/>
    <w:rsid w:val="00F4197F"/>
    <w:rsid w:val="00F42AA7"/>
    <w:rsid w:val="00F4383F"/>
    <w:rsid w:val="00F46556"/>
    <w:rsid w:val="00F476A6"/>
    <w:rsid w:val="00F53882"/>
    <w:rsid w:val="00F5463F"/>
    <w:rsid w:val="00F54736"/>
    <w:rsid w:val="00F56AD6"/>
    <w:rsid w:val="00F56FF3"/>
    <w:rsid w:val="00F57D8F"/>
    <w:rsid w:val="00F60A10"/>
    <w:rsid w:val="00F61BB5"/>
    <w:rsid w:val="00F63348"/>
    <w:rsid w:val="00F63C5C"/>
    <w:rsid w:val="00F64C34"/>
    <w:rsid w:val="00F66D4C"/>
    <w:rsid w:val="00F72C3E"/>
    <w:rsid w:val="00F80213"/>
    <w:rsid w:val="00F81615"/>
    <w:rsid w:val="00F81BA0"/>
    <w:rsid w:val="00F81CF8"/>
    <w:rsid w:val="00F81FCB"/>
    <w:rsid w:val="00F8338F"/>
    <w:rsid w:val="00F847E6"/>
    <w:rsid w:val="00F84EC1"/>
    <w:rsid w:val="00F85056"/>
    <w:rsid w:val="00F86AC3"/>
    <w:rsid w:val="00F87DB4"/>
    <w:rsid w:val="00F92457"/>
    <w:rsid w:val="00F957BC"/>
    <w:rsid w:val="00F95F99"/>
    <w:rsid w:val="00FA08A2"/>
    <w:rsid w:val="00FA403D"/>
    <w:rsid w:val="00FA421D"/>
    <w:rsid w:val="00FA4283"/>
    <w:rsid w:val="00FA5072"/>
    <w:rsid w:val="00FA78EA"/>
    <w:rsid w:val="00FB1BCC"/>
    <w:rsid w:val="00FB4896"/>
    <w:rsid w:val="00FB6120"/>
    <w:rsid w:val="00FB6819"/>
    <w:rsid w:val="00FB70B5"/>
    <w:rsid w:val="00FC17C0"/>
    <w:rsid w:val="00FC1AB9"/>
    <w:rsid w:val="00FC1D64"/>
    <w:rsid w:val="00FC5748"/>
    <w:rsid w:val="00FC5D87"/>
    <w:rsid w:val="00FC5EBD"/>
    <w:rsid w:val="00FD3CEE"/>
    <w:rsid w:val="00FD3CF2"/>
    <w:rsid w:val="00FD458C"/>
    <w:rsid w:val="00FD5553"/>
    <w:rsid w:val="00FD5715"/>
    <w:rsid w:val="00FD58A6"/>
    <w:rsid w:val="00FD5ED8"/>
    <w:rsid w:val="00FD601E"/>
    <w:rsid w:val="00FD7E5D"/>
    <w:rsid w:val="00FE23E1"/>
    <w:rsid w:val="00FE26AD"/>
    <w:rsid w:val="00FE274B"/>
    <w:rsid w:val="00FE2AD2"/>
    <w:rsid w:val="00FE3271"/>
    <w:rsid w:val="00FE4E46"/>
    <w:rsid w:val="00FE5179"/>
    <w:rsid w:val="00FE641D"/>
    <w:rsid w:val="00FF11DC"/>
    <w:rsid w:val="00FF2B48"/>
    <w:rsid w:val="00FF35E6"/>
    <w:rsid w:val="00FF43DC"/>
    <w:rsid w:val="00FF5B7F"/>
    <w:rsid w:val="00FF5DA3"/>
    <w:rsid w:val="00FF700D"/>
    <w:rsid w:val="00FF7788"/>
    <w:rsid w:val="00FF7A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fill="f" fillcolor="white" stroke="f">
      <v:fill color="white" on="f"/>
      <v:stroke on="f"/>
      <v:textbox inset="0,0,0,0"/>
    </o:shapedefaults>
    <o:shapelayout v:ext="edit">
      <o:idmap v:ext="edit" data="1"/>
    </o:shapelayout>
  </w:shapeDefaults>
  <w:decimalSymbol w:val="."/>
  <w:listSeparator w:val=","/>
  <w14:docId w14:val="351F1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index heading" w:uiPriority="0"/>
    <w:lsdException w:name="caption" w:uiPriority="35" w:qFormat="1"/>
    <w:lsdException w:name="page number" w:uiPriority="0"/>
    <w:lsdException w:name="List Bullet" w:qFormat="1"/>
    <w:lsdException w:name="List Number" w:qFormat="1"/>
    <w:lsdException w:name="List Bullet 2" w:uiPriority="2"/>
    <w:lsdException w:name="Title" w:semiHidden="0" w:uiPriority="29" w:unhideWhenUsed="0" w:qFormat="1"/>
    <w:lsdException w:name="Default Paragraph Font" w:uiPriority="1"/>
    <w:lsdException w:name="Body Text" w:uiPriority="0" w:qFormat="1"/>
    <w:lsdException w:name="Subtitle" w:uiPriority="29" w:unhideWhenUsed="0" w:qFormat="1"/>
    <w:lsdException w:name="Strong" w:semiHidden="0" w:uiPriority="22" w:unhideWhenUsed="0" w:qFormat="1"/>
    <w:lsdException w:name="Emphasis" w:semiHidden="0" w:uiPriority="20" w:unhideWhenUsed="0" w:qFormat="1"/>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BB8"/>
    <w:pPr>
      <w:spacing w:after="240" w:line="240" w:lineRule="auto"/>
    </w:pPr>
    <w:rPr>
      <w:rFonts w:ascii="Arial" w:hAnsi="Arial"/>
      <w:color w:val="394A58" w:themeColor="text2"/>
      <w:sz w:val="20"/>
    </w:rPr>
  </w:style>
  <w:style w:type="paragraph" w:styleId="Heading1">
    <w:name w:val="heading 1"/>
    <w:aliases w:val="Heading 1 Char Char,ERA Section Heading,Section Header,h1,1,1 Char,Heading 1 Char2,ERA Section Heading Char,Section Header Char,h1 Char2,Heading 1 Char1 Char,ERA Section Heading Char Char Char,Section Header Char Char Char,Chapter Heading"/>
    <w:basedOn w:val="Normal"/>
    <w:next w:val="Heading2"/>
    <w:link w:val="Heading1Char"/>
    <w:qFormat/>
    <w:rsid w:val="00894CD3"/>
    <w:pPr>
      <w:keepNext/>
      <w:keepLines/>
      <w:numPr>
        <w:numId w:val="10"/>
      </w:numPr>
      <w:spacing w:after="360"/>
      <w:outlineLvl w:val="0"/>
    </w:pPr>
    <w:rPr>
      <w:rFonts w:eastAsia="Times New Roman" w:cs="Times New Roman"/>
      <w:b/>
      <w:bCs/>
      <w:color w:val="394A58" w:themeColor="accent2"/>
      <w:sz w:val="48"/>
      <w:szCs w:val="28"/>
    </w:rPr>
  </w:style>
  <w:style w:type="paragraph" w:styleId="Heading2">
    <w:name w:val="heading 2"/>
    <w:aliases w:val="Heading 2 Char Char Char,Heading 2 Char Char Char Char Char,Heading 2 Char Char,Heading 2 Char Char Char Char Char Char Char Char Char Char,Heading 2 Char Char Char Char Char Char Char Char Char Char Char Char Char Char, Char Char Char, Char"/>
    <w:basedOn w:val="Normal"/>
    <w:link w:val="Heading2Char"/>
    <w:uiPriority w:val="99"/>
    <w:unhideWhenUsed/>
    <w:qFormat/>
    <w:rsid w:val="0011708A"/>
    <w:pPr>
      <w:keepNext/>
      <w:keepLines/>
      <w:numPr>
        <w:ilvl w:val="1"/>
        <w:numId w:val="10"/>
      </w:numPr>
      <w:spacing w:before="360" w:after="40"/>
      <w:outlineLvl w:val="1"/>
    </w:pPr>
    <w:rPr>
      <w:rFonts w:eastAsia="Times New Roman" w:cs="Times New Roman"/>
      <w:b/>
      <w:bCs/>
      <w:color w:val="156570" w:themeColor="background2"/>
      <w:sz w:val="30"/>
      <w:szCs w:val="26"/>
    </w:rPr>
  </w:style>
  <w:style w:type="paragraph" w:styleId="Heading3">
    <w:name w:val="heading 3"/>
    <w:aliases w:val="Heading 3 Char Char Char Char,Heading 3 Char Char Char Char Char,Heading 3 Char Char Char"/>
    <w:basedOn w:val="Normal"/>
    <w:link w:val="Heading3Char"/>
    <w:uiPriority w:val="99"/>
    <w:unhideWhenUsed/>
    <w:qFormat/>
    <w:rsid w:val="0011708A"/>
    <w:pPr>
      <w:keepNext/>
      <w:keepLines/>
      <w:numPr>
        <w:ilvl w:val="2"/>
        <w:numId w:val="10"/>
      </w:numPr>
      <w:spacing w:before="240" w:after="40"/>
      <w:outlineLvl w:val="2"/>
    </w:pPr>
    <w:rPr>
      <w:rFonts w:eastAsia="Times New Roman" w:cs="Times New Roman"/>
      <w:b/>
      <w:bCs/>
      <w:color w:val="156570" w:themeColor="background2"/>
      <w:sz w:val="26"/>
    </w:rPr>
  </w:style>
  <w:style w:type="paragraph" w:styleId="Heading4">
    <w:name w:val="heading 4"/>
    <w:basedOn w:val="Normal"/>
    <w:link w:val="Heading4Char"/>
    <w:uiPriority w:val="99"/>
    <w:unhideWhenUsed/>
    <w:qFormat/>
    <w:rsid w:val="0011708A"/>
    <w:pPr>
      <w:keepNext/>
      <w:keepLines/>
      <w:numPr>
        <w:ilvl w:val="3"/>
        <w:numId w:val="10"/>
      </w:numPr>
      <w:spacing w:before="240" w:after="40"/>
      <w:outlineLvl w:val="3"/>
    </w:pPr>
    <w:rPr>
      <w:rFonts w:eastAsia="Times New Roman" w:cs="Times New Roman"/>
      <w:b/>
      <w:bCs/>
      <w:iCs/>
      <w:color w:val="156570" w:themeColor="background2"/>
      <w:sz w:val="22"/>
    </w:rPr>
  </w:style>
  <w:style w:type="paragraph" w:styleId="Heading5">
    <w:name w:val="heading 5"/>
    <w:aliases w:val="Paragraph Text,Lower Case,Bold &amp; Italic,paragraph Char,Lower Case Char,Bold &amp; Italic Char,paragraph,Heading 5 Char1,Lower Case Char1,Bold &amp; Italic Char1,paragraph Char Char Char,Heading 5 Char Char Char Char,Heading 51 Char Cha"/>
    <w:basedOn w:val="Normal"/>
    <w:link w:val="Heading5Char"/>
    <w:uiPriority w:val="99"/>
    <w:unhideWhenUsed/>
    <w:qFormat/>
    <w:rsid w:val="0011708A"/>
    <w:pPr>
      <w:keepNext/>
      <w:keepLines/>
      <w:numPr>
        <w:ilvl w:val="4"/>
        <w:numId w:val="10"/>
      </w:numPr>
      <w:spacing w:before="240" w:after="40"/>
      <w:outlineLvl w:val="4"/>
    </w:pPr>
    <w:rPr>
      <w:rFonts w:eastAsia="Times New Roman" w:cs="Times New Roman"/>
      <w:b/>
      <w:color w:val="156570" w:themeColor="background2"/>
      <w:sz w:val="22"/>
    </w:rPr>
  </w:style>
  <w:style w:type="paragraph" w:styleId="Heading6">
    <w:name w:val="heading 6"/>
    <w:aliases w:val="level 1 bullet 1,level 1 bullet Char,level 1 bullet Char Char Char,level 1 bullet,level 1 bullet 1 Char Char Char,level 1 bullet 1 Char Char Char Char Char Char Char,level 1 bullet 1 Char Char Char Char Char Char Char Cha,Heading 61"/>
    <w:basedOn w:val="Normal"/>
    <w:next w:val="Heading7"/>
    <w:link w:val="Heading6Char"/>
    <w:uiPriority w:val="99"/>
    <w:unhideWhenUsed/>
    <w:qFormat/>
    <w:rsid w:val="00CE7965"/>
    <w:pPr>
      <w:keepNext/>
      <w:keepLines/>
      <w:pageBreakBefore/>
      <w:numPr>
        <w:ilvl w:val="5"/>
        <w:numId w:val="10"/>
      </w:numPr>
      <w:tabs>
        <w:tab w:val="left" w:pos="2948"/>
      </w:tabs>
      <w:spacing w:after="360"/>
      <w:outlineLvl w:val="5"/>
    </w:pPr>
    <w:rPr>
      <w:rFonts w:eastAsia="Times New Roman" w:cs="Times New Roman"/>
      <w:b/>
      <w:iCs/>
      <w:color w:val="394A58" w:themeColor="accent2"/>
      <w:sz w:val="48"/>
    </w:rPr>
  </w:style>
  <w:style w:type="paragraph" w:styleId="Heading7">
    <w:name w:val="heading 7"/>
    <w:basedOn w:val="Normal"/>
    <w:link w:val="Heading7Char"/>
    <w:uiPriority w:val="99"/>
    <w:unhideWhenUsed/>
    <w:qFormat/>
    <w:rsid w:val="0011708A"/>
    <w:pPr>
      <w:keepNext/>
      <w:keepLines/>
      <w:numPr>
        <w:ilvl w:val="6"/>
        <w:numId w:val="10"/>
      </w:numPr>
      <w:spacing w:before="360" w:after="40"/>
      <w:outlineLvl w:val="6"/>
    </w:pPr>
    <w:rPr>
      <w:rFonts w:eastAsia="Times New Roman" w:cs="Times New Roman"/>
      <w:b/>
      <w:iCs/>
      <w:color w:val="156570" w:themeColor="background2"/>
      <w:sz w:val="30"/>
    </w:rPr>
  </w:style>
  <w:style w:type="paragraph" w:styleId="Heading8">
    <w:name w:val="heading 8"/>
    <w:aliases w:val="Bullet 3"/>
    <w:basedOn w:val="Normal"/>
    <w:link w:val="Heading8Char"/>
    <w:uiPriority w:val="99"/>
    <w:unhideWhenUsed/>
    <w:qFormat/>
    <w:rsid w:val="0011708A"/>
    <w:pPr>
      <w:keepNext/>
      <w:keepLines/>
      <w:numPr>
        <w:ilvl w:val="7"/>
        <w:numId w:val="10"/>
      </w:numPr>
      <w:spacing w:before="240" w:after="40"/>
      <w:outlineLvl w:val="7"/>
    </w:pPr>
    <w:rPr>
      <w:rFonts w:eastAsia="Times New Roman" w:cs="Times New Roman"/>
      <w:b/>
      <w:color w:val="156570" w:themeColor="background2"/>
      <w:sz w:val="26"/>
      <w:szCs w:val="20"/>
    </w:rPr>
  </w:style>
  <w:style w:type="paragraph" w:styleId="Heading9">
    <w:name w:val="heading 9"/>
    <w:basedOn w:val="Normal"/>
    <w:link w:val="Heading9Char"/>
    <w:uiPriority w:val="99"/>
    <w:unhideWhenUsed/>
    <w:qFormat/>
    <w:rsid w:val="0011708A"/>
    <w:pPr>
      <w:keepNext/>
      <w:keepLines/>
      <w:numPr>
        <w:ilvl w:val="8"/>
        <w:numId w:val="10"/>
      </w:numPr>
      <w:spacing w:before="240" w:after="40"/>
      <w:outlineLvl w:val="8"/>
    </w:pPr>
    <w:rPr>
      <w:rFonts w:eastAsia="Times New Roman" w:cs="Times New Roman"/>
      <w:b/>
      <w:iCs/>
      <w:color w:val="156570" w:themeColor="background2"/>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1,ERA Section Heading Char2,Section Header Char2,h1 Char1,1 Char2,1 Char Char1,Heading 1 Char2 Char1,ERA Section Heading Char Char1,Section Header Char Char1,h1 Char2 Char1,Heading 1 Char1 Char Char1"/>
    <w:basedOn w:val="DefaultParagraphFont"/>
    <w:link w:val="Heading1"/>
    <w:rsid w:val="00894CD3"/>
    <w:rPr>
      <w:rFonts w:ascii="Arial" w:eastAsia="Times New Roman" w:hAnsi="Arial" w:cs="Times New Roman"/>
      <w:b/>
      <w:bCs/>
      <w:color w:val="394A58" w:themeColor="accent2"/>
      <w:sz w:val="48"/>
      <w:szCs w:val="28"/>
    </w:rPr>
  </w:style>
  <w:style w:type="character" w:customStyle="1" w:styleId="Heading2Char">
    <w:name w:val="Heading 2 Char"/>
    <w:aliases w:val="Heading 2 Char Char Char Char,Heading 2 Char Char Char Char Char Char,Heading 2 Char Char Char1,Heading 2 Char Char Char Char Char Char Char Char Char Char Char, Char Char Char Char, Char Char"/>
    <w:basedOn w:val="DefaultParagraphFont"/>
    <w:link w:val="Heading2"/>
    <w:uiPriority w:val="99"/>
    <w:rsid w:val="00215393"/>
    <w:rPr>
      <w:rFonts w:ascii="Arial" w:eastAsia="Times New Roman" w:hAnsi="Arial" w:cs="Times New Roman"/>
      <w:b/>
      <w:bCs/>
      <w:color w:val="156570" w:themeColor="background2"/>
      <w:sz w:val="30"/>
      <w:szCs w:val="26"/>
    </w:rPr>
  </w:style>
  <w:style w:type="character" w:customStyle="1" w:styleId="Heading3Char">
    <w:name w:val="Heading 3 Char"/>
    <w:aliases w:val="Heading 3 Char Char Char Char Char1,Heading 3 Char Char Char Char Char Char,Heading 3 Char Char Char Char1"/>
    <w:basedOn w:val="DefaultParagraphFont"/>
    <w:link w:val="Heading3"/>
    <w:uiPriority w:val="99"/>
    <w:rsid w:val="00215393"/>
    <w:rPr>
      <w:rFonts w:ascii="Arial" w:eastAsia="Times New Roman" w:hAnsi="Arial" w:cs="Times New Roman"/>
      <w:b/>
      <w:bCs/>
      <w:color w:val="156570" w:themeColor="background2"/>
      <w:sz w:val="26"/>
    </w:rPr>
  </w:style>
  <w:style w:type="character" w:customStyle="1" w:styleId="Heading4Char">
    <w:name w:val="Heading 4 Char"/>
    <w:basedOn w:val="DefaultParagraphFont"/>
    <w:link w:val="Heading4"/>
    <w:uiPriority w:val="99"/>
    <w:rsid w:val="00215393"/>
    <w:rPr>
      <w:rFonts w:ascii="Arial" w:eastAsia="Times New Roman" w:hAnsi="Arial" w:cs="Times New Roman"/>
      <w:b/>
      <w:bCs/>
      <w:iCs/>
      <w:color w:val="156570" w:themeColor="background2"/>
    </w:rPr>
  </w:style>
  <w:style w:type="character" w:customStyle="1" w:styleId="Heading5Char">
    <w:name w:val="Heading 5 Char"/>
    <w:aliases w:val="Paragraph Text Char,Lower Case Char2,Bold &amp; Italic Char2,paragraph Char Char,Lower Case Char Char,Bold &amp; Italic Char Char,paragraph Char1,Heading 5 Char1 Char,Lower Case Char1 Char,Bold &amp; Italic Char1 Char,paragraph Char Char Char Char"/>
    <w:basedOn w:val="DefaultParagraphFont"/>
    <w:link w:val="Heading5"/>
    <w:uiPriority w:val="1"/>
    <w:rsid w:val="00215393"/>
    <w:rPr>
      <w:rFonts w:ascii="Arial" w:eastAsia="Times New Roman" w:hAnsi="Arial" w:cs="Times New Roman"/>
      <w:b/>
      <w:color w:val="156570" w:themeColor="background2"/>
    </w:rPr>
  </w:style>
  <w:style w:type="paragraph" w:customStyle="1" w:styleId="DocTitle">
    <w:name w:val="DocTitle"/>
    <w:basedOn w:val="Normal"/>
    <w:uiPriority w:val="29"/>
    <w:semiHidden/>
    <w:qFormat/>
    <w:rsid w:val="00E13EFD"/>
    <w:pPr>
      <w:spacing w:after="0"/>
      <w:ind w:right="1701"/>
    </w:pPr>
    <w:rPr>
      <w:b/>
      <w:sz w:val="48"/>
    </w:rPr>
  </w:style>
  <w:style w:type="paragraph" w:customStyle="1" w:styleId="DocSubTitle">
    <w:name w:val="DocSubTitle"/>
    <w:basedOn w:val="DocTitle"/>
    <w:uiPriority w:val="29"/>
    <w:semiHidden/>
    <w:qFormat/>
    <w:rsid w:val="00980218"/>
    <w:rPr>
      <w:b w:val="0"/>
    </w:rPr>
  </w:style>
  <w:style w:type="paragraph" w:customStyle="1" w:styleId="DocType">
    <w:name w:val="DocType"/>
    <w:basedOn w:val="DocTitle"/>
    <w:uiPriority w:val="29"/>
    <w:semiHidden/>
    <w:qFormat/>
    <w:rsid w:val="00CC7A08"/>
    <w:rPr>
      <w:sz w:val="22"/>
    </w:rPr>
  </w:style>
  <w:style w:type="paragraph" w:customStyle="1" w:styleId="DocDate">
    <w:name w:val="DocDate"/>
    <w:basedOn w:val="DocType"/>
    <w:uiPriority w:val="29"/>
    <w:semiHidden/>
    <w:qFormat/>
    <w:rsid w:val="00980218"/>
    <w:pPr>
      <w:spacing w:before="360"/>
    </w:pPr>
  </w:style>
  <w:style w:type="paragraph" w:styleId="Header">
    <w:name w:val="header"/>
    <w:basedOn w:val="Normal"/>
    <w:link w:val="HeaderChar"/>
    <w:uiPriority w:val="99"/>
    <w:rsid w:val="00815EA9"/>
    <w:pPr>
      <w:tabs>
        <w:tab w:val="center" w:pos="4513"/>
        <w:tab w:val="right" w:pos="9026"/>
      </w:tabs>
      <w:spacing w:after="0"/>
    </w:pPr>
  </w:style>
  <w:style w:type="character" w:customStyle="1" w:styleId="HeaderChar">
    <w:name w:val="Header Char"/>
    <w:basedOn w:val="DefaultParagraphFont"/>
    <w:link w:val="Header"/>
    <w:uiPriority w:val="99"/>
    <w:rsid w:val="00215393"/>
    <w:rPr>
      <w:rFonts w:ascii="Arial" w:hAnsi="Arial"/>
      <w:color w:val="394A58" w:themeColor="text2"/>
      <w:sz w:val="20"/>
    </w:rPr>
  </w:style>
  <w:style w:type="paragraph" w:styleId="Footer">
    <w:name w:val="footer"/>
    <w:basedOn w:val="Normal"/>
    <w:link w:val="FooterChar"/>
    <w:uiPriority w:val="99"/>
    <w:rsid w:val="004C787C"/>
    <w:pPr>
      <w:tabs>
        <w:tab w:val="center" w:pos="4513"/>
        <w:tab w:val="right" w:pos="9026"/>
      </w:tabs>
      <w:spacing w:after="0"/>
    </w:pPr>
    <w:rPr>
      <w:sz w:val="18"/>
    </w:rPr>
  </w:style>
  <w:style w:type="character" w:customStyle="1" w:styleId="FooterChar">
    <w:name w:val="Footer Char"/>
    <w:basedOn w:val="DefaultParagraphFont"/>
    <w:link w:val="Footer"/>
    <w:uiPriority w:val="99"/>
    <w:rsid w:val="00215393"/>
    <w:rPr>
      <w:rFonts w:ascii="Arial" w:hAnsi="Arial"/>
      <w:color w:val="394A58" w:themeColor="text2"/>
      <w:sz w:val="18"/>
    </w:rPr>
  </w:style>
  <w:style w:type="paragraph" w:customStyle="1" w:styleId="Heading1NoNumb">
    <w:name w:val="Heading 1NoNumb"/>
    <w:basedOn w:val="Heading1"/>
    <w:next w:val="Normal"/>
    <w:uiPriority w:val="23"/>
    <w:qFormat/>
    <w:rsid w:val="00781041"/>
    <w:pPr>
      <w:numPr>
        <w:numId w:val="0"/>
      </w:numPr>
    </w:pPr>
  </w:style>
  <w:style w:type="paragraph" w:customStyle="1" w:styleId="Heading2NoNumb">
    <w:name w:val="Heading 2NoNumb"/>
    <w:basedOn w:val="Heading2"/>
    <w:next w:val="Normal"/>
    <w:uiPriority w:val="23"/>
    <w:qFormat/>
    <w:rsid w:val="00781041"/>
    <w:pPr>
      <w:numPr>
        <w:ilvl w:val="0"/>
        <w:numId w:val="0"/>
      </w:numPr>
    </w:pPr>
  </w:style>
  <w:style w:type="paragraph" w:customStyle="1" w:styleId="Heading3NoNumb">
    <w:name w:val="Heading 3NoNumb"/>
    <w:basedOn w:val="Heading3"/>
    <w:next w:val="Normal"/>
    <w:uiPriority w:val="23"/>
    <w:qFormat/>
    <w:rsid w:val="00781041"/>
    <w:pPr>
      <w:numPr>
        <w:ilvl w:val="0"/>
        <w:numId w:val="0"/>
      </w:numPr>
    </w:pPr>
  </w:style>
  <w:style w:type="paragraph" w:customStyle="1" w:styleId="Heading4NoNumb">
    <w:name w:val="Heading 4NoNumb"/>
    <w:basedOn w:val="Heading4"/>
    <w:next w:val="Normal"/>
    <w:uiPriority w:val="23"/>
    <w:qFormat/>
    <w:rsid w:val="00781041"/>
    <w:pPr>
      <w:numPr>
        <w:ilvl w:val="0"/>
        <w:numId w:val="0"/>
      </w:numPr>
    </w:pPr>
  </w:style>
  <w:style w:type="paragraph" w:customStyle="1" w:styleId="Heading5NoNumb">
    <w:name w:val="Heading 5NoNumb"/>
    <w:basedOn w:val="Heading5"/>
    <w:next w:val="Normal"/>
    <w:uiPriority w:val="23"/>
    <w:qFormat/>
    <w:rsid w:val="00781041"/>
    <w:pPr>
      <w:numPr>
        <w:ilvl w:val="0"/>
        <w:numId w:val="0"/>
      </w:numPr>
    </w:pPr>
  </w:style>
  <w:style w:type="paragraph" w:customStyle="1" w:styleId="Heading1NoTOC">
    <w:name w:val="Heading 1NoTOC"/>
    <w:basedOn w:val="Heading1"/>
    <w:next w:val="Normal"/>
    <w:uiPriority w:val="24"/>
    <w:qFormat/>
    <w:rsid w:val="00017172"/>
    <w:pPr>
      <w:numPr>
        <w:numId w:val="0"/>
      </w:numPr>
    </w:pPr>
  </w:style>
  <w:style w:type="paragraph" w:styleId="NoSpacing">
    <w:name w:val="No Spacing"/>
    <w:link w:val="NoSpacingChar"/>
    <w:uiPriority w:val="1"/>
    <w:qFormat/>
    <w:rsid w:val="00E1773F"/>
    <w:pPr>
      <w:spacing w:after="0" w:line="240" w:lineRule="auto"/>
      <w:contextualSpacing/>
    </w:pPr>
    <w:rPr>
      <w:rFonts w:eastAsia="Batang" w:cs="Arial"/>
      <w:color w:val="394A58"/>
      <w:sz w:val="20"/>
      <w:szCs w:val="20"/>
      <w:lang w:eastAsia="ko-KR"/>
    </w:rPr>
  </w:style>
  <w:style w:type="paragraph" w:styleId="BodyText">
    <w:name w:val="Body Text"/>
    <w:link w:val="BodyTextChar"/>
    <w:qFormat/>
    <w:rsid w:val="00E1773F"/>
    <w:pPr>
      <w:spacing w:after="240" w:line="240" w:lineRule="auto"/>
    </w:pPr>
    <w:rPr>
      <w:rFonts w:ascii="Arial" w:eastAsia="Batang" w:hAnsi="Arial" w:cs="Arial"/>
      <w:color w:val="394A58"/>
      <w:sz w:val="20"/>
      <w:szCs w:val="20"/>
      <w:lang w:eastAsia="ko-KR"/>
    </w:rPr>
  </w:style>
  <w:style w:type="character" w:customStyle="1" w:styleId="BodyTextChar">
    <w:name w:val="Body Text Char"/>
    <w:basedOn w:val="DefaultParagraphFont"/>
    <w:link w:val="BodyText"/>
    <w:rsid w:val="00215393"/>
    <w:rPr>
      <w:rFonts w:ascii="Arial" w:eastAsia="Batang" w:hAnsi="Arial" w:cs="Arial"/>
      <w:color w:val="394A58"/>
      <w:sz w:val="20"/>
      <w:szCs w:val="20"/>
      <w:lang w:eastAsia="ko-KR"/>
    </w:rPr>
  </w:style>
  <w:style w:type="character" w:customStyle="1" w:styleId="NoSpacingChar">
    <w:name w:val="No Spacing Char"/>
    <w:basedOn w:val="DefaultParagraphFont"/>
    <w:link w:val="NoSpacing"/>
    <w:uiPriority w:val="1"/>
    <w:rsid w:val="00215393"/>
    <w:rPr>
      <w:rFonts w:eastAsia="Batang" w:cs="Arial"/>
      <w:color w:val="394A58"/>
      <w:sz w:val="20"/>
      <w:szCs w:val="20"/>
      <w:lang w:eastAsia="ko-KR"/>
    </w:rPr>
  </w:style>
  <w:style w:type="table" w:customStyle="1" w:styleId="Atkins14pt">
    <w:name w:val="Atkins_1/4pt"/>
    <w:basedOn w:val="TableNormal"/>
    <w:uiPriority w:val="99"/>
    <w:qFormat/>
    <w:rsid w:val="00A157BE"/>
    <w:pPr>
      <w:spacing w:after="0" w:line="240" w:lineRule="auto"/>
    </w:pPr>
    <w:rPr>
      <w:rFonts w:ascii="Arial" w:eastAsia="Batang" w:hAnsi="Arial" w:cs="Arial"/>
      <w:sz w:val="20"/>
      <w:szCs w:val="20"/>
      <w:lang w:eastAsia="en-GB"/>
    </w:rPr>
    <w:tblPr>
      <w:tblInd w:w="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0" w:type="dxa"/>
        <w:left w:w="57" w:type="dxa"/>
        <w:bottom w:w="0" w:type="dxa"/>
        <w:right w:w="0" w:type="dxa"/>
      </w:tblCellMar>
    </w:tblPr>
    <w:tblStylePr w:type="firstRow">
      <w:pPr>
        <w:wordWrap/>
        <w:jc w:val="left"/>
      </w:pPr>
      <w:rPr>
        <w:rFonts w:ascii="Arial" w:hAnsi="Arial"/>
        <w:b/>
      </w:rPr>
      <w:tblPr/>
      <w:tcPr>
        <w:tcBorders>
          <w:bottom w:val="single" w:sz="4" w:space="0" w:color="auto"/>
        </w:tcBorders>
        <w:shd w:val="clear" w:color="auto" w:fill="F0EEEB"/>
      </w:tcPr>
    </w:tblStylePr>
    <w:tblStylePr w:type="lastRow">
      <w:tblPr/>
      <w:tcPr>
        <w:tcBorders>
          <w:bottom w:val="single" w:sz="4" w:space="0" w:color="auto"/>
        </w:tcBorders>
      </w:tcPr>
    </w:tblStylePr>
    <w:tblStylePr w:type="firstCol">
      <w:pPr>
        <w:jc w:val="left"/>
      </w:pPr>
    </w:tblStylePr>
    <w:tblStylePr w:type="nwCell">
      <w:pPr>
        <w:jc w:val="left"/>
      </w:pPr>
    </w:tblStylePr>
  </w:style>
  <w:style w:type="paragraph" w:customStyle="1" w:styleId="IntroHeading">
    <w:name w:val="IntroHeading"/>
    <w:basedOn w:val="Normal"/>
    <w:next w:val="Normal"/>
    <w:uiPriority w:val="29"/>
    <w:semiHidden/>
    <w:qFormat/>
    <w:rsid w:val="0090784B"/>
    <w:pPr>
      <w:spacing w:before="1080" w:after="120"/>
      <w:ind w:right="1418"/>
    </w:pPr>
    <w:rPr>
      <w:b/>
      <w:color w:val="FFFFFF" w:themeColor="background1"/>
      <w:sz w:val="48"/>
    </w:rPr>
  </w:style>
  <w:style w:type="paragraph" w:customStyle="1" w:styleId="IntroText">
    <w:name w:val="IntroText"/>
    <w:basedOn w:val="IntroHeading"/>
    <w:uiPriority w:val="29"/>
    <w:semiHidden/>
    <w:qFormat/>
    <w:rsid w:val="00FD458C"/>
    <w:pPr>
      <w:spacing w:before="0"/>
    </w:pPr>
    <w:rPr>
      <w:b w:val="0"/>
    </w:rPr>
  </w:style>
  <w:style w:type="paragraph" w:customStyle="1" w:styleId="QuoteLarge">
    <w:name w:val="Quote Large"/>
    <w:basedOn w:val="Normal"/>
    <w:next w:val="Normal"/>
    <w:uiPriority w:val="29"/>
    <w:qFormat/>
    <w:rsid w:val="00FD458C"/>
    <w:pPr>
      <w:spacing w:before="240" w:after="480"/>
    </w:pPr>
    <w:rPr>
      <w:sz w:val="48"/>
    </w:rPr>
  </w:style>
  <w:style w:type="character" w:customStyle="1" w:styleId="Heading6Char">
    <w:name w:val="Heading 6 Char"/>
    <w:aliases w:val="level 1 bullet 1 Char,level 1 bullet Char Char,level 1 bullet Char Char Char Char,level 1 bullet Char1,level 1 bullet 1 Char Char Char Char,level 1 bullet 1 Char Char Char Char Char Char Char Char,Heading 61 Char"/>
    <w:basedOn w:val="DefaultParagraphFont"/>
    <w:link w:val="Heading6"/>
    <w:uiPriority w:val="19"/>
    <w:rsid w:val="00E07757"/>
    <w:rPr>
      <w:rFonts w:ascii="Arial" w:eastAsia="Times New Roman" w:hAnsi="Arial" w:cs="Times New Roman"/>
      <w:b/>
      <w:iCs/>
      <w:color w:val="394A58" w:themeColor="accent2"/>
      <w:sz w:val="48"/>
    </w:rPr>
  </w:style>
  <w:style w:type="character" w:customStyle="1" w:styleId="Heading7Char">
    <w:name w:val="Heading 7 Char"/>
    <w:basedOn w:val="DefaultParagraphFont"/>
    <w:link w:val="Heading7"/>
    <w:uiPriority w:val="19"/>
    <w:rsid w:val="00E07757"/>
    <w:rPr>
      <w:rFonts w:ascii="Arial" w:eastAsia="Times New Roman" w:hAnsi="Arial" w:cs="Times New Roman"/>
      <w:b/>
      <w:iCs/>
      <w:color w:val="156570" w:themeColor="background2"/>
      <w:sz w:val="30"/>
    </w:rPr>
  </w:style>
  <w:style w:type="character" w:customStyle="1" w:styleId="Heading8Char">
    <w:name w:val="Heading 8 Char"/>
    <w:aliases w:val="Bullet 3 Char"/>
    <w:basedOn w:val="DefaultParagraphFont"/>
    <w:link w:val="Heading8"/>
    <w:uiPriority w:val="19"/>
    <w:rsid w:val="00E07757"/>
    <w:rPr>
      <w:rFonts w:ascii="Arial" w:eastAsia="Times New Roman" w:hAnsi="Arial" w:cs="Times New Roman"/>
      <w:b/>
      <w:color w:val="156570" w:themeColor="background2"/>
      <w:sz w:val="26"/>
      <w:szCs w:val="20"/>
    </w:rPr>
  </w:style>
  <w:style w:type="character" w:customStyle="1" w:styleId="Heading9Char">
    <w:name w:val="Heading 9 Char"/>
    <w:basedOn w:val="DefaultParagraphFont"/>
    <w:link w:val="Heading9"/>
    <w:uiPriority w:val="19"/>
    <w:rsid w:val="00E07757"/>
    <w:rPr>
      <w:rFonts w:ascii="Arial" w:eastAsia="Times New Roman" w:hAnsi="Arial" w:cs="Times New Roman"/>
      <w:b/>
      <w:iCs/>
      <w:color w:val="156570" w:themeColor="background2"/>
      <w:szCs w:val="20"/>
    </w:rPr>
  </w:style>
  <w:style w:type="paragraph" w:styleId="TOC2">
    <w:name w:val="toc 2"/>
    <w:basedOn w:val="Normal"/>
    <w:next w:val="Normal"/>
    <w:autoRedefine/>
    <w:uiPriority w:val="39"/>
    <w:rsid w:val="00E75D94"/>
    <w:pPr>
      <w:tabs>
        <w:tab w:val="right" w:pos="9639"/>
      </w:tabs>
      <w:spacing w:before="120" w:after="0"/>
    </w:pPr>
    <w:rPr>
      <w:b/>
      <w:color w:val="394A58" w:themeColor="accent2"/>
    </w:rPr>
  </w:style>
  <w:style w:type="paragraph" w:styleId="TOC3">
    <w:name w:val="toc 3"/>
    <w:basedOn w:val="Normal"/>
    <w:next w:val="Normal"/>
    <w:autoRedefine/>
    <w:uiPriority w:val="39"/>
    <w:rsid w:val="00B955C7"/>
    <w:pPr>
      <w:tabs>
        <w:tab w:val="left" w:pos="680"/>
        <w:tab w:val="right" w:pos="9639"/>
      </w:tabs>
      <w:spacing w:after="40"/>
      <w:ind w:right="284"/>
    </w:pPr>
  </w:style>
  <w:style w:type="character" w:styleId="Hyperlink">
    <w:name w:val="Hyperlink"/>
    <w:basedOn w:val="DefaultParagraphFont"/>
    <w:uiPriority w:val="99"/>
    <w:rsid w:val="004C1403"/>
    <w:rPr>
      <w:color w:val="394A58" w:themeColor="text2"/>
      <w:u w:val="single"/>
    </w:rPr>
  </w:style>
  <w:style w:type="paragraph" w:styleId="TOC1">
    <w:name w:val="toc 1"/>
    <w:basedOn w:val="Normal"/>
    <w:next w:val="Normal"/>
    <w:autoRedefine/>
    <w:uiPriority w:val="39"/>
    <w:rsid w:val="00050B9A"/>
    <w:pPr>
      <w:tabs>
        <w:tab w:val="left" w:pos="680"/>
        <w:tab w:val="left" w:pos="1540"/>
        <w:tab w:val="right" w:pos="9639"/>
      </w:tabs>
      <w:spacing w:before="120" w:after="0"/>
      <w:ind w:right="284"/>
    </w:pPr>
    <w:rPr>
      <w:b/>
      <w:color w:val="394A58" w:themeColor="accent2"/>
    </w:rPr>
  </w:style>
  <w:style w:type="paragraph" w:styleId="TOC4">
    <w:name w:val="toc 4"/>
    <w:basedOn w:val="Normal"/>
    <w:next w:val="Normal"/>
    <w:autoRedefine/>
    <w:uiPriority w:val="39"/>
    <w:rsid w:val="00B7202B"/>
    <w:pPr>
      <w:tabs>
        <w:tab w:val="right" w:pos="9639"/>
      </w:tabs>
      <w:spacing w:after="40"/>
      <w:ind w:right="284"/>
    </w:pPr>
  </w:style>
  <w:style w:type="paragraph" w:customStyle="1" w:styleId="TableText">
    <w:name w:val="TableText"/>
    <w:basedOn w:val="BodyText"/>
    <w:uiPriority w:val="16"/>
    <w:qFormat/>
    <w:rsid w:val="00C02E1D"/>
    <w:pPr>
      <w:spacing w:before="40" w:after="40"/>
    </w:pPr>
    <w:rPr>
      <w:color w:val="394A58" w:themeColor="text2"/>
    </w:rPr>
  </w:style>
  <w:style w:type="paragraph" w:customStyle="1" w:styleId="TableHeading">
    <w:name w:val="TableHeading"/>
    <w:basedOn w:val="TableText"/>
    <w:uiPriority w:val="16"/>
    <w:qFormat/>
    <w:rsid w:val="00131877"/>
    <w:pPr>
      <w:spacing w:before="60" w:after="60"/>
    </w:pPr>
    <w:rPr>
      <w:b/>
    </w:rPr>
  </w:style>
  <w:style w:type="table" w:styleId="TableGrid">
    <w:name w:val="Table Grid"/>
    <w:basedOn w:val="TableNormal"/>
    <w:uiPriority w:val="59"/>
    <w:rsid w:val="00544B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Title">
    <w:name w:val="TableTitle"/>
    <w:basedOn w:val="Normal"/>
    <w:uiPriority w:val="15"/>
    <w:qFormat/>
    <w:rsid w:val="000F17C6"/>
    <w:pPr>
      <w:numPr>
        <w:numId w:val="6"/>
      </w:numPr>
      <w:spacing w:before="240" w:after="120"/>
      <w:ind w:left="1021" w:hanging="1021"/>
    </w:pPr>
    <w:rPr>
      <w:b/>
    </w:rPr>
  </w:style>
  <w:style w:type="paragraph" w:customStyle="1" w:styleId="NormalNoSpace">
    <w:name w:val="NormalNoSpace"/>
    <w:basedOn w:val="Normal"/>
    <w:qFormat/>
    <w:rsid w:val="0011708A"/>
    <w:pPr>
      <w:spacing w:after="0"/>
    </w:pPr>
  </w:style>
  <w:style w:type="paragraph" w:styleId="TOC5">
    <w:name w:val="toc 5"/>
    <w:basedOn w:val="Normal"/>
    <w:next w:val="Normal"/>
    <w:autoRedefine/>
    <w:rsid w:val="009C5684"/>
    <w:pPr>
      <w:tabs>
        <w:tab w:val="left" w:pos="1134"/>
        <w:tab w:val="right" w:pos="9639"/>
      </w:tabs>
      <w:spacing w:after="40"/>
      <w:ind w:left="680" w:right="284" w:hanging="680"/>
    </w:pPr>
  </w:style>
  <w:style w:type="paragraph" w:customStyle="1" w:styleId="FigureTitle">
    <w:name w:val="FigureTitle"/>
    <w:basedOn w:val="Normal"/>
    <w:next w:val="Normal"/>
    <w:uiPriority w:val="11"/>
    <w:qFormat/>
    <w:rsid w:val="000F17C6"/>
    <w:pPr>
      <w:numPr>
        <w:numId w:val="7"/>
      </w:numPr>
    </w:pPr>
    <w:rPr>
      <w:b/>
    </w:rPr>
  </w:style>
  <w:style w:type="paragraph" w:customStyle="1" w:styleId="ListBulletLast">
    <w:name w:val="List Bullet Last"/>
    <w:basedOn w:val="ListBullet"/>
    <w:next w:val="Normal"/>
    <w:uiPriority w:val="2"/>
    <w:qFormat/>
    <w:rsid w:val="00CE4679"/>
    <w:pPr>
      <w:spacing w:after="240"/>
    </w:pPr>
  </w:style>
  <w:style w:type="paragraph" w:customStyle="1" w:styleId="ListBullet2Last">
    <w:name w:val="List Bullet 2 Last"/>
    <w:basedOn w:val="ListBullet2"/>
    <w:next w:val="Normal"/>
    <w:uiPriority w:val="2"/>
    <w:qFormat/>
    <w:rsid w:val="00CE4679"/>
    <w:pPr>
      <w:spacing w:after="240"/>
    </w:pPr>
  </w:style>
  <w:style w:type="paragraph" w:styleId="ListNumber">
    <w:name w:val="List Number"/>
    <w:basedOn w:val="Normal"/>
    <w:uiPriority w:val="99"/>
    <w:qFormat/>
    <w:rsid w:val="00B10262"/>
    <w:pPr>
      <w:numPr>
        <w:numId w:val="2"/>
      </w:numPr>
      <w:spacing w:after="0"/>
      <w:contextualSpacing/>
    </w:pPr>
  </w:style>
  <w:style w:type="paragraph" w:styleId="ListNumber2">
    <w:name w:val="List Number 2"/>
    <w:basedOn w:val="Normal"/>
    <w:uiPriority w:val="99"/>
    <w:rsid w:val="00080C64"/>
    <w:pPr>
      <w:numPr>
        <w:numId w:val="8"/>
      </w:numPr>
      <w:spacing w:after="0"/>
      <w:contextualSpacing/>
    </w:pPr>
  </w:style>
  <w:style w:type="paragraph" w:styleId="BalloonText">
    <w:name w:val="Balloon Text"/>
    <w:basedOn w:val="Normal"/>
    <w:link w:val="BalloonTextChar"/>
    <w:semiHidden/>
    <w:unhideWhenUsed/>
    <w:rsid w:val="005625D4"/>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5625D4"/>
    <w:rPr>
      <w:rFonts w:ascii="Tahoma" w:hAnsi="Tahoma" w:cs="Tahoma"/>
      <w:color w:val="394A58" w:themeColor="text2"/>
      <w:sz w:val="16"/>
      <w:szCs w:val="16"/>
    </w:rPr>
  </w:style>
  <w:style w:type="paragraph" w:customStyle="1" w:styleId="SubHeading">
    <w:name w:val="SubHeading"/>
    <w:basedOn w:val="Normal"/>
    <w:next w:val="Normal"/>
    <w:uiPriority w:val="1"/>
    <w:qFormat/>
    <w:rsid w:val="0011708A"/>
    <w:pPr>
      <w:keepNext/>
      <w:spacing w:before="240" w:after="40"/>
    </w:pPr>
    <w:rPr>
      <w:b/>
    </w:rPr>
  </w:style>
  <w:style w:type="paragraph" w:customStyle="1" w:styleId="Introduction">
    <w:name w:val="Introduction"/>
    <w:basedOn w:val="Normal"/>
    <w:uiPriority w:val="29"/>
    <w:semiHidden/>
    <w:qFormat/>
    <w:rsid w:val="00600103"/>
    <w:rPr>
      <w:sz w:val="24"/>
    </w:rPr>
  </w:style>
  <w:style w:type="paragraph" w:styleId="ListBullet">
    <w:name w:val="List Bullet"/>
    <w:basedOn w:val="Normal"/>
    <w:uiPriority w:val="99"/>
    <w:qFormat/>
    <w:rsid w:val="0011708A"/>
    <w:pPr>
      <w:numPr>
        <w:numId w:val="11"/>
      </w:numPr>
      <w:spacing w:after="0"/>
    </w:pPr>
  </w:style>
  <w:style w:type="paragraph" w:styleId="ListBullet2">
    <w:name w:val="List Bullet 2"/>
    <w:basedOn w:val="Normal"/>
    <w:uiPriority w:val="2"/>
    <w:rsid w:val="0011708A"/>
    <w:pPr>
      <w:numPr>
        <w:numId w:val="12"/>
      </w:numPr>
      <w:spacing w:after="0"/>
    </w:pPr>
  </w:style>
  <w:style w:type="paragraph" w:customStyle="1" w:styleId="ListNumb1">
    <w:name w:val="ListNumb1"/>
    <w:basedOn w:val="Normal"/>
    <w:uiPriority w:val="4"/>
    <w:qFormat/>
    <w:rsid w:val="0011708A"/>
    <w:pPr>
      <w:numPr>
        <w:numId w:val="13"/>
      </w:numPr>
      <w:spacing w:after="0"/>
    </w:pPr>
  </w:style>
  <w:style w:type="paragraph" w:customStyle="1" w:styleId="ListNumb2">
    <w:name w:val="ListNumb2"/>
    <w:basedOn w:val="Normal"/>
    <w:uiPriority w:val="4"/>
    <w:qFormat/>
    <w:rsid w:val="0011708A"/>
    <w:pPr>
      <w:numPr>
        <w:ilvl w:val="1"/>
        <w:numId w:val="13"/>
      </w:numPr>
      <w:spacing w:after="0"/>
    </w:pPr>
  </w:style>
  <w:style w:type="paragraph" w:styleId="ListNumber5">
    <w:name w:val="List Number 5"/>
    <w:basedOn w:val="Normal"/>
    <w:uiPriority w:val="99"/>
    <w:semiHidden/>
    <w:rsid w:val="00080C64"/>
    <w:pPr>
      <w:numPr>
        <w:numId w:val="4"/>
      </w:numPr>
      <w:contextualSpacing/>
    </w:pPr>
  </w:style>
  <w:style w:type="paragraph" w:styleId="ListNumber4">
    <w:name w:val="List Number 4"/>
    <w:basedOn w:val="Normal"/>
    <w:uiPriority w:val="99"/>
    <w:semiHidden/>
    <w:rsid w:val="00080C64"/>
    <w:pPr>
      <w:numPr>
        <w:numId w:val="9"/>
      </w:numPr>
      <w:contextualSpacing/>
    </w:pPr>
  </w:style>
  <w:style w:type="paragraph" w:styleId="ListNumber3">
    <w:name w:val="List Number 3"/>
    <w:basedOn w:val="Normal"/>
    <w:uiPriority w:val="99"/>
    <w:semiHidden/>
    <w:rsid w:val="00080C64"/>
    <w:pPr>
      <w:numPr>
        <w:numId w:val="3"/>
      </w:numPr>
      <w:contextualSpacing/>
    </w:pPr>
  </w:style>
  <w:style w:type="paragraph" w:customStyle="1" w:styleId="ListNumb3">
    <w:name w:val="ListNumb3"/>
    <w:basedOn w:val="Normal"/>
    <w:uiPriority w:val="4"/>
    <w:unhideWhenUsed/>
    <w:qFormat/>
    <w:rsid w:val="0011708A"/>
    <w:pPr>
      <w:numPr>
        <w:ilvl w:val="2"/>
        <w:numId w:val="13"/>
      </w:numPr>
      <w:spacing w:after="0"/>
      <w:ind w:left="1020" w:hanging="340"/>
    </w:pPr>
  </w:style>
  <w:style w:type="paragraph" w:customStyle="1" w:styleId="ListNumb1Last">
    <w:name w:val="ListNumb1Last"/>
    <w:basedOn w:val="ListNumb1"/>
    <w:next w:val="Normal"/>
    <w:uiPriority w:val="4"/>
    <w:qFormat/>
    <w:rsid w:val="004D1435"/>
    <w:pPr>
      <w:spacing w:after="240"/>
    </w:pPr>
  </w:style>
  <w:style w:type="paragraph" w:customStyle="1" w:styleId="ListNumb2Last">
    <w:name w:val="ListNumb2Last"/>
    <w:basedOn w:val="ListNumb2"/>
    <w:next w:val="Normal"/>
    <w:uiPriority w:val="4"/>
    <w:qFormat/>
    <w:rsid w:val="004D1435"/>
    <w:pPr>
      <w:spacing w:after="240"/>
    </w:pPr>
  </w:style>
  <w:style w:type="paragraph" w:customStyle="1" w:styleId="ListNumb3Last">
    <w:name w:val="ListNumb3Last"/>
    <w:basedOn w:val="ListNumb3"/>
    <w:next w:val="Normal"/>
    <w:uiPriority w:val="4"/>
    <w:unhideWhenUsed/>
    <w:qFormat/>
    <w:rsid w:val="004D1435"/>
    <w:pPr>
      <w:spacing w:after="240"/>
    </w:pPr>
  </w:style>
  <w:style w:type="paragraph" w:customStyle="1" w:styleId="PictureText">
    <w:name w:val="PictureText"/>
    <w:basedOn w:val="Normal"/>
    <w:uiPriority w:val="29"/>
    <w:semiHidden/>
    <w:qFormat/>
    <w:rsid w:val="002D4CD7"/>
    <w:pPr>
      <w:spacing w:before="120" w:after="120"/>
    </w:pPr>
    <w:rPr>
      <w:color w:val="156570" w:themeColor="background2"/>
      <w:sz w:val="16"/>
    </w:rPr>
  </w:style>
  <w:style w:type="paragraph" w:customStyle="1" w:styleId="Heading2NoTOC">
    <w:name w:val="Heading 2NoTOC"/>
    <w:basedOn w:val="Heading2"/>
    <w:uiPriority w:val="29"/>
    <w:qFormat/>
    <w:rsid w:val="00B7202B"/>
    <w:pPr>
      <w:numPr>
        <w:ilvl w:val="0"/>
        <w:numId w:val="0"/>
      </w:numPr>
    </w:pPr>
  </w:style>
  <w:style w:type="paragraph" w:styleId="TOC6">
    <w:name w:val="toc 6"/>
    <w:basedOn w:val="Normal"/>
    <w:next w:val="Normal"/>
    <w:autoRedefine/>
    <w:uiPriority w:val="39"/>
    <w:rsid w:val="00B955C7"/>
    <w:pPr>
      <w:tabs>
        <w:tab w:val="right" w:pos="9639"/>
      </w:tabs>
      <w:spacing w:before="240" w:after="0"/>
      <w:ind w:right="284"/>
    </w:pPr>
    <w:rPr>
      <w:b/>
      <w:color w:val="156570" w:themeColor="background2"/>
      <w:sz w:val="22"/>
    </w:rPr>
  </w:style>
  <w:style w:type="paragraph" w:customStyle="1" w:styleId="FooterBold">
    <w:name w:val="FooterBold"/>
    <w:basedOn w:val="Footer"/>
    <w:rsid w:val="00350276"/>
    <w:pPr>
      <w:spacing w:before="80"/>
    </w:pPr>
    <w:rPr>
      <w:b/>
      <w:color w:val="156570" w:themeColor="background2"/>
    </w:rPr>
  </w:style>
  <w:style w:type="paragraph" w:customStyle="1" w:styleId="TableSource">
    <w:name w:val="TableSource"/>
    <w:basedOn w:val="Normal"/>
    <w:next w:val="Normal"/>
    <w:uiPriority w:val="17"/>
    <w:qFormat/>
    <w:rsid w:val="00FD7E5D"/>
    <w:pPr>
      <w:spacing w:before="120"/>
    </w:pPr>
    <w:rPr>
      <w:sz w:val="16"/>
    </w:rPr>
  </w:style>
  <w:style w:type="paragraph" w:customStyle="1" w:styleId="ClientName">
    <w:name w:val="ClientName"/>
    <w:basedOn w:val="DocSubTitle"/>
    <w:rsid w:val="00676F6C"/>
    <w:rPr>
      <w:sz w:val="32"/>
    </w:rPr>
  </w:style>
  <w:style w:type="paragraph" w:styleId="ListParagraph">
    <w:name w:val="List Paragraph"/>
    <w:basedOn w:val="Normal"/>
    <w:uiPriority w:val="34"/>
    <w:qFormat/>
    <w:rsid w:val="00322BB8"/>
    <w:pPr>
      <w:numPr>
        <w:numId w:val="14"/>
      </w:numPr>
      <w:contextualSpacing/>
      <w:outlineLvl w:val="1"/>
    </w:pPr>
  </w:style>
  <w:style w:type="paragraph" w:customStyle="1" w:styleId="NormalParagraphNumbered">
    <w:name w:val="Normal Paragraph Numbered"/>
    <w:basedOn w:val="Heading2"/>
    <w:qFormat/>
    <w:rsid w:val="005C2FF5"/>
    <w:pPr>
      <w:keepNext w:val="0"/>
      <w:keepLines w:val="0"/>
      <w:spacing w:before="0" w:after="240"/>
    </w:pPr>
    <w:rPr>
      <w:b w:val="0"/>
      <w:color w:val="auto"/>
      <w:sz w:val="20"/>
    </w:rPr>
  </w:style>
  <w:style w:type="paragraph" w:styleId="BlockText">
    <w:name w:val="Block Text"/>
    <w:basedOn w:val="Normal"/>
    <w:uiPriority w:val="99"/>
    <w:semiHidden/>
    <w:unhideWhenUsed/>
    <w:rsid w:val="004C1403"/>
    <w:pPr>
      <w:pBdr>
        <w:top w:val="single" w:sz="2" w:space="10" w:color="394A58" w:themeColor="text2" w:shadow="1"/>
        <w:left w:val="single" w:sz="2" w:space="10" w:color="394A58" w:themeColor="text2" w:shadow="1"/>
        <w:bottom w:val="single" w:sz="2" w:space="10" w:color="394A58" w:themeColor="text2" w:shadow="1"/>
        <w:right w:val="single" w:sz="2" w:space="10" w:color="394A58" w:themeColor="text2" w:shadow="1"/>
      </w:pBdr>
      <w:ind w:left="1152" w:right="1152"/>
    </w:pPr>
    <w:rPr>
      <w:rFonts w:asciiTheme="minorHAnsi" w:eastAsiaTheme="minorEastAsia" w:hAnsiTheme="minorHAnsi"/>
      <w:i/>
      <w:iCs/>
    </w:rPr>
  </w:style>
  <w:style w:type="paragraph" w:styleId="Caption">
    <w:name w:val="caption"/>
    <w:basedOn w:val="Normal"/>
    <w:next w:val="Normal"/>
    <w:uiPriority w:val="35"/>
    <w:unhideWhenUsed/>
    <w:qFormat/>
    <w:rsid w:val="00851E96"/>
    <w:pPr>
      <w:spacing w:after="200"/>
    </w:pPr>
    <w:rPr>
      <w:b/>
      <w:bCs/>
      <w:szCs w:val="18"/>
    </w:rPr>
  </w:style>
  <w:style w:type="character" w:styleId="FollowedHyperlink">
    <w:name w:val="FollowedHyperlink"/>
    <w:basedOn w:val="DefaultParagraphFont"/>
    <w:uiPriority w:val="99"/>
    <w:semiHidden/>
    <w:unhideWhenUsed/>
    <w:rsid w:val="004C1403"/>
    <w:rPr>
      <w:color w:val="394A58" w:themeColor="text2"/>
      <w:u w:val="single"/>
    </w:rPr>
  </w:style>
  <w:style w:type="character" w:styleId="IntenseEmphasis">
    <w:name w:val="Intense Emphasis"/>
    <w:basedOn w:val="DefaultParagraphFont"/>
    <w:uiPriority w:val="21"/>
    <w:semiHidden/>
    <w:qFormat/>
    <w:rsid w:val="004C1403"/>
    <w:rPr>
      <w:b/>
      <w:bCs/>
      <w:i/>
      <w:iCs/>
      <w:color w:val="394A58" w:themeColor="text2"/>
    </w:rPr>
  </w:style>
  <w:style w:type="paragraph" w:styleId="IntenseQuote">
    <w:name w:val="Intense Quote"/>
    <w:basedOn w:val="Normal"/>
    <w:next w:val="Normal"/>
    <w:link w:val="IntenseQuoteChar"/>
    <w:uiPriority w:val="30"/>
    <w:semiHidden/>
    <w:qFormat/>
    <w:rsid w:val="004C1403"/>
    <w:pPr>
      <w:pBdr>
        <w:bottom w:val="single" w:sz="4" w:space="4" w:color="394A58" w:themeColor="text2"/>
      </w:pBd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4C1403"/>
    <w:rPr>
      <w:rFonts w:ascii="Arial" w:hAnsi="Arial"/>
      <w:b/>
      <w:bCs/>
      <w:i/>
      <w:iCs/>
      <w:color w:val="394A58" w:themeColor="text2"/>
      <w:sz w:val="20"/>
    </w:rPr>
  </w:style>
  <w:style w:type="paragraph" w:styleId="Subtitle">
    <w:name w:val="Subtitle"/>
    <w:basedOn w:val="Normal"/>
    <w:next w:val="Normal"/>
    <w:link w:val="SubtitleChar"/>
    <w:uiPriority w:val="29"/>
    <w:semiHidden/>
    <w:qFormat/>
    <w:rsid w:val="004C1403"/>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29"/>
    <w:semiHidden/>
    <w:rsid w:val="004C1403"/>
    <w:rPr>
      <w:rFonts w:asciiTheme="majorHAnsi" w:eastAsiaTheme="majorEastAsia" w:hAnsiTheme="majorHAnsi" w:cstheme="majorBidi"/>
      <w:i/>
      <w:iCs/>
      <w:color w:val="394A58" w:themeColor="text2"/>
      <w:spacing w:val="15"/>
      <w:sz w:val="24"/>
      <w:szCs w:val="24"/>
    </w:rPr>
  </w:style>
  <w:style w:type="paragraph" w:styleId="TOCHeading">
    <w:name w:val="TOC Heading"/>
    <w:basedOn w:val="Heading1"/>
    <w:next w:val="Normal"/>
    <w:uiPriority w:val="39"/>
    <w:semiHidden/>
    <w:unhideWhenUsed/>
    <w:qFormat/>
    <w:rsid w:val="004C1403"/>
    <w:pPr>
      <w:numPr>
        <w:numId w:val="0"/>
      </w:numPr>
      <w:spacing w:before="480" w:after="0"/>
      <w:outlineLvl w:val="9"/>
    </w:pPr>
    <w:rPr>
      <w:rFonts w:asciiTheme="majorHAnsi" w:eastAsiaTheme="majorEastAsia" w:hAnsiTheme="majorHAnsi" w:cstheme="majorBidi"/>
      <w:color w:val="394A58" w:themeColor="text2"/>
      <w:sz w:val="28"/>
    </w:rPr>
  </w:style>
  <w:style w:type="paragraph" w:styleId="TableofFigures">
    <w:name w:val="table of figures"/>
    <w:basedOn w:val="Normal"/>
    <w:next w:val="Normal"/>
    <w:uiPriority w:val="99"/>
    <w:unhideWhenUsed/>
    <w:rsid w:val="00D564B4"/>
    <w:pPr>
      <w:spacing w:after="0"/>
    </w:pPr>
  </w:style>
  <w:style w:type="paragraph" w:customStyle="1" w:styleId="Bullets">
    <w:name w:val="Bullets"/>
    <w:basedOn w:val="Normal"/>
    <w:rsid w:val="00B54113"/>
    <w:pPr>
      <w:numPr>
        <w:numId w:val="16"/>
      </w:numPr>
      <w:tabs>
        <w:tab w:val="left" w:pos="432"/>
      </w:tabs>
      <w:spacing w:before="80" w:after="80"/>
    </w:pPr>
    <w:rPr>
      <w:rFonts w:eastAsia="Times New Roman" w:cs="Times New Roman"/>
    </w:rPr>
  </w:style>
  <w:style w:type="paragraph" w:customStyle="1" w:styleId="SubBullet">
    <w:name w:val="Sub Bullet"/>
    <w:basedOn w:val="Normal"/>
    <w:rsid w:val="00B54113"/>
    <w:pPr>
      <w:numPr>
        <w:numId w:val="17"/>
      </w:numPr>
      <w:tabs>
        <w:tab w:val="left" w:pos="864"/>
      </w:tabs>
      <w:spacing w:before="80" w:after="80"/>
    </w:pPr>
    <w:rPr>
      <w:rFonts w:eastAsia="Times New Roman" w:cs="Times New Roman"/>
    </w:rPr>
  </w:style>
  <w:style w:type="character" w:styleId="CommentReference">
    <w:name w:val="annotation reference"/>
    <w:basedOn w:val="DefaultParagraphFont"/>
    <w:uiPriority w:val="99"/>
    <w:semiHidden/>
    <w:unhideWhenUsed/>
    <w:rsid w:val="00B54113"/>
    <w:rPr>
      <w:sz w:val="16"/>
      <w:szCs w:val="16"/>
    </w:rPr>
  </w:style>
  <w:style w:type="paragraph" w:styleId="CommentText">
    <w:name w:val="annotation text"/>
    <w:basedOn w:val="Normal"/>
    <w:link w:val="CommentTextChar"/>
    <w:uiPriority w:val="99"/>
    <w:unhideWhenUsed/>
    <w:rsid w:val="00B54113"/>
    <w:rPr>
      <w:szCs w:val="20"/>
    </w:rPr>
  </w:style>
  <w:style w:type="character" w:customStyle="1" w:styleId="CommentTextChar">
    <w:name w:val="Comment Text Char"/>
    <w:basedOn w:val="DefaultParagraphFont"/>
    <w:link w:val="CommentText"/>
    <w:uiPriority w:val="99"/>
    <w:rsid w:val="00B54113"/>
    <w:rPr>
      <w:rFonts w:ascii="Arial" w:hAnsi="Arial"/>
      <w:color w:val="394A58" w:themeColor="text2"/>
      <w:sz w:val="20"/>
      <w:szCs w:val="20"/>
    </w:rPr>
  </w:style>
  <w:style w:type="paragraph" w:customStyle="1" w:styleId="standfirst">
    <w:name w:val="standfirst"/>
    <w:basedOn w:val="Normal"/>
    <w:rsid w:val="00675608"/>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st1">
    <w:name w:val="st1"/>
    <w:basedOn w:val="DefaultParagraphFont"/>
    <w:rsid w:val="00F80213"/>
  </w:style>
  <w:style w:type="paragraph" w:styleId="NormalWeb">
    <w:name w:val="Normal (Web)"/>
    <w:basedOn w:val="Normal"/>
    <w:uiPriority w:val="99"/>
    <w:unhideWhenUsed/>
    <w:rsid w:val="006321CA"/>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apple-converted-space">
    <w:name w:val="apple-converted-space"/>
    <w:basedOn w:val="DefaultParagraphFont"/>
    <w:rsid w:val="006321CA"/>
  </w:style>
  <w:style w:type="paragraph" w:styleId="FootnoteText">
    <w:name w:val="footnote text"/>
    <w:basedOn w:val="Normal"/>
    <w:link w:val="FootnoteTextChar"/>
    <w:uiPriority w:val="99"/>
    <w:unhideWhenUsed/>
    <w:rsid w:val="00C13825"/>
    <w:pPr>
      <w:spacing w:after="0"/>
    </w:pPr>
    <w:rPr>
      <w:szCs w:val="20"/>
    </w:rPr>
  </w:style>
  <w:style w:type="character" w:customStyle="1" w:styleId="FootnoteTextChar">
    <w:name w:val="Footnote Text Char"/>
    <w:basedOn w:val="DefaultParagraphFont"/>
    <w:link w:val="FootnoteText"/>
    <w:uiPriority w:val="99"/>
    <w:rsid w:val="00C13825"/>
    <w:rPr>
      <w:rFonts w:ascii="Arial" w:hAnsi="Arial"/>
      <w:color w:val="394A58" w:themeColor="text2"/>
      <w:sz w:val="20"/>
      <w:szCs w:val="20"/>
    </w:rPr>
  </w:style>
  <w:style w:type="character" w:styleId="FootnoteReference">
    <w:name w:val="footnote reference"/>
    <w:basedOn w:val="DefaultParagraphFont"/>
    <w:uiPriority w:val="99"/>
    <w:unhideWhenUsed/>
    <w:rsid w:val="00C13825"/>
    <w:rPr>
      <w:vertAlign w:val="superscript"/>
    </w:rPr>
  </w:style>
  <w:style w:type="character" w:styleId="Emphasis">
    <w:name w:val="Emphasis"/>
    <w:basedOn w:val="DefaultParagraphFont"/>
    <w:uiPriority w:val="20"/>
    <w:qFormat/>
    <w:rsid w:val="00956018"/>
    <w:rPr>
      <w:i/>
      <w:iCs/>
    </w:rPr>
  </w:style>
  <w:style w:type="paragraph" w:customStyle="1" w:styleId="vspace">
    <w:name w:val="vspace"/>
    <w:basedOn w:val="Normal"/>
    <w:rsid w:val="00754915"/>
    <w:pPr>
      <w:spacing w:before="100" w:beforeAutospacing="1" w:after="100" w:afterAutospacing="1"/>
    </w:pPr>
    <w:rPr>
      <w:rFonts w:ascii="Times New Roman" w:eastAsia="Times New Roman" w:hAnsi="Times New Roman" w:cs="Times New Roman"/>
      <w:color w:val="auto"/>
      <w:sz w:val="24"/>
      <w:szCs w:val="24"/>
      <w:lang w:eastAsia="en-GB"/>
    </w:rPr>
  </w:style>
  <w:style w:type="character" w:styleId="Strong">
    <w:name w:val="Strong"/>
    <w:basedOn w:val="DefaultParagraphFont"/>
    <w:uiPriority w:val="22"/>
    <w:qFormat/>
    <w:rsid w:val="00754915"/>
    <w:rPr>
      <w:b/>
      <w:bCs/>
    </w:rPr>
  </w:style>
  <w:style w:type="paragraph" w:styleId="BodyText2">
    <w:name w:val="Body Text 2"/>
    <w:basedOn w:val="Normal"/>
    <w:link w:val="BodyText2Char"/>
    <w:uiPriority w:val="99"/>
    <w:semiHidden/>
    <w:unhideWhenUsed/>
    <w:rsid w:val="00686352"/>
    <w:pPr>
      <w:spacing w:after="120" w:line="480" w:lineRule="auto"/>
    </w:pPr>
  </w:style>
  <w:style w:type="character" w:customStyle="1" w:styleId="BodyText2Char">
    <w:name w:val="Body Text 2 Char"/>
    <w:basedOn w:val="DefaultParagraphFont"/>
    <w:link w:val="BodyText2"/>
    <w:uiPriority w:val="99"/>
    <w:semiHidden/>
    <w:rsid w:val="00686352"/>
    <w:rPr>
      <w:rFonts w:ascii="Arial" w:hAnsi="Arial"/>
      <w:color w:val="394A58" w:themeColor="text2"/>
      <w:sz w:val="20"/>
    </w:rPr>
  </w:style>
  <w:style w:type="table" w:styleId="TableGrid8">
    <w:name w:val="Table Grid 8"/>
    <w:basedOn w:val="TableNormal"/>
    <w:rsid w:val="00686352"/>
    <w:pPr>
      <w:spacing w:after="0" w:line="240" w:lineRule="auto"/>
    </w:pPr>
    <w:rPr>
      <w:rFonts w:ascii="Times New Roman" w:eastAsia="Times New Roman" w:hAnsi="Times New Roman" w:cs="Times New Roman"/>
      <w:sz w:val="20"/>
      <w:szCs w:val="20"/>
      <w:lang w:eastAsia="en-GB"/>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Default">
    <w:name w:val="Default"/>
    <w:rsid w:val="009815DB"/>
    <w:pPr>
      <w:autoSpaceDE w:val="0"/>
      <w:autoSpaceDN w:val="0"/>
      <w:adjustRightInd w:val="0"/>
      <w:spacing w:after="0" w:line="240" w:lineRule="auto"/>
    </w:pPr>
    <w:rPr>
      <w:rFonts w:ascii="Gill Sans MT" w:hAnsi="Gill Sans MT" w:cs="Gill Sans MT"/>
      <w:color w:val="000000"/>
      <w:sz w:val="24"/>
      <w:szCs w:val="24"/>
    </w:rPr>
  </w:style>
  <w:style w:type="paragraph" w:styleId="CommentSubject">
    <w:name w:val="annotation subject"/>
    <w:basedOn w:val="CommentText"/>
    <w:next w:val="CommentText"/>
    <w:link w:val="CommentSubjectChar"/>
    <w:uiPriority w:val="99"/>
    <w:semiHidden/>
    <w:unhideWhenUsed/>
    <w:rsid w:val="007D5384"/>
    <w:rPr>
      <w:b/>
      <w:bCs/>
    </w:rPr>
  </w:style>
  <w:style w:type="character" w:customStyle="1" w:styleId="CommentSubjectChar">
    <w:name w:val="Comment Subject Char"/>
    <w:basedOn w:val="CommentTextChar"/>
    <w:link w:val="CommentSubject"/>
    <w:uiPriority w:val="99"/>
    <w:semiHidden/>
    <w:rsid w:val="007D5384"/>
    <w:rPr>
      <w:rFonts w:ascii="Arial" w:hAnsi="Arial"/>
      <w:b/>
      <w:bCs/>
      <w:color w:val="394A58" w:themeColor="text2"/>
      <w:sz w:val="20"/>
      <w:szCs w:val="20"/>
    </w:rPr>
  </w:style>
  <w:style w:type="numbering" w:styleId="111111">
    <w:name w:val="Outline List 2"/>
    <w:basedOn w:val="NoList"/>
    <w:semiHidden/>
    <w:rsid w:val="00553FD5"/>
    <w:pPr>
      <w:numPr>
        <w:numId w:val="47"/>
      </w:numPr>
    </w:pPr>
  </w:style>
  <w:style w:type="numbering" w:styleId="1ai">
    <w:name w:val="Outline List 1"/>
    <w:basedOn w:val="NoList"/>
    <w:semiHidden/>
    <w:rsid w:val="00553FD5"/>
    <w:pPr>
      <w:numPr>
        <w:numId w:val="48"/>
      </w:numPr>
    </w:pPr>
  </w:style>
  <w:style w:type="numbering" w:styleId="ArticleSection">
    <w:name w:val="Outline List 3"/>
    <w:basedOn w:val="NoList"/>
    <w:semiHidden/>
    <w:rsid w:val="00553FD5"/>
    <w:pPr>
      <w:numPr>
        <w:numId w:val="49"/>
      </w:numPr>
    </w:pPr>
  </w:style>
  <w:style w:type="table" w:styleId="Table3Deffects1">
    <w:name w:val="Table 3D effects 1"/>
    <w:basedOn w:val="TableNormal"/>
    <w:semiHidden/>
    <w:rsid w:val="00553FD5"/>
    <w:pPr>
      <w:spacing w:after="0" w:line="240" w:lineRule="auto"/>
      <w:jc w:val="both"/>
    </w:pPr>
    <w:rPr>
      <w:rFonts w:ascii="Arial" w:eastAsia="Batang" w:hAnsi="Arial" w:cs="Arial"/>
      <w:sz w:val="20"/>
      <w:szCs w:val="20"/>
      <w:lang w:eastAsia="en-GB"/>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53FD5"/>
    <w:pPr>
      <w:spacing w:after="0" w:line="240" w:lineRule="auto"/>
      <w:jc w:val="both"/>
    </w:pPr>
    <w:rPr>
      <w:rFonts w:ascii="Arial" w:eastAsia="Batang" w:hAnsi="Arial" w:cs="Arial"/>
      <w:sz w:val="20"/>
      <w:szCs w:val="20"/>
      <w:lang w:eastAsia="en-GB"/>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53FD5"/>
    <w:pPr>
      <w:spacing w:after="0" w:line="240" w:lineRule="auto"/>
      <w:jc w:val="both"/>
    </w:pPr>
    <w:rPr>
      <w:rFonts w:ascii="Arial" w:eastAsia="Batang" w:hAnsi="Arial" w:cs="Arial"/>
      <w:sz w:val="20"/>
      <w:szCs w:val="20"/>
      <w:lang w:eastAsia="en-GB"/>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53FD5"/>
    <w:pPr>
      <w:spacing w:after="0" w:line="240" w:lineRule="auto"/>
      <w:jc w:val="both"/>
    </w:pPr>
    <w:rPr>
      <w:rFonts w:ascii="Arial" w:eastAsia="Batang" w:hAnsi="Arial" w:cs="Arial"/>
      <w:color w:val="000080"/>
      <w:sz w:val="20"/>
      <w:szCs w:val="20"/>
      <w:lang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53FD5"/>
    <w:pPr>
      <w:spacing w:after="0" w:line="240" w:lineRule="auto"/>
      <w:jc w:val="both"/>
    </w:pPr>
    <w:rPr>
      <w:rFonts w:ascii="Arial" w:eastAsia="Batang" w:hAnsi="Arial" w:cs="Arial"/>
      <w:color w:val="FFFFFF"/>
      <w:sz w:val="20"/>
      <w:szCs w:val="20"/>
      <w:lang w:eastAsia="en-GB"/>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53FD5"/>
    <w:pPr>
      <w:spacing w:after="0" w:line="240" w:lineRule="auto"/>
      <w:jc w:val="both"/>
    </w:pPr>
    <w:rPr>
      <w:rFonts w:ascii="Arial" w:eastAsia="Batang" w:hAnsi="Arial" w:cs="Arial"/>
      <w:sz w:val="20"/>
      <w:szCs w:val="20"/>
      <w:lang w:eastAsia="en-GB"/>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53FD5"/>
    <w:pPr>
      <w:spacing w:after="0" w:line="240" w:lineRule="auto"/>
      <w:jc w:val="both"/>
    </w:pPr>
    <w:rPr>
      <w:rFonts w:ascii="Arial" w:eastAsia="Batang" w:hAnsi="Arial" w:cs="Arial"/>
      <w:b/>
      <w:bCs/>
      <w:sz w:val="20"/>
      <w:szCs w:val="20"/>
      <w:lang w:eastAsia="en-GB"/>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53FD5"/>
    <w:pPr>
      <w:spacing w:after="0" w:line="240" w:lineRule="auto"/>
      <w:jc w:val="both"/>
    </w:pPr>
    <w:rPr>
      <w:rFonts w:ascii="Arial" w:eastAsia="Batang" w:hAnsi="Arial" w:cs="Arial"/>
      <w:b/>
      <w:bCs/>
      <w:sz w:val="20"/>
      <w:szCs w:val="20"/>
      <w:lang w:eastAsia="en-GB"/>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53FD5"/>
    <w:pPr>
      <w:spacing w:after="0" w:line="240" w:lineRule="auto"/>
      <w:jc w:val="both"/>
    </w:pPr>
    <w:rPr>
      <w:rFonts w:ascii="Arial" w:eastAsia="Batang" w:hAnsi="Arial" w:cs="Arial"/>
      <w:b/>
      <w:bCs/>
      <w:sz w:val="20"/>
      <w:szCs w:val="20"/>
      <w:lang w:eastAsia="en-GB"/>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53FD5"/>
    <w:pPr>
      <w:spacing w:after="0" w:line="240" w:lineRule="auto"/>
      <w:jc w:val="both"/>
    </w:pPr>
    <w:rPr>
      <w:rFonts w:ascii="Arial" w:eastAsia="Batang" w:hAnsi="Arial" w:cs="Arial"/>
      <w:sz w:val="20"/>
      <w:szCs w:val="20"/>
      <w:lang w:eastAsia="en-GB"/>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53FD5"/>
    <w:pPr>
      <w:spacing w:after="0" w:line="240" w:lineRule="auto"/>
      <w:jc w:val="both"/>
    </w:pPr>
    <w:rPr>
      <w:rFonts w:ascii="Arial" w:eastAsia="Batang" w:hAnsi="Arial" w:cs="Arial"/>
      <w:sz w:val="20"/>
      <w:szCs w:val="20"/>
      <w:lang w:eastAsia="en-GB"/>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53FD5"/>
    <w:pPr>
      <w:spacing w:after="0" w:line="240" w:lineRule="auto"/>
      <w:jc w:val="both"/>
    </w:pPr>
    <w:rPr>
      <w:rFonts w:ascii="Arial" w:eastAsia="Batang" w:hAnsi="Arial" w:cs="Arial"/>
      <w:sz w:val="20"/>
      <w:szCs w:val="20"/>
      <w:lang w:eastAsia="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53FD5"/>
    <w:pPr>
      <w:spacing w:after="0" w:line="240" w:lineRule="auto"/>
      <w:jc w:val="both"/>
    </w:pPr>
    <w:rPr>
      <w:rFonts w:ascii="Arial" w:eastAsia="Batang" w:hAnsi="Arial" w:cs="Arial"/>
      <w:sz w:val="20"/>
      <w:szCs w:val="20"/>
      <w:lang w:eastAsia="en-GB"/>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53FD5"/>
    <w:pPr>
      <w:spacing w:after="0" w:line="240" w:lineRule="auto"/>
      <w:jc w:val="both"/>
    </w:pPr>
    <w:rPr>
      <w:rFonts w:ascii="Arial" w:eastAsia="Batang" w:hAnsi="Arial" w:cs="Arial"/>
      <w:sz w:val="20"/>
      <w:szCs w:val="20"/>
      <w:lang w:eastAsia="en-GB"/>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53FD5"/>
    <w:pPr>
      <w:spacing w:after="0" w:line="240" w:lineRule="auto"/>
      <w:jc w:val="both"/>
    </w:pPr>
    <w:rPr>
      <w:rFonts w:ascii="Arial" w:eastAsia="Batang" w:hAnsi="Arial" w:cs="Arial"/>
      <w:b/>
      <w:bCs/>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1">
    <w:name w:val="Table List 1"/>
    <w:basedOn w:val="TableNormal"/>
    <w:semiHidden/>
    <w:rsid w:val="00553FD5"/>
    <w:pPr>
      <w:spacing w:after="0" w:line="240" w:lineRule="auto"/>
      <w:jc w:val="both"/>
    </w:pPr>
    <w:rPr>
      <w:rFonts w:ascii="Arial" w:eastAsia="Batang" w:hAnsi="Arial" w:cs="Arial"/>
      <w:sz w:val="20"/>
      <w:szCs w:val="20"/>
      <w:lang w:eastAsia="en-GB"/>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53FD5"/>
    <w:pPr>
      <w:spacing w:after="0" w:line="240" w:lineRule="auto"/>
      <w:jc w:val="both"/>
    </w:pPr>
    <w:rPr>
      <w:rFonts w:ascii="Arial" w:eastAsia="Batang" w:hAnsi="Arial" w:cs="Arial"/>
      <w:sz w:val="20"/>
      <w:szCs w:val="20"/>
      <w:lang w:eastAsia="en-GB"/>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53FD5"/>
    <w:pPr>
      <w:spacing w:after="0" w:line="240" w:lineRule="auto"/>
      <w:jc w:val="both"/>
    </w:pPr>
    <w:rPr>
      <w:rFonts w:ascii="Arial" w:eastAsia="Batang" w:hAnsi="Arial" w:cs="Arial"/>
      <w:sz w:val="20"/>
      <w:szCs w:val="20"/>
      <w:lang w:eastAsia="en-GB"/>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53FD5"/>
    <w:pPr>
      <w:spacing w:after="0" w:line="240" w:lineRule="auto"/>
      <w:jc w:val="both"/>
    </w:pPr>
    <w:rPr>
      <w:rFonts w:ascii="Arial" w:eastAsia="Batang" w:hAnsi="Arial" w:cs="Arial"/>
      <w:sz w:val="20"/>
      <w:szCs w:val="20"/>
      <w:lang w:eastAsia="en-GB"/>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53FD5"/>
    <w:pPr>
      <w:spacing w:after="0" w:line="240" w:lineRule="auto"/>
      <w:jc w:val="both"/>
    </w:pPr>
    <w:rPr>
      <w:rFonts w:ascii="Arial" w:eastAsia="Batang" w:hAnsi="Arial" w:cs="Arial"/>
      <w:sz w:val="20"/>
      <w:szCs w:val="20"/>
      <w:lang w:eastAsia="en-GB"/>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53FD5"/>
    <w:pPr>
      <w:spacing w:after="0" w:line="240" w:lineRule="auto"/>
      <w:jc w:val="both"/>
    </w:pPr>
    <w:rPr>
      <w:rFonts w:ascii="Arial" w:eastAsia="Batang" w:hAnsi="Arial" w:cs="Arial"/>
      <w:sz w:val="20"/>
      <w:szCs w:val="20"/>
      <w:lang w:eastAsia="en-GB"/>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53FD5"/>
    <w:pPr>
      <w:spacing w:after="0" w:line="240" w:lineRule="auto"/>
      <w:jc w:val="both"/>
    </w:pPr>
    <w:rPr>
      <w:rFonts w:ascii="Arial" w:eastAsia="Batang" w:hAnsi="Arial" w:cs="Arial"/>
      <w:sz w:val="20"/>
      <w:szCs w:val="20"/>
      <w:lang w:eastAsia="en-GB"/>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53FD5"/>
    <w:pPr>
      <w:spacing w:after="0" w:line="240" w:lineRule="auto"/>
      <w:jc w:val="both"/>
    </w:pPr>
    <w:rPr>
      <w:rFonts w:ascii="Arial" w:eastAsia="Batang" w:hAnsi="Arial" w:cs="Arial"/>
      <w:sz w:val="20"/>
      <w:szCs w:val="20"/>
      <w:lang w:eastAsia="en-GB"/>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553FD5"/>
    <w:pPr>
      <w:spacing w:after="0" w:line="240" w:lineRule="auto"/>
      <w:jc w:val="both"/>
    </w:pPr>
    <w:rPr>
      <w:rFonts w:ascii="Arial" w:eastAsia="Batang" w:hAnsi="Arial" w:cs="Arial"/>
      <w:sz w:val="20"/>
      <w:szCs w:val="20"/>
      <w:lang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53FD5"/>
    <w:pPr>
      <w:spacing w:after="0" w:line="240" w:lineRule="auto"/>
      <w:jc w:val="both"/>
    </w:pPr>
    <w:rPr>
      <w:rFonts w:ascii="Arial" w:eastAsia="Batang" w:hAnsi="Arial" w:cs="Arial"/>
      <w:sz w:val="20"/>
      <w:szCs w:val="20"/>
      <w:lang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53FD5"/>
    <w:pPr>
      <w:spacing w:after="0" w:line="240" w:lineRule="auto"/>
      <w:jc w:val="both"/>
    </w:pPr>
    <w:rPr>
      <w:rFonts w:ascii="Arial" w:eastAsia="Batang" w:hAnsi="Arial" w:cs="Arial"/>
      <w:sz w:val="20"/>
      <w:szCs w:val="20"/>
      <w:lang w:eastAsia="en-GB"/>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Quotelarge0">
    <w:name w:val="Quote large"/>
    <w:next w:val="BodyText"/>
    <w:link w:val="QuotelargeChar"/>
    <w:uiPriority w:val="2"/>
    <w:qFormat/>
    <w:rsid w:val="00553FD5"/>
    <w:pPr>
      <w:spacing w:after="480" w:line="240" w:lineRule="auto"/>
      <w:ind w:right="1701"/>
    </w:pPr>
    <w:rPr>
      <w:rFonts w:ascii="Arial" w:eastAsia="Batang" w:hAnsi="Arial" w:cs="Arial"/>
      <w:color w:val="156570"/>
      <w:sz w:val="48"/>
      <w:szCs w:val="20"/>
      <w:lang w:eastAsia="ko-KR"/>
    </w:rPr>
  </w:style>
  <w:style w:type="character" w:customStyle="1" w:styleId="QuotelargeChar">
    <w:name w:val="Quote large Char"/>
    <w:basedOn w:val="DefaultParagraphFont"/>
    <w:link w:val="Quotelarge0"/>
    <w:uiPriority w:val="2"/>
    <w:rsid w:val="00553FD5"/>
    <w:rPr>
      <w:rFonts w:ascii="Arial" w:eastAsia="Batang" w:hAnsi="Arial" w:cs="Arial"/>
      <w:color w:val="156570"/>
      <w:sz w:val="48"/>
      <w:szCs w:val="20"/>
      <w:lang w:eastAsia="ko-KR"/>
    </w:rPr>
  </w:style>
  <w:style w:type="paragraph" w:customStyle="1" w:styleId="Introductionheading">
    <w:name w:val="Introduction heading"/>
    <w:basedOn w:val="Sectionintroduction"/>
    <w:next w:val="BodyText"/>
    <w:link w:val="IntroductionheadingChar"/>
    <w:uiPriority w:val="2"/>
    <w:qFormat/>
    <w:rsid w:val="00553FD5"/>
    <w:pPr>
      <w:tabs>
        <w:tab w:val="left" w:pos="7230"/>
      </w:tabs>
    </w:pPr>
    <w:rPr>
      <w:color w:val="FFFFFF" w:themeColor="background1"/>
    </w:rPr>
  </w:style>
  <w:style w:type="table" w:customStyle="1" w:styleId="AtkinsI">
    <w:name w:val="Atkins_I"/>
    <w:basedOn w:val="TableNormal"/>
    <w:uiPriority w:val="99"/>
    <w:qFormat/>
    <w:rsid w:val="00553FD5"/>
    <w:pPr>
      <w:spacing w:after="0" w:line="240" w:lineRule="auto"/>
      <w:jc w:val="right"/>
    </w:pPr>
    <w:rPr>
      <w:rFonts w:ascii="Arial" w:eastAsia="Batang" w:hAnsi="Arial" w:cs="Arial"/>
      <w:sz w:val="20"/>
      <w:szCs w:val="20"/>
      <w:lang w:eastAsia="en-GB"/>
    </w:rPr>
    <w:tblPr>
      <w:tblInd w:w="0" w:type="dxa"/>
      <w:tblCellMar>
        <w:top w:w="45" w:type="dxa"/>
        <w:left w:w="45" w:type="dxa"/>
        <w:bottom w:w="45" w:type="dxa"/>
        <w:right w:w="45" w:type="dxa"/>
      </w:tblCellMar>
    </w:tblPr>
    <w:tcPr>
      <w:vAlign w:val="bottom"/>
    </w:tcPr>
    <w:tblStylePr w:type="firstRow">
      <w:pPr>
        <w:wordWrap/>
        <w:jc w:val="right"/>
      </w:pPr>
      <w:rPr>
        <w:b/>
      </w:rPr>
      <w:tblPr/>
      <w:trPr>
        <w:tblHeader/>
      </w:trPr>
      <w:tcPr>
        <w:tcBorders>
          <w:bottom w:val="single" w:sz="4" w:space="0" w:color="auto"/>
        </w:tcBorders>
      </w:tcPr>
    </w:tblStylePr>
    <w:tblStylePr w:type="lastRow">
      <w:tblPr/>
      <w:tcPr>
        <w:tcBorders>
          <w:bottom w:val="single" w:sz="4" w:space="0" w:color="auto"/>
        </w:tcBorders>
      </w:tcPr>
    </w:tblStylePr>
    <w:tblStylePr w:type="firstCol">
      <w:pPr>
        <w:jc w:val="left"/>
      </w:pPr>
    </w:tblStylePr>
    <w:tblStylePr w:type="nwCell">
      <w:pPr>
        <w:jc w:val="left"/>
      </w:pPr>
    </w:tblStylePr>
  </w:style>
  <w:style w:type="character" w:customStyle="1" w:styleId="IntroductionheadingChar">
    <w:name w:val="Introduction heading Char"/>
    <w:basedOn w:val="Heading1Char"/>
    <w:link w:val="Introductionheading"/>
    <w:uiPriority w:val="2"/>
    <w:rsid w:val="00553FD5"/>
    <w:rPr>
      <w:rFonts w:ascii="Arial" w:eastAsia="Batang" w:hAnsi="Arial" w:cs="Arial"/>
      <w:b/>
      <w:bCs/>
      <w:color w:val="FFFFFF" w:themeColor="background1"/>
      <w:sz w:val="48"/>
      <w:szCs w:val="20"/>
      <w:lang w:eastAsia="ko-KR"/>
    </w:rPr>
  </w:style>
  <w:style w:type="table" w:styleId="LightShading-Accent4">
    <w:name w:val="Light Shading Accent 4"/>
    <w:basedOn w:val="TableNormal"/>
    <w:uiPriority w:val="60"/>
    <w:rsid w:val="00553FD5"/>
    <w:pPr>
      <w:spacing w:after="0" w:line="240" w:lineRule="auto"/>
    </w:pPr>
    <w:rPr>
      <w:rFonts w:ascii="Arial" w:eastAsia="Batang" w:hAnsi="Arial" w:cs="Arial"/>
      <w:color w:val="0F4B53" w:themeColor="accent4" w:themeShade="BF"/>
      <w:sz w:val="20"/>
      <w:szCs w:val="20"/>
      <w:lang w:eastAsia="en-GB"/>
    </w:rPr>
    <w:tblPr>
      <w:tblStyleRowBandSize w:val="1"/>
      <w:tblStyleColBandSize w:val="1"/>
      <w:tblInd w:w="0" w:type="dxa"/>
      <w:tblBorders>
        <w:top w:val="single" w:sz="8" w:space="0" w:color="156570" w:themeColor="accent4"/>
        <w:bottom w:val="single" w:sz="8" w:space="0" w:color="15657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56570" w:themeColor="accent4"/>
          <w:left w:val="nil"/>
          <w:bottom w:val="single" w:sz="8" w:space="0" w:color="156570" w:themeColor="accent4"/>
          <w:right w:val="nil"/>
          <w:insideH w:val="nil"/>
          <w:insideV w:val="nil"/>
        </w:tcBorders>
      </w:tcPr>
    </w:tblStylePr>
    <w:tblStylePr w:type="lastRow">
      <w:pPr>
        <w:spacing w:before="0" w:after="0" w:line="240" w:lineRule="auto"/>
      </w:pPr>
      <w:rPr>
        <w:b/>
        <w:bCs/>
      </w:rPr>
      <w:tblPr/>
      <w:tcPr>
        <w:tcBorders>
          <w:top w:val="single" w:sz="8" w:space="0" w:color="156570" w:themeColor="accent4"/>
          <w:left w:val="nil"/>
          <w:bottom w:val="single" w:sz="8" w:space="0" w:color="15657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E8F0" w:themeFill="accent4" w:themeFillTint="3F"/>
      </w:tcPr>
    </w:tblStylePr>
    <w:tblStylePr w:type="band1Horz">
      <w:tblPr/>
      <w:tcPr>
        <w:tcBorders>
          <w:left w:val="nil"/>
          <w:right w:val="nil"/>
          <w:insideH w:val="nil"/>
          <w:insideV w:val="nil"/>
        </w:tcBorders>
        <w:shd w:val="clear" w:color="auto" w:fill="B0E8F0" w:themeFill="accent4" w:themeFillTint="3F"/>
      </w:tcPr>
    </w:tblStylePr>
  </w:style>
  <w:style w:type="table" w:styleId="LightShading-Accent5">
    <w:name w:val="Light Shading Accent 5"/>
    <w:basedOn w:val="TableNormal"/>
    <w:uiPriority w:val="60"/>
    <w:rsid w:val="00553FD5"/>
    <w:pPr>
      <w:spacing w:after="0" w:line="240" w:lineRule="auto"/>
    </w:pPr>
    <w:rPr>
      <w:rFonts w:ascii="Arial" w:eastAsia="Batang" w:hAnsi="Arial" w:cs="Arial"/>
      <w:color w:val="62003C" w:themeColor="accent5" w:themeShade="BF"/>
      <w:sz w:val="20"/>
      <w:szCs w:val="20"/>
      <w:lang w:eastAsia="en-GB"/>
    </w:rPr>
    <w:tblPr>
      <w:tblStyleRowBandSize w:val="1"/>
      <w:tblStyleColBandSize w:val="1"/>
      <w:tblInd w:w="0" w:type="dxa"/>
      <w:tblBorders>
        <w:top w:val="single" w:sz="8" w:space="0" w:color="830051" w:themeColor="accent5"/>
        <w:bottom w:val="single" w:sz="8" w:space="0" w:color="830051"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30051" w:themeColor="accent5"/>
          <w:left w:val="nil"/>
          <w:bottom w:val="single" w:sz="8" w:space="0" w:color="830051" w:themeColor="accent5"/>
          <w:right w:val="nil"/>
          <w:insideH w:val="nil"/>
          <w:insideV w:val="nil"/>
        </w:tcBorders>
      </w:tcPr>
    </w:tblStylePr>
    <w:tblStylePr w:type="lastRow">
      <w:pPr>
        <w:spacing w:before="0" w:after="0" w:line="240" w:lineRule="auto"/>
      </w:pPr>
      <w:rPr>
        <w:b/>
        <w:bCs/>
      </w:rPr>
      <w:tblPr/>
      <w:tcPr>
        <w:tcBorders>
          <w:top w:val="single" w:sz="8" w:space="0" w:color="830051" w:themeColor="accent5"/>
          <w:left w:val="nil"/>
          <w:bottom w:val="single" w:sz="8" w:space="0" w:color="83005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1DB" w:themeFill="accent5" w:themeFillTint="3F"/>
      </w:tcPr>
    </w:tblStylePr>
    <w:tblStylePr w:type="band1Horz">
      <w:tblPr/>
      <w:tcPr>
        <w:tcBorders>
          <w:left w:val="nil"/>
          <w:right w:val="nil"/>
          <w:insideH w:val="nil"/>
          <w:insideV w:val="nil"/>
        </w:tcBorders>
        <w:shd w:val="clear" w:color="auto" w:fill="FFA1DB" w:themeFill="accent5" w:themeFillTint="3F"/>
      </w:tcPr>
    </w:tblStylePr>
  </w:style>
  <w:style w:type="paragraph" w:customStyle="1" w:styleId="DecimalAligned">
    <w:name w:val="Decimal Aligned"/>
    <w:basedOn w:val="Normal"/>
    <w:uiPriority w:val="40"/>
    <w:rsid w:val="00553FD5"/>
    <w:pPr>
      <w:tabs>
        <w:tab w:val="decimal" w:pos="360"/>
      </w:tabs>
      <w:spacing w:after="200" w:line="276" w:lineRule="auto"/>
    </w:pPr>
    <w:rPr>
      <w:rFonts w:asciiTheme="minorHAnsi" w:eastAsiaTheme="minorEastAsia" w:hAnsiTheme="minorHAnsi"/>
      <w:color w:val="394A58"/>
      <w:sz w:val="22"/>
      <w:lang w:val="en-US"/>
    </w:rPr>
  </w:style>
  <w:style w:type="character" w:styleId="SubtleEmphasis">
    <w:name w:val="Subtle Emphasis"/>
    <w:basedOn w:val="DefaultParagraphFont"/>
    <w:uiPriority w:val="19"/>
    <w:rsid w:val="00553FD5"/>
    <w:rPr>
      <w:rFonts w:eastAsiaTheme="minorEastAsia" w:cstheme="minorBidi"/>
      <w:bCs w:val="0"/>
      <w:i/>
      <w:iCs/>
      <w:color w:val="808080" w:themeColor="text1" w:themeTint="7F"/>
      <w:szCs w:val="22"/>
      <w:lang w:val="en-US"/>
    </w:rPr>
  </w:style>
  <w:style w:type="table" w:styleId="LightShading-Accent2">
    <w:name w:val="Light Shading Accent 2"/>
    <w:basedOn w:val="TableNormal"/>
    <w:uiPriority w:val="60"/>
    <w:rsid w:val="00553FD5"/>
    <w:pPr>
      <w:spacing w:after="0" w:line="240" w:lineRule="auto"/>
    </w:pPr>
    <w:rPr>
      <w:rFonts w:ascii="Arial" w:eastAsia="Batang" w:hAnsi="Arial" w:cs="Arial"/>
      <w:color w:val="2A3741" w:themeColor="accent2" w:themeShade="BF"/>
      <w:sz w:val="20"/>
      <w:szCs w:val="20"/>
      <w:lang w:eastAsia="en-GB"/>
    </w:rPr>
    <w:tblPr>
      <w:tblStyleRowBandSize w:val="1"/>
      <w:tblStyleColBandSize w:val="1"/>
      <w:tblInd w:w="0" w:type="dxa"/>
      <w:tblBorders>
        <w:top w:val="single" w:sz="8" w:space="0" w:color="394A58" w:themeColor="accent2"/>
        <w:bottom w:val="single" w:sz="8" w:space="0" w:color="394A58"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94A58" w:themeColor="accent2"/>
          <w:left w:val="nil"/>
          <w:bottom w:val="single" w:sz="8" w:space="0" w:color="394A58" w:themeColor="accent2"/>
          <w:right w:val="nil"/>
          <w:insideH w:val="nil"/>
          <w:insideV w:val="nil"/>
        </w:tcBorders>
      </w:tcPr>
    </w:tblStylePr>
    <w:tblStylePr w:type="lastRow">
      <w:pPr>
        <w:spacing w:before="0" w:after="0" w:line="240" w:lineRule="auto"/>
      </w:pPr>
      <w:rPr>
        <w:b/>
        <w:bCs/>
      </w:rPr>
      <w:tblPr/>
      <w:tcPr>
        <w:tcBorders>
          <w:top w:val="single" w:sz="8" w:space="0" w:color="394A58" w:themeColor="accent2"/>
          <w:left w:val="nil"/>
          <w:bottom w:val="single" w:sz="8" w:space="0" w:color="394A5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D2DB" w:themeFill="accent2" w:themeFillTint="3F"/>
      </w:tcPr>
    </w:tblStylePr>
    <w:tblStylePr w:type="band1Horz">
      <w:tblPr/>
      <w:tcPr>
        <w:tcBorders>
          <w:left w:val="nil"/>
          <w:right w:val="nil"/>
          <w:insideH w:val="nil"/>
          <w:insideV w:val="nil"/>
        </w:tcBorders>
        <w:shd w:val="clear" w:color="auto" w:fill="C8D2DB" w:themeFill="accent2" w:themeFillTint="3F"/>
      </w:tcPr>
    </w:tblStylePr>
  </w:style>
  <w:style w:type="paragraph" w:styleId="Bibliography">
    <w:name w:val="Bibliography"/>
    <w:next w:val="BodyText"/>
    <w:uiPriority w:val="37"/>
    <w:rsid w:val="00553FD5"/>
    <w:pPr>
      <w:spacing w:after="0" w:line="240" w:lineRule="auto"/>
    </w:pPr>
    <w:rPr>
      <w:rFonts w:eastAsia="Batang" w:cs="Arial"/>
      <w:color w:val="156570"/>
      <w:sz w:val="20"/>
      <w:szCs w:val="20"/>
      <w:lang w:eastAsia="ko-KR"/>
    </w:rPr>
  </w:style>
  <w:style w:type="numbering" w:customStyle="1" w:styleId="ATKINSNUMBERS">
    <w:name w:val="ATKINS_NUMBERS"/>
    <w:uiPriority w:val="99"/>
    <w:rsid w:val="00553FD5"/>
    <w:pPr>
      <w:numPr>
        <w:numId w:val="50"/>
      </w:numPr>
    </w:pPr>
  </w:style>
  <w:style w:type="paragraph" w:customStyle="1" w:styleId="Sectionintroduction">
    <w:name w:val="Section introduction"/>
    <w:basedOn w:val="Quotelarge0"/>
    <w:link w:val="SectionintroductionChar"/>
    <w:uiPriority w:val="2"/>
    <w:qFormat/>
    <w:rsid w:val="00553FD5"/>
    <w:pPr>
      <w:spacing w:before="1080" w:after="120"/>
    </w:pPr>
    <w:rPr>
      <w:b/>
    </w:rPr>
  </w:style>
  <w:style w:type="character" w:customStyle="1" w:styleId="SectionintroductionChar">
    <w:name w:val="Section introduction Char"/>
    <w:basedOn w:val="QuotelargeChar"/>
    <w:link w:val="Sectionintroduction"/>
    <w:uiPriority w:val="2"/>
    <w:rsid w:val="00553FD5"/>
    <w:rPr>
      <w:rFonts w:ascii="Arial" w:eastAsia="Batang" w:hAnsi="Arial" w:cs="Arial"/>
      <w:b/>
      <w:color w:val="156570"/>
      <w:sz w:val="48"/>
      <w:szCs w:val="20"/>
      <w:lang w:eastAsia="ko-KR"/>
    </w:rPr>
  </w:style>
  <w:style w:type="character" w:styleId="PlaceholderText">
    <w:name w:val="Placeholder Text"/>
    <w:basedOn w:val="DefaultParagraphFont"/>
    <w:uiPriority w:val="99"/>
    <w:semiHidden/>
    <w:rsid w:val="00553FD5"/>
    <w:rPr>
      <w:color w:val="808080"/>
    </w:rPr>
  </w:style>
  <w:style w:type="paragraph" w:customStyle="1" w:styleId="CoverCompanyname">
    <w:name w:val="Cover_Company name"/>
    <w:uiPriority w:val="2"/>
    <w:rsid w:val="00553FD5"/>
    <w:pPr>
      <w:spacing w:after="0" w:line="240" w:lineRule="auto"/>
    </w:pPr>
    <w:rPr>
      <w:rFonts w:ascii="Arial" w:eastAsia="Batang" w:hAnsi="Arial" w:cs="Arial"/>
      <w:color w:val="156570"/>
      <w:sz w:val="48"/>
      <w:szCs w:val="20"/>
      <w:lang w:eastAsia="ko-KR"/>
    </w:rPr>
  </w:style>
  <w:style w:type="paragraph" w:customStyle="1" w:styleId="CoverTitleofdocument">
    <w:name w:val="Cover_Title of document"/>
    <w:uiPriority w:val="2"/>
    <w:rsid w:val="00553FD5"/>
    <w:pPr>
      <w:spacing w:after="0" w:line="240" w:lineRule="auto"/>
    </w:pPr>
    <w:rPr>
      <w:rFonts w:ascii="Arial" w:eastAsia="Batang" w:hAnsi="Arial" w:cs="Arial"/>
      <w:color w:val="156570"/>
      <w:sz w:val="48"/>
      <w:szCs w:val="20"/>
      <w:lang w:eastAsia="ko-KR"/>
    </w:rPr>
  </w:style>
  <w:style w:type="paragraph" w:customStyle="1" w:styleId="CoverTendersubmission">
    <w:name w:val="Cover_Tender submission"/>
    <w:uiPriority w:val="2"/>
    <w:rsid w:val="00553FD5"/>
    <w:pPr>
      <w:spacing w:after="0" w:line="240" w:lineRule="auto"/>
      <w:ind w:left="1021" w:hanging="1021"/>
    </w:pPr>
    <w:rPr>
      <w:rFonts w:ascii="Arial" w:eastAsia="Batang" w:hAnsi="Arial" w:cs="Arial"/>
      <w:b/>
      <w:color w:val="156570"/>
      <w:szCs w:val="20"/>
      <w:lang w:eastAsia="ko-KR"/>
    </w:rPr>
  </w:style>
  <w:style w:type="paragraph" w:customStyle="1" w:styleId="Coverdate">
    <w:name w:val="Cover_date"/>
    <w:uiPriority w:val="2"/>
    <w:rsid w:val="00553FD5"/>
    <w:pPr>
      <w:spacing w:after="0" w:line="240" w:lineRule="auto"/>
      <w:ind w:left="1021" w:hanging="1021"/>
    </w:pPr>
    <w:rPr>
      <w:rFonts w:ascii="Arial" w:eastAsia="Batang" w:hAnsi="Arial" w:cs="Arial"/>
      <w:color w:val="156570"/>
      <w:szCs w:val="20"/>
      <w:lang w:eastAsia="ko-KR"/>
    </w:rPr>
  </w:style>
  <w:style w:type="paragraph" w:customStyle="1" w:styleId="StyleHeading6Left0cmFirstline0cm">
    <w:name w:val="Style Heading 6 + Left:  0 cm First line:  0 cm"/>
    <w:basedOn w:val="Heading6"/>
    <w:uiPriority w:val="2"/>
    <w:rsid w:val="00553FD5"/>
    <w:pPr>
      <w:pageBreakBefore w:val="0"/>
      <w:numPr>
        <w:ilvl w:val="0"/>
        <w:numId w:val="0"/>
      </w:numPr>
      <w:tabs>
        <w:tab w:val="clear" w:pos="2948"/>
      </w:tabs>
      <w:spacing w:before="840" w:after="840"/>
    </w:pPr>
    <w:rPr>
      <w:bCs/>
      <w:iCs w:val="0"/>
      <w:color w:val="394A58"/>
      <w:sz w:val="36"/>
      <w:szCs w:val="20"/>
      <w:lang w:eastAsia="ko-KR"/>
    </w:rPr>
  </w:style>
  <w:style w:type="paragraph" w:customStyle="1" w:styleId="DividerHeader">
    <w:name w:val="Divider Header"/>
    <w:basedOn w:val="Sectionintroduction"/>
    <w:uiPriority w:val="2"/>
    <w:qFormat/>
    <w:rsid w:val="00553FD5"/>
    <w:rPr>
      <w:color w:val="FFFFFF" w:themeColor="background1"/>
    </w:rPr>
  </w:style>
  <w:style w:type="paragraph" w:customStyle="1" w:styleId="Dividersub">
    <w:name w:val="Divider sub"/>
    <w:basedOn w:val="Quotelarge0"/>
    <w:uiPriority w:val="2"/>
    <w:rsid w:val="00553FD5"/>
    <w:rPr>
      <w:color w:val="FFFFFF" w:themeColor="background1"/>
    </w:rPr>
  </w:style>
  <w:style w:type="paragraph" w:customStyle="1" w:styleId="Chapterbreaktext">
    <w:name w:val="Chapter break text"/>
    <w:basedOn w:val="Quotelarge0"/>
    <w:link w:val="ChapterbreaktextChar"/>
    <w:uiPriority w:val="2"/>
    <w:qFormat/>
    <w:rsid w:val="00553FD5"/>
    <w:pPr>
      <w:spacing w:before="1080" w:after="120"/>
    </w:pPr>
    <w:rPr>
      <w:b/>
    </w:rPr>
  </w:style>
  <w:style w:type="character" w:customStyle="1" w:styleId="ChapterbreaktextChar">
    <w:name w:val="Chapter break text Char"/>
    <w:basedOn w:val="QuotelargeChar"/>
    <w:link w:val="Chapterbreaktext"/>
    <w:uiPriority w:val="2"/>
    <w:rsid w:val="00553FD5"/>
    <w:rPr>
      <w:rFonts w:ascii="Arial" w:eastAsia="Batang" w:hAnsi="Arial" w:cs="Arial"/>
      <w:b/>
      <w:color w:val="156570"/>
      <w:sz w:val="48"/>
      <w:szCs w:val="20"/>
      <w:lang w:eastAsia="ko-KR"/>
    </w:rPr>
  </w:style>
  <w:style w:type="numbering" w:customStyle="1" w:styleId="Atkinsbullets">
    <w:name w:val="Atkins_bullets"/>
    <w:uiPriority w:val="99"/>
    <w:rsid w:val="00553FD5"/>
    <w:pPr>
      <w:numPr>
        <w:numId w:val="51"/>
      </w:numPr>
    </w:pPr>
  </w:style>
  <w:style w:type="character" w:customStyle="1" w:styleId="Heading1Char1">
    <w:name w:val="Heading 1 Char1"/>
    <w:aliases w:val="Heading 1 Char Char Char,Heading 1 Char Char1,ERA Section Heading Char1,Section Header Char1,h1 Char,1 Char1,1 Char Char,Heading 1 Char2 Char,ERA Section Heading Char Char,Section Header Char Char,h1 Char2 Char,Heading 1 Char1 Char Char"/>
    <w:basedOn w:val="DefaultParagraphFont"/>
    <w:rsid w:val="00553FD5"/>
    <w:rPr>
      <w:rFonts w:eastAsia="Times New Roman" w:cs="Times New Roman"/>
      <w:b/>
      <w:bCs/>
      <w:caps/>
      <w:kern w:val="28"/>
      <w:sz w:val="28"/>
      <w:szCs w:val="30"/>
      <w:lang w:eastAsia="zh-CN"/>
    </w:rPr>
  </w:style>
  <w:style w:type="paragraph" w:customStyle="1" w:styleId="DefaultParagraphFont11">
    <w:name w:val="Default Paragraph Font11"/>
    <w:aliases w:val="Default Paragraph Font Para Char Char"/>
    <w:basedOn w:val="Normal"/>
    <w:rsid w:val="00553FD5"/>
    <w:pPr>
      <w:tabs>
        <w:tab w:val="left" w:pos="1425"/>
      </w:tabs>
      <w:spacing w:after="0"/>
      <w:ind w:right="53"/>
      <w:jc w:val="both"/>
    </w:pPr>
    <w:rPr>
      <w:rFonts w:eastAsia="SimSun" w:cs="Times New Roman"/>
      <w:color w:val="FF6600"/>
      <w:sz w:val="22"/>
      <w:szCs w:val="16"/>
      <w:lang w:eastAsia="zh-CN"/>
    </w:rPr>
  </w:style>
  <w:style w:type="paragraph" w:customStyle="1" w:styleId="Level2">
    <w:name w:val="Level2"/>
    <w:basedOn w:val="Normal"/>
    <w:next w:val="Heading2"/>
    <w:link w:val="Level2Char"/>
    <w:rsid w:val="00553FD5"/>
    <w:pPr>
      <w:keepNext/>
      <w:spacing w:before="120"/>
      <w:ind w:left="720"/>
      <w:jc w:val="both"/>
    </w:pPr>
    <w:rPr>
      <w:rFonts w:eastAsia="Times New Roman" w:cs="Times New Roman"/>
      <w:b/>
      <w:bCs/>
      <w:caps/>
      <w:color w:val="auto"/>
      <w:sz w:val="22"/>
      <w:szCs w:val="24"/>
      <w:lang w:eastAsia="zh-CN"/>
    </w:rPr>
  </w:style>
  <w:style w:type="character" w:customStyle="1" w:styleId="Level2Char">
    <w:name w:val="Level2 Char"/>
    <w:basedOn w:val="DefaultParagraphFont"/>
    <w:link w:val="Level2"/>
    <w:rsid w:val="00553FD5"/>
    <w:rPr>
      <w:rFonts w:ascii="Arial" w:eastAsia="Times New Roman" w:hAnsi="Arial" w:cs="Times New Roman"/>
      <w:b/>
      <w:bCs/>
      <w:caps/>
      <w:szCs w:val="24"/>
      <w:lang w:eastAsia="zh-CN"/>
    </w:rPr>
  </w:style>
  <w:style w:type="paragraph" w:customStyle="1" w:styleId="Level3">
    <w:name w:val="Level3"/>
    <w:basedOn w:val="Level2"/>
    <w:next w:val="Heading2"/>
    <w:link w:val="Level3Char"/>
    <w:rsid w:val="00553FD5"/>
    <w:rPr>
      <w:caps w:val="0"/>
    </w:rPr>
  </w:style>
  <w:style w:type="character" w:customStyle="1" w:styleId="Level3Char">
    <w:name w:val="Level3 Char"/>
    <w:basedOn w:val="Level2Char"/>
    <w:link w:val="Level3"/>
    <w:rsid w:val="00553FD5"/>
    <w:rPr>
      <w:rFonts w:ascii="Arial" w:eastAsia="Times New Roman" w:hAnsi="Arial" w:cs="Times New Roman"/>
      <w:b/>
      <w:bCs/>
      <w:caps/>
      <w:szCs w:val="24"/>
      <w:lang w:eastAsia="zh-CN"/>
    </w:rPr>
  </w:style>
  <w:style w:type="paragraph" w:customStyle="1" w:styleId="TableText0">
    <w:name w:val="Table Text"/>
    <w:basedOn w:val="Normal"/>
    <w:rsid w:val="00553FD5"/>
    <w:pPr>
      <w:spacing w:before="80" w:after="80"/>
    </w:pPr>
    <w:rPr>
      <w:rFonts w:eastAsia="Times New Roman" w:cs="Times New Roman"/>
      <w:color w:val="auto"/>
      <w:szCs w:val="20"/>
      <w:lang w:eastAsia="zh-CN"/>
    </w:rPr>
  </w:style>
  <w:style w:type="paragraph" w:customStyle="1" w:styleId="EXEC">
    <w:name w:val="EXEC"/>
    <w:basedOn w:val="Normal"/>
    <w:next w:val="level6"/>
    <w:rsid w:val="00553FD5"/>
    <w:pPr>
      <w:keepNext/>
      <w:spacing w:before="1120" w:after="900" w:line="288" w:lineRule="auto"/>
      <w:jc w:val="both"/>
    </w:pPr>
    <w:rPr>
      <w:rFonts w:eastAsia="Times New Roman" w:cs="Times New Roman"/>
      <w:b/>
      <w:bCs/>
      <w:color w:val="auto"/>
      <w:sz w:val="28"/>
      <w:szCs w:val="30"/>
      <w:lang w:eastAsia="zh-CN"/>
    </w:rPr>
  </w:style>
  <w:style w:type="paragraph" w:customStyle="1" w:styleId="level6">
    <w:name w:val="level6"/>
    <w:basedOn w:val="Normal"/>
    <w:rsid w:val="00553FD5"/>
    <w:pPr>
      <w:spacing w:before="120" w:line="288" w:lineRule="auto"/>
      <w:jc w:val="both"/>
    </w:pPr>
    <w:rPr>
      <w:rFonts w:eastAsia="Times New Roman" w:cs="Times New Roman"/>
      <w:color w:val="auto"/>
      <w:sz w:val="22"/>
      <w:szCs w:val="24"/>
      <w:lang w:eastAsia="zh-CN"/>
    </w:rPr>
  </w:style>
  <w:style w:type="paragraph" w:styleId="Index1">
    <w:name w:val="index 1"/>
    <w:basedOn w:val="Normal"/>
    <w:next w:val="Normal"/>
    <w:semiHidden/>
    <w:rsid w:val="00553FD5"/>
    <w:pPr>
      <w:tabs>
        <w:tab w:val="right" w:leader="dot" w:pos="8313"/>
      </w:tabs>
      <w:spacing w:before="120" w:after="120"/>
      <w:ind w:left="240" w:hanging="240"/>
      <w:jc w:val="both"/>
    </w:pPr>
    <w:rPr>
      <w:rFonts w:eastAsia="Times New Roman" w:cs="Times New Roman"/>
      <w:color w:val="auto"/>
      <w:sz w:val="22"/>
      <w:szCs w:val="24"/>
      <w:lang w:eastAsia="zh-CN"/>
    </w:rPr>
  </w:style>
  <w:style w:type="paragraph" w:styleId="IndexHeading">
    <w:name w:val="index heading"/>
    <w:basedOn w:val="Normal"/>
    <w:next w:val="Index1"/>
    <w:semiHidden/>
    <w:rsid w:val="00553FD5"/>
    <w:pPr>
      <w:spacing w:before="120" w:after="120"/>
      <w:jc w:val="both"/>
    </w:pPr>
    <w:rPr>
      <w:rFonts w:eastAsia="Times New Roman" w:cs="Times New Roman"/>
      <w:color w:val="auto"/>
      <w:sz w:val="22"/>
      <w:szCs w:val="24"/>
      <w:lang w:eastAsia="zh-CN"/>
    </w:rPr>
  </w:style>
  <w:style w:type="paragraph" w:customStyle="1" w:styleId="Level4">
    <w:name w:val="Level4"/>
    <w:basedOn w:val="Normal"/>
    <w:next w:val="Heading2"/>
    <w:link w:val="Level4Char"/>
    <w:rsid w:val="00553FD5"/>
    <w:pPr>
      <w:keepNext/>
      <w:numPr>
        <w:numId w:val="54"/>
      </w:numPr>
      <w:tabs>
        <w:tab w:val="clear" w:pos="720"/>
      </w:tabs>
      <w:spacing w:before="120" w:line="288" w:lineRule="auto"/>
      <w:ind w:firstLine="0"/>
      <w:jc w:val="both"/>
    </w:pPr>
    <w:rPr>
      <w:rFonts w:eastAsia="Times New Roman" w:cs="Times New Roman"/>
      <w:i/>
      <w:iCs/>
      <w:color w:val="auto"/>
      <w:sz w:val="22"/>
      <w:szCs w:val="24"/>
      <w:lang w:eastAsia="zh-CN"/>
    </w:rPr>
  </w:style>
  <w:style w:type="character" w:customStyle="1" w:styleId="Level4Char">
    <w:name w:val="Level4 Char"/>
    <w:basedOn w:val="DefaultParagraphFont"/>
    <w:link w:val="Level4"/>
    <w:rsid w:val="00553FD5"/>
    <w:rPr>
      <w:rFonts w:ascii="Arial" w:eastAsia="Times New Roman" w:hAnsi="Arial" w:cs="Times New Roman"/>
      <w:i/>
      <w:iCs/>
      <w:szCs w:val="24"/>
      <w:lang w:eastAsia="zh-CN"/>
    </w:rPr>
  </w:style>
  <w:style w:type="paragraph" w:customStyle="1" w:styleId="Level5">
    <w:name w:val="Level5"/>
    <w:basedOn w:val="Normal"/>
    <w:link w:val="Level5Char"/>
    <w:rsid w:val="00553FD5"/>
    <w:pPr>
      <w:numPr>
        <w:numId w:val="52"/>
      </w:numPr>
      <w:tabs>
        <w:tab w:val="left" w:pos="1440"/>
      </w:tabs>
      <w:spacing w:before="120" w:after="180" w:line="288" w:lineRule="auto"/>
      <w:jc w:val="both"/>
    </w:pPr>
    <w:rPr>
      <w:rFonts w:eastAsia="Times New Roman" w:cs="Times New Roman"/>
      <w:color w:val="auto"/>
      <w:sz w:val="22"/>
      <w:szCs w:val="24"/>
      <w:lang w:eastAsia="zh-CN"/>
    </w:rPr>
  </w:style>
  <w:style w:type="character" w:customStyle="1" w:styleId="Level5Char">
    <w:name w:val="Level5 Char"/>
    <w:basedOn w:val="DefaultParagraphFont"/>
    <w:link w:val="Level5"/>
    <w:rsid w:val="00553FD5"/>
    <w:rPr>
      <w:rFonts w:ascii="Arial" w:eastAsia="Times New Roman" w:hAnsi="Arial" w:cs="Times New Roman"/>
      <w:szCs w:val="24"/>
      <w:lang w:eastAsia="zh-CN"/>
    </w:rPr>
  </w:style>
  <w:style w:type="paragraph" w:customStyle="1" w:styleId="Level7">
    <w:name w:val="Level7"/>
    <w:basedOn w:val="Normal"/>
    <w:rsid w:val="00553FD5"/>
    <w:pPr>
      <w:numPr>
        <w:numId w:val="45"/>
      </w:numPr>
      <w:spacing w:before="120" w:after="120" w:line="288" w:lineRule="auto"/>
      <w:ind w:left="2160"/>
      <w:jc w:val="both"/>
    </w:pPr>
    <w:rPr>
      <w:rFonts w:eastAsia="Times New Roman" w:cs="Times New Roman"/>
      <w:color w:val="auto"/>
      <w:sz w:val="22"/>
      <w:szCs w:val="24"/>
      <w:lang w:eastAsia="zh-CN"/>
    </w:rPr>
  </w:style>
  <w:style w:type="paragraph" w:customStyle="1" w:styleId="level8">
    <w:name w:val="level8"/>
    <w:basedOn w:val="Normal"/>
    <w:rsid w:val="00553FD5"/>
    <w:pPr>
      <w:numPr>
        <w:numId w:val="46"/>
      </w:numPr>
      <w:spacing w:before="120" w:after="120" w:line="288" w:lineRule="auto"/>
      <w:jc w:val="both"/>
    </w:pPr>
    <w:rPr>
      <w:rFonts w:eastAsia="Times New Roman" w:cs="Times New Roman"/>
      <w:color w:val="auto"/>
      <w:sz w:val="22"/>
      <w:szCs w:val="24"/>
      <w:lang w:eastAsia="zh-CN"/>
    </w:rPr>
  </w:style>
  <w:style w:type="character" w:styleId="PageNumber">
    <w:name w:val="page number"/>
    <w:basedOn w:val="DefaultParagraphFont"/>
    <w:rsid w:val="00553FD5"/>
    <w:rPr>
      <w:rFonts w:ascii="Arial" w:hAnsi="Arial"/>
      <w:sz w:val="22"/>
      <w:szCs w:val="22"/>
    </w:rPr>
  </w:style>
  <w:style w:type="paragraph" w:styleId="TOC7">
    <w:name w:val="toc 7"/>
    <w:basedOn w:val="Normal"/>
    <w:next w:val="Normal"/>
    <w:semiHidden/>
    <w:rsid w:val="00553FD5"/>
    <w:pPr>
      <w:tabs>
        <w:tab w:val="right" w:pos="9029"/>
      </w:tabs>
      <w:spacing w:after="0"/>
      <w:ind w:left="1440"/>
      <w:jc w:val="both"/>
    </w:pPr>
    <w:rPr>
      <w:rFonts w:eastAsia="Times New Roman" w:cs="Times New Roman"/>
      <w:color w:val="auto"/>
      <w:sz w:val="22"/>
      <w:szCs w:val="24"/>
      <w:lang w:eastAsia="zh-CN"/>
    </w:rPr>
  </w:style>
  <w:style w:type="paragraph" w:styleId="TOC8">
    <w:name w:val="toc 8"/>
    <w:basedOn w:val="Normal"/>
    <w:next w:val="Normal"/>
    <w:semiHidden/>
    <w:rsid w:val="00553FD5"/>
    <w:pPr>
      <w:numPr>
        <w:numId w:val="53"/>
      </w:numPr>
      <w:tabs>
        <w:tab w:val="clear" w:pos="1440"/>
        <w:tab w:val="right" w:pos="9029"/>
      </w:tabs>
      <w:spacing w:after="0"/>
      <w:ind w:left="1680" w:firstLine="0"/>
      <w:jc w:val="both"/>
    </w:pPr>
    <w:rPr>
      <w:rFonts w:eastAsia="Times New Roman" w:cs="Times New Roman"/>
      <w:color w:val="auto"/>
      <w:sz w:val="22"/>
      <w:szCs w:val="24"/>
      <w:lang w:eastAsia="zh-CN"/>
    </w:rPr>
  </w:style>
  <w:style w:type="paragraph" w:styleId="TOC9">
    <w:name w:val="toc 9"/>
    <w:basedOn w:val="Normal"/>
    <w:next w:val="Normal"/>
    <w:semiHidden/>
    <w:rsid w:val="00553FD5"/>
    <w:pPr>
      <w:tabs>
        <w:tab w:val="right" w:pos="9029"/>
      </w:tabs>
      <w:spacing w:after="0"/>
      <w:ind w:left="1920"/>
      <w:jc w:val="both"/>
    </w:pPr>
    <w:rPr>
      <w:rFonts w:eastAsia="Times New Roman" w:cs="Times New Roman"/>
      <w:color w:val="auto"/>
      <w:sz w:val="22"/>
      <w:szCs w:val="24"/>
      <w:lang w:eastAsia="zh-CN"/>
    </w:rPr>
  </w:style>
  <w:style w:type="paragraph" w:customStyle="1" w:styleId="level9">
    <w:name w:val="level9"/>
    <w:basedOn w:val="Normal"/>
    <w:rsid w:val="00553FD5"/>
    <w:pPr>
      <w:tabs>
        <w:tab w:val="num" w:pos="454"/>
      </w:tabs>
      <w:spacing w:before="120" w:after="120" w:line="288" w:lineRule="auto"/>
      <w:ind w:left="454" w:hanging="454"/>
      <w:jc w:val="both"/>
      <w:outlineLvl w:val="8"/>
    </w:pPr>
    <w:rPr>
      <w:rFonts w:eastAsia="Times New Roman" w:cs="Times New Roman"/>
      <w:color w:val="auto"/>
      <w:sz w:val="22"/>
      <w:szCs w:val="24"/>
      <w:lang w:eastAsia="zh-CN"/>
    </w:rPr>
  </w:style>
  <w:style w:type="paragraph" w:customStyle="1" w:styleId="GVAbodytext">
    <w:name w:val="GVA body text"/>
    <w:link w:val="GVAbodytextChar"/>
    <w:rsid w:val="00CE4C29"/>
    <w:pPr>
      <w:spacing w:after="240" w:line="300" w:lineRule="auto"/>
    </w:pPr>
    <w:rPr>
      <w:rFonts w:ascii="Century Gothic" w:eastAsia="Times New Roman" w:hAnsi="Century Gothic" w:cs="Times New Roman"/>
      <w:sz w:val="20"/>
      <w:szCs w:val="20"/>
    </w:rPr>
  </w:style>
  <w:style w:type="character" w:customStyle="1" w:styleId="GVAbodytextChar">
    <w:name w:val="GVA body text Char"/>
    <w:link w:val="GVAbodytext"/>
    <w:locked/>
    <w:rsid w:val="00CE4C29"/>
    <w:rPr>
      <w:rFonts w:ascii="Century Gothic" w:eastAsia="Times New Roman" w:hAnsi="Century Gothic" w:cs="Times New Roman"/>
      <w:sz w:val="20"/>
      <w:szCs w:val="20"/>
    </w:rPr>
  </w:style>
  <w:style w:type="paragraph" w:customStyle="1" w:styleId="03HeaderMainBody">
    <w:name w:val="03 Header Main Body"/>
    <w:basedOn w:val="Normal"/>
    <w:next w:val="Normal"/>
    <w:rsid w:val="00CE4C29"/>
    <w:pPr>
      <w:numPr>
        <w:numId w:val="62"/>
      </w:numPr>
      <w:spacing w:before="240" w:line="300" w:lineRule="auto"/>
    </w:pPr>
    <w:rPr>
      <w:rFonts w:ascii="Century Gothic" w:eastAsia="Times New Roman" w:hAnsi="Century Gothic" w:cs="Times New Roman"/>
      <w:b/>
      <w:bCs/>
      <w:color w:val="006685"/>
      <w:sz w:val="36"/>
      <w:szCs w:val="36"/>
    </w:rPr>
  </w:style>
  <w:style w:type="paragraph" w:customStyle="1" w:styleId="04NumberedBodyTextCenturyGothic">
    <w:name w:val="04 Numbered Body Text + Century Gothic"/>
    <w:basedOn w:val="Normal"/>
    <w:link w:val="04NumberedBodyTextCenturyGothicChar"/>
    <w:rsid w:val="00CE4C29"/>
    <w:pPr>
      <w:numPr>
        <w:ilvl w:val="1"/>
        <w:numId w:val="62"/>
      </w:numPr>
      <w:spacing w:line="300" w:lineRule="auto"/>
    </w:pPr>
    <w:rPr>
      <w:rFonts w:ascii="Century Gothic" w:eastAsia="Times New Roman" w:hAnsi="Century Gothic" w:cs="Times New Roman"/>
      <w:color w:val="auto"/>
      <w:szCs w:val="20"/>
    </w:rPr>
  </w:style>
  <w:style w:type="character" w:customStyle="1" w:styleId="04NumberedBodyTextCenturyGothicChar">
    <w:name w:val="04 Numbered Body Text + Century Gothic Char"/>
    <w:link w:val="04NumberedBodyTextCenturyGothic"/>
    <w:locked/>
    <w:rsid w:val="00CE4C29"/>
    <w:rPr>
      <w:rFonts w:ascii="Century Gothic" w:eastAsia="Times New Roman" w:hAnsi="Century Gothic" w:cs="Times New Roman"/>
      <w:sz w:val="20"/>
      <w:szCs w:val="20"/>
    </w:rPr>
  </w:style>
  <w:style w:type="paragraph" w:customStyle="1" w:styleId="GVABullets">
    <w:name w:val="GVA Bullets"/>
    <w:link w:val="GVABulletsCharChar"/>
    <w:autoRedefine/>
    <w:qFormat/>
    <w:rsid w:val="005E16CD"/>
    <w:pPr>
      <w:numPr>
        <w:numId w:val="63"/>
      </w:numPr>
      <w:spacing w:after="120" w:line="360" w:lineRule="auto"/>
      <w:jc w:val="both"/>
    </w:pPr>
    <w:rPr>
      <w:rFonts w:ascii="Century Gothic" w:eastAsia="Times New Roman" w:hAnsi="Century Gothic" w:cs="Times New Roman"/>
      <w:color w:val="8A2529"/>
      <w:sz w:val="20"/>
      <w:szCs w:val="20"/>
    </w:rPr>
  </w:style>
  <w:style w:type="character" w:customStyle="1" w:styleId="GVABulletsCharChar">
    <w:name w:val="GVA Bullets Char Char"/>
    <w:link w:val="GVABullets"/>
    <w:rsid w:val="005E16CD"/>
    <w:rPr>
      <w:rFonts w:ascii="Century Gothic" w:eastAsia="Times New Roman" w:hAnsi="Century Gothic" w:cs="Times New Roman"/>
      <w:color w:val="8A2529"/>
      <w:sz w:val="20"/>
      <w:szCs w:val="20"/>
    </w:rPr>
  </w:style>
  <w:style w:type="paragraph" w:styleId="Revision">
    <w:name w:val="Revision"/>
    <w:hidden/>
    <w:uiPriority w:val="99"/>
    <w:semiHidden/>
    <w:rsid w:val="00F66D4C"/>
    <w:pPr>
      <w:spacing w:after="0" w:line="240" w:lineRule="auto"/>
    </w:pPr>
    <w:rPr>
      <w:rFonts w:ascii="Arial" w:hAnsi="Arial"/>
      <w:color w:val="394A58" w:themeColor="text2"/>
      <w:sz w:val="20"/>
    </w:rPr>
  </w:style>
  <w:style w:type="paragraph" w:styleId="DocumentMap">
    <w:name w:val="Document Map"/>
    <w:basedOn w:val="Normal"/>
    <w:link w:val="DocumentMapChar"/>
    <w:uiPriority w:val="99"/>
    <w:semiHidden/>
    <w:unhideWhenUsed/>
    <w:rsid w:val="00DC726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DC7266"/>
    <w:rPr>
      <w:rFonts w:ascii="Tahoma" w:hAnsi="Tahoma" w:cs="Tahoma"/>
      <w:color w:val="394A58" w:themeColor="text2"/>
      <w:sz w:val="16"/>
      <w:szCs w:val="16"/>
    </w:rPr>
  </w:style>
  <w:style w:type="paragraph" w:customStyle="1" w:styleId="DefaultParagraphFontParaChar">
    <w:name w:val="Default Paragraph Font Para Char"/>
    <w:basedOn w:val="Normal"/>
    <w:rsid w:val="008D13BD"/>
    <w:pPr>
      <w:spacing w:before="120" w:after="120"/>
    </w:pPr>
    <w:rPr>
      <w:rFonts w:eastAsia="SimSun" w:cs="Times New Roman"/>
      <w:color w:val="auto"/>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index heading" w:uiPriority="0"/>
    <w:lsdException w:name="caption" w:uiPriority="35" w:qFormat="1"/>
    <w:lsdException w:name="page number" w:uiPriority="0"/>
    <w:lsdException w:name="List Bullet" w:qFormat="1"/>
    <w:lsdException w:name="List Number" w:qFormat="1"/>
    <w:lsdException w:name="List Bullet 2" w:uiPriority="2"/>
    <w:lsdException w:name="Title" w:semiHidden="0" w:uiPriority="29" w:unhideWhenUsed="0" w:qFormat="1"/>
    <w:lsdException w:name="Default Paragraph Font" w:uiPriority="1"/>
    <w:lsdException w:name="Body Text" w:uiPriority="0" w:qFormat="1"/>
    <w:lsdException w:name="Subtitle" w:uiPriority="29" w:unhideWhenUsed="0" w:qFormat="1"/>
    <w:lsdException w:name="Strong" w:semiHidden="0" w:uiPriority="22" w:unhideWhenUsed="0" w:qFormat="1"/>
    <w:lsdException w:name="Emphasis" w:semiHidden="0" w:uiPriority="20" w:unhideWhenUsed="0" w:qFormat="1"/>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BB8"/>
    <w:pPr>
      <w:spacing w:after="240" w:line="240" w:lineRule="auto"/>
    </w:pPr>
    <w:rPr>
      <w:rFonts w:ascii="Arial" w:hAnsi="Arial"/>
      <w:color w:val="394A58" w:themeColor="text2"/>
      <w:sz w:val="20"/>
    </w:rPr>
  </w:style>
  <w:style w:type="paragraph" w:styleId="Heading1">
    <w:name w:val="heading 1"/>
    <w:aliases w:val="Heading 1 Char Char,ERA Section Heading,Section Header,h1,1,1 Char,Heading 1 Char2,ERA Section Heading Char,Section Header Char,h1 Char2,Heading 1 Char1 Char,ERA Section Heading Char Char Char,Section Header Char Char Char,Chapter Heading"/>
    <w:basedOn w:val="Normal"/>
    <w:next w:val="Heading2"/>
    <w:link w:val="Heading1Char"/>
    <w:qFormat/>
    <w:rsid w:val="00894CD3"/>
    <w:pPr>
      <w:keepNext/>
      <w:keepLines/>
      <w:numPr>
        <w:numId w:val="10"/>
      </w:numPr>
      <w:spacing w:after="360"/>
      <w:outlineLvl w:val="0"/>
    </w:pPr>
    <w:rPr>
      <w:rFonts w:eastAsia="Times New Roman" w:cs="Times New Roman"/>
      <w:b/>
      <w:bCs/>
      <w:color w:val="394A58" w:themeColor="accent2"/>
      <w:sz w:val="48"/>
      <w:szCs w:val="28"/>
    </w:rPr>
  </w:style>
  <w:style w:type="paragraph" w:styleId="Heading2">
    <w:name w:val="heading 2"/>
    <w:aliases w:val="Heading 2 Char Char Char,Heading 2 Char Char Char Char Char,Heading 2 Char Char,Heading 2 Char Char Char Char Char Char Char Char Char Char,Heading 2 Char Char Char Char Char Char Char Char Char Char Char Char Char Char, Char Char Char, Char"/>
    <w:basedOn w:val="Normal"/>
    <w:link w:val="Heading2Char"/>
    <w:uiPriority w:val="99"/>
    <w:unhideWhenUsed/>
    <w:qFormat/>
    <w:rsid w:val="0011708A"/>
    <w:pPr>
      <w:keepNext/>
      <w:keepLines/>
      <w:numPr>
        <w:ilvl w:val="1"/>
        <w:numId w:val="10"/>
      </w:numPr>
      <w:spacing w:before="360" w:after="40"/>
      <w:outlineLvl w:val="1"/>
    </w:pPr>
    <w:rPr>
      <w:rFonts w:eastAsia="Times New Roman" w:cs="Times New Roman"/>
      <w:b/>
      <w:bCs/>
      <w:color w:val="156570" w:themeColor="background2"/>
      <w:sz w:val="30"/>
      <w:szCs w:val="26"/>
    </w:rPr>
  </w:style>
  <w:style w:type="paragraph" w:styleId="Heading3">
    <w:name w:val="heading 3"/>
    <w:aliases w:val="Heading 3 Char Char Char Char,Heading 3 Char Char Char Char Char,Heading 3 Char Char Char"/>
    <w:basedOn w:val="Normal"/>
    <w:link w:val="Heading3Char"/>
    <w:uiPriority w:val="99"/>
    <w:unhideWhenUsed/>
    <w:qFormat/>
    <w:rsid w:val="0011708A"/>
    <w:pPr>
      <w:keepNext/>
      <w:keepLines/>
      <w:numPr>
        <w:ilvl w:val="2"/>
        <w:numId w:val="10"/>
      </w:numPr>
      <w:spacing w:before="240" w:after="40"/>
      <w:outlineLvl w:val="2"/>
    </w:pPr>
    <w:rPr>
      <w:rFonts w:eastAsia="Times New Roman" w:cs="Times New Roman"/>
      <w:b/>
      <w:bCs/>
      <w:color w:val="156570" w:themeColor="background2"/>
      <w:sz w:val="26"/>
    </w:rPr>
  </w:style>
  <w:style w:type="paragraph" w:styleId="Heading4">
    <w:name w:val="heading 4"/>
    <w:basedOn w:val="Normal"/>
    <w:link w:val="Heading4Char"/>
    <w:uiPriority w:val="99"/>
    <w:unhideWhenUsed/>
    <w:qFormat/>
    <w:rsid w:val="0011708A"/>
    <w:pPr>
      <w:keepNext/>
      <w:keepLines/>
      <w:numPr>
        <w:ilvl w:val="3"/>
        <w:numId w:val="10"/>
      </w:numPr>
      <w:spacing w:before="240" w:after="40"/>
      <w:outlineLvl w:val="3"/>
    </w:pPr>
    <w:rPr>
      <w:rFonts w:eastAsia="Times New Roman" w:cs="Times New Roman"/>
      <w:b/>
      <w:bCs/>
      <w:iCs/>
      <w:color w:val="156570" w:themeColor="background2"/>
      <w:sz w:val="22"/>
    </w:rPr>
  </w:style>
  <w:style w:type="paragraph" w:styleId="Heading5">
    <w:name w:val="heading 5"/>
    <w:aliases w:val="Paragraph Text,Lower Case,Bold &amp; Italic,paragraph Char,Lower Case Char,Bold &amp; Italic Char,paragraph,Heading 5 Char1,Lower Case Char1,Bold &amp; Italic Char1,paragraph Char Char Char,Heading 5 Char Char Char Char,Heading 51 Char Cha"/>
    <w:basedOn w:val="Normal"/>
    <w:link w:val="Heading5Char"/>
    <w:uiPriority w:val="99"/>
    <w:unhideWhenUsed/>
    <w:qFormat/>
    <w:rsid w:val="0011708A"/>
    <w:pPr>
      <w:keepNext/>
      <w:keepLines/>
      <w:numPr>
        <w:ilvl w:val="4"/>
        <w:numId w:val="10"/>
      </w:numPr>
      <w:spacing w:before="240" w:after="40"/>
      <w:outlineLvl w:val="4"/>
    </w:pPr>
    <w:rPr>
      <w:rFonts w:eastAsia="Times New Roman" w:cs="Times New Roman"/>
      <w:b/>
      <w:color w:val="156570" w:themeColor="background2"/>
      <w:sz w:val="22"/>
    </w:rPr>
  </w:style>
  <w:style w:type="paragraph" w:styleId="Heading6">
    <w:name w:val="heading 6"/>
    <w:aliases w:val="level 1 bullet 1,level 1 bullet Char,level 1 bullet Char Char Char,level 1 bullet,level 1 bullet 1 Char Char Char,level 1 bullet 1 Char Char Char Char Char Char Char,level 1 bullet 1 Char Char Char Char Char Char Char Cha,Heading 61"/>
    <w:basedOn w:val="Normal"/>
    <w:next w:val="Heading7"/>
    <w:link w:val="Heading6Char"/>
    <w:uiPriority w:val="99"/>
    <w:unhideWhenUsed/>
    <w:qFormat/>
    <w:rsid w:val="00CE7965"/>
    <w:pPr>
      <w:keepNext/>
      <w:keepLines/>
      <w:pageBreakBefore/>
      <w:numPr>
        <w:ilvl w:val="5"/>
        <w:numId w:val="10"/>
      </w:numPr>
      <w:tabs>
        <w:tab w:val="left" w:pos="2948"/>
      </w:tabs>
      <w:spacing w:after="360"/>
      <w:outlineLvl w:val="5"/>
    </w:pPr>
    <w:rPr>
      <w:rFonts w:eastAsia="Times New Roman" w:cs="Times New Roman"/>
      <w:b/>
      <w:iCs/>
      <w:color w:val="394A58" w:themeColor="accent2"/>
      <w:sz w:val="48"/>
    </w:rPr>
  </w:style>
  <w:style w:type="paragraph" w:styleId="Heading7">
    <w:name w:val="heading 7"/>
    <w:basedOn w:val="Normal"/>
    <w:link w:val="Heading7Char"/>
    <w:uiPriority w:val="99"/>
    <w:unhideWhenUsed/>
    <w:qFormat/>
    <w:rsid w:val="0011708A"/>
    <w:pPr>
      <w:keepNext/>
      <w:keepLines/>
      <w:numPr>
        <w:ilvl w:val="6"/>
        <w:numId w:val="10"/>
      </w:numPr>
      <w:spacing w:before="360" w:after="40"/>
      <w:outlineLvl w:val="6"/>
    </w:pPr>
    <w:rPr>
      <w:rFonts w:eastAsia="Times New Roman" w:cs="Times New Roman"/>
      <w:b/>
      <w:iCs/>
      <w:color w:val="156570" w:themeColor="background2"/>
      <w:sz w:val="30"/>
    </w:rPr>
  </w:style>
  <w:style w:type="paragraph" w:styleId="Heading8">
    <w:name w:val="heading 8"/>
    <w:aliases w:val="Bullet 3"/>
    <w:basedOn w:val="Normal"/>
    <w:link w:val="Heading8Char"/>
    <w:uiPriority w:val="99"/>
    <w:unhideWhenUsed/>
    <w:qFormat/>
    <w:rsid w:val="0011708A"/>
    <w:pPr>
      <w:keepNext/>
      <w:keepLines/>
      <w:numPr>
        <w:ilvl w:val="7"/>
        <w:numId w:val="10"/>
      </w:numPr>
      <w:spacing w:before="240" w:after="40"/>
      <w:outlineLvl w:val="7"/>
    </w:pPr>
    <w:rPr>
      <w:rFonts w:eastAsia="Times New Roman" w:cs="Times New Roman"/>
      <w:b/>
      <w:color w:val="156570" w:themeColor="background2"/>
      <w:sz w:val="26"/>
      <w:szCs w:val="20"/>
    </w:rPr>
  </w:style>
  <w:style w:type="paragraph" w:styleId="Heading9">
    <w:name w:val="heading 9"/>
    <w:basedOn w:val="Normal"/>
    <w:link w:val="Heading9Char"/>
    <w:uiPriority w:val="99"/>
    <w:unhideWhenUsed/>
    <w:qFormat/>
    <w:rsid w:val="0011708A"/>
    <w:pPr>
      <w:keepNext/>
      <w:keepLines/>
      <w:numPr>
        <w:ilvl w:val="8"/>
        <w:numId w:val="10"/>
      </w:numPr>
      <w:spacing w:before="240" w:after="40"/>
      <w:outlineLvl w:val="8"/>
    </w:pPr>
    <w:rPr>
      <w:rFonts w:eastAsia="Times New Roman" w:cs="Times New Roman"/>
      <w:b/>
      <w:iCs/>
      <w:color w:val="156570" w:themeColor="background2"/>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1,ERA Section Heading Char2,Section Header Char2,h1 Char1,1 Char2,1 Char Char1,Heading 1 Char2 Char1,ERA Section Heading Char Char1,Section Header Char Char1,h1 Char2 Char1,Heading 1 Char1 Char Char1"/>
    <w:basedOn w:val="DefaultParagraphFont"/>
    <w:link w:val="Heading1"/>
    <w:rsid w:val="00894CD3"/>
    <w:rPr>
      <w:rFonts w:ascii="Arial" w:eastAsia="Times New Roman" w:hAnsi="Arial" w:cs="Times New Roman"/>
      <w:b/>
      <w:bCs/>
      <w:color w:val="394A58" w:themeColor="accent2"/>
      <w:sz w:val="48"/>
      <w:szCs w:val="28"/>
    </w:rPr>
  </w:style>
  <w:style w:type="character" w:customStyle="1" w:styleId="Heading2Char">
    <w:name w:val="Heading 2 Char"/>
    <w:aliases w:val="Heading 2 Char Char Char Char,Heading 2 Char Char Char Char Char Char,Heading 2 Char Char Char1,Heading 2 Char Char Char Char Char Char Char Char Char Char Char, Char Char Char Char, Char Char"/>
    <w:basedOn w:val="DefaultParagraphFont"/>
    <w:link w:val="Heading2"/>
    <w:uiPriority w:val="99"/>
    <w:rsid w:val="00215393"/>
    <w:rPr>
      <w:rFonts w:ascii="Arial" w:eastAsia="Times New Roman" w:hAnsi="Arial" w:cs="Times New Roman"/>
      <w:b/>
      <w:bCs/>
      <w:color w:val="156570" w:themeColor="background2"/>
      <w:sz w:val="30"/>
      <w:szCs w:val="26"/>
    </w:rPr>
  </w:style>
  <w:style w:type="character" w:customStyle="1" w:styleId="Heading3Char">
    <w:name w:val="Heading 3 Char"/>
    <w:aliases w:val="Heading 3 Char Char Char Char Char1,Heading 3 Char Char Char Char Char Char,Heading 3 Char Char Char Char1"/>
    <w:basedOn w:val="DefaultParagraphFont"/>
    <w:link w:val="Heading3"/>
    <w:uiPriority w:val="99"/>
    <w:rsid w:val="00215393"/>
    <w:rPr>
      <w:rFonts w:ascii="Arial" w:eastAsia="Times New Roman" w:hAnsi="Arial" w:cs="Times New Roman"/>
      <w:b/>
      <w:bCs/>
      <w:color w:val="156570" w:themeColor="background2"/>
      <w:sz w:val="26"/>
    </w:rPr>
  </w:style>
  <w:style w:type="character" w:customStyle="1" w:styleId="Heading4Char">
    <w:name w:val="Heading 4 Char"/>
    <w:basedOn w:val="DefaultParagraphFont"/>
    <w:link w:val="Heading4"/>
    <w:uiPriority w:val="99"/>
    <w:rsid w:val="00215393"/>
    <w:rPr>
      <w:rFonts w:ascii="Arial" w:eastAsia="Times New Roman" w:hAnsi="Arial" w:cs="Times New Roman"/>
      <w:b/>
      <w:bCs/>
      <w:iCs/>
      <w:color w:val="156570" w:themeColor="background2"/>
    </w:rPr>
  </w:style>
  <w:style w:type="character" w:customStyle="1" w:styleId="Heading5Char">
    <w:name w:val="Heading 5 Char"/>
    <w:aliases w:val="Paragraph Text Char,Lower Case Char2,Bold &amp; Italic Char2,paragraph Char Char,Lower Case Char Char,Bold &amp; Italic Char Char,paragraph Char1,Heading 5 Char1 Char,Lower Case Char1 Char,Bold &amp; Italic Char1 Char,paragraph Char Char Char Char"/>
    <w:basedOn w:val="DefaultParagraphFont"/>
    <w:link w:val="Heading5"/>
    <w:uiPriority w:val="1"/>
    <w:rsid w:val="00215393"/>
    <w:rPr>
      <w:rFonts w:ascii="Arial" w:eastAsia="Times New Roman" w:hAnsi="Arial" w:cs="Times New Roman"/>
      <w:b/>
      <w:color w:val="156570" w:themeColor="background2"/>
    </w:rPr>
  </w:style>
  <w:style w:type="paragraph" w:customStyle="1" w:styleId="DocTitle">
    <w:name w:val="DocTitle"/>
    <w:basedOn w:val="Normal"/>
    <w:uiPriority w:val="29"/>
    <w:semiHidden/>
    <w:qFormat/>
    <w:rsid w:val="00E13EFD"/>
    <w:pPr>
      <w:spacing w:after="0"/>
      <w:ind w:right="1701"/>
    </w:pPr>
    <w:rPr>
      <w:b/>
      <w:sz w:val="48"/>
    </w:rPr>
  </w:style>
  <w:style w:type="paragraph" w:customStyle="1" w:styleId="DocSubTitle">
    <w:name w:val="DocSubTitle"/>
    <w:basedOn w:val="DocTitle"/>
    <w:uiPriority w:val="29"/>
    <w:semiHidden/>
    <w:qFormat/>
    <w:rsid w:val="00980218"/>
    <w:rPr>
      <w:b w:val="0"/>
    </w:rPr>
  </w:style>
  <w:style w:type="paragraph" w:customStyle="1" w:styleId="DocType">
    <w:name w:val="DocType"/>
    <w:basedOn w:val="DocTitle"/>
    <w:uiPriority w:val="29"/>
    <w:semiHidden/>
    <w:qFormat/>
    <w:rsid w:val="00CC7A08"/>
    <w:rPr>
      <w:sz w:val="22"/>
    </w:rPr>
  </w:style>
  <w:style w:type="paragraph" w:customStyle="1" w:styleId="DocDate">
    <w:name w:val="DocDate"/>
    <w:basedOn w:val="DocType"/>
    <w:uiPriority w:val="29"/>
    <w:semiHidden/>
    <w:qFormat/>
    <w:rsid w:val="00980218"/>
    <w:pPr>
      <w:spacing w:before="360"/>
    </w:pPr>
  </w:style>
  <w:style w:type="paragraph" w:styleId="Header">
    <w:name w:val="header"/>
    <w:basedOn w:val="Normal"/>
    <w:link w:val="HeaderChar"/>
    <w:uiPriority w:val="99"/>
    <w:rsid w:val="00815EA9"/>
    <w:pPr>
      <w:tabs>
        <w:tab w:val="center" w:pos="4513"/>
        <w:tab w:val="right" w:pos="9026"/>
      </w:tabs>
      <w:spacing w:after="0"/>
    </w:pPr>
  </w:style>
  <w:style w:type="character" w:customStyle="1" w:styleId="HeaderChar">
    <w:name w:val="Header Char"/>
    <w:basedOn w:val="DefaultParagraphFont"/>
    <w:link w:val="Header"/>
    <w:uiPriority w:val="99"/>
    <w:rsid w:val="00215393"/>
    <w:rPr>
      <w:rFonts w:ascii="Arial" w:hAnsi="Arial"/>
      <w:color w:val="394A58" w:themeColor="text2"/>
      <w:sz w:val="20"/>
    </w:rPr>
  </w:style>
  <w:style w:type="paragraph" w:styleId="Footer">
    <w:name w:val="footer"/>
    <w:basedOn w:val="Normal"/>
    <w:link w:val="FooterChar"/>
    <w:uiPriority w:val="99"/>
    <w:rsid w:val="004C787C"/>
    <w:pPr>
      <w:tabs>
        <w:tab w:val="center" w:pos="4513"/>
        <w:tab w:val="right" w:pos="9026"/>
      </w:tabs>
      <w:spacing w:after="0"/>
    </w:pPr>
    <w:rPr>
      <w:sz w:val="18"/>
    </w:rPr>
  </w:style>
  <w:style w:type="character" w:customStyle="1" w:styleId="FooterChar">
    <w:name w:val="Footer Char"/>
    <w:basedOn w:val="DefaultParagraphFont"/>
    <w:link w:val="Footer"/>
    <w:uiPriority w:val="99"/>
    <w:rsid w:val="00215393"/>
    <w:rPr>
      <w:rFonts w:ascii="Arial" w:hAnsi="Arial"/>
      <w:color w:val="394A58" w:themeColor="text2"/>
      <w:sz w:val="18"/>
    </w:rPr>
  </w:style>
  <w:style w:type="paragraph" w:customStyle="1" w:styleId="Heading1NoNumb">
    <w:name w:val="Heading 1NoNumb"/>
    <w:basedOn w:val="Heading1"/>
    <w:next w:val="Normal"/>
    <w:uiPriority w:val="23"/>
    <w:qFormat/>
    <w:rsid w:val="00781041"/>
    <w:pPr>
      <w:numPr>
        <w:numId w:val="0"/>
      </w:numPr>
    </w:pPr>
  </w:style>
  <w:style w:type="paragraph" w:customStyle="1" w:styleId="Heading2NoNumb">
    <w:name w:val="Heading 2NoNumb"/>
    <w:basedOn w:val="Heading2"/>
    <w:next w:val="Normal"/>
    <w:uiPriority w:val="23"/>
    <w:qFormat/>
    <w:rsid w:val="00781041"/>
    <w:pPr>
      <w:numPr>
        <w:ilvl w:val="0"/>
        <w:numId w:val="0"/>
      </w:numPr>
    </w:pPr>
  </w:style>
  <w:style w:type="paragraph" w:customStyle="1" w:styleId="Heading3NoNumb">
    <w:name w:val="Heading 3NoNumb"/>
    <w:basedOn w:val="Heading3"/>
    <w:next w:val="Normal"/>
    <w:uiPriority w:val="23"/>
    <w:qFormat/>
    <w:rsid w:val="00781041"/>
    <w:pPr>
      <w:numPr>
        <w:ilvl w:val="0"/>
        <w:numId w:val="0"/>
      </w:numPr>
    </w:pPr>
  </w:style>
  <w:style w:type="paragraph" w:customStyle="1" w:styleId="Heading4NoNumb">
    <w:name w:val="Heading 4NoNumb"/>
    <w:basedOn w:val="Heading4"/>
    <w:next w:val="Normal"/>
    <w:uiPriority w:val="23"/>
    <w:qFormat/>
    <w:rsid w:val="00781041"/>
    <w:pPr>
      <w:numPr>
        <w:ilvl w:val="0"/>
        <w:numId w:val="0"/>
      </w:numPr>
    </w:pPr>
  </w:style>
  <w:style w:type="paragraph" w:customStyle="1" w:styleId="Heading5NoNumb">
    <w:name w:val="Heading 5NoNumb"/>
    <w:basedOn w:val="Heading5"/>
    <w:next w:val="Normal"/>
    <w:uiPriority w:val="23"/>
    <w:qFormat/>
    <w:rsid w:val="00781041"/>
    <w:pPr>
      <w:numPr>
        <w:ilvl w:val="0"/>
        <w:numId w:val="0"/>
      </w:numPr>
    </w:pPr>
  </w:style>
  <w:style w:type="paragraph" w:customStyle="1" w:styleId="Heading1NoTOC">
    <w:name w:val="Heading 1NoTOC"/>
    <w:basedOn w:val="Heading1"/>
    <w:next w:val="Normal"/>
    <w:uiPriority w:val="24"/>
    <w:qFormat/>
    <w:rsid w:val="00017172"/>
    <w:pPr>
      <w:numPr>
        <w:numId w:val="0"/>
      </w:numPr>
    </w:pPr>
  </w:style>
  <w:style w:type="paragraph" w:styleId="NoSpacing">
    <w:name w:val="No Spacing"/>
    <w:link w:val="NoSpacingChar"/>
    <w:uiPriority w:val="1"/>
    <w:qFormat/>
    <w:rsid w:val="00E1773F"/>
    <w:pPr>
      <w:spacing w:after="0" w:line="240" w:lineRule="auto"/>
      <w:contextualSpacing/>
    </w:pPr>
    <w:rPr>
      <w:rFonts w:eastAsia="Batang" w:cs="Arial"/>
      <w:color w:val="394A58"/>
      <w:sz w:val="20"/>
      <w:szCs w:val="20"/>
      <w:lang w:eastAsia="ko-KR"/>
    </w:rPr>
  </w:style>
  <w:style w:type="paragraph" w:styleId="BodyText">
    <w:name w:val="Body Text"/>
    <w:link w:val="BodyTextChar"/>
    <w:qFormat/>
    <w:rsid w:val="00E1773F"/>
    <w:pPr>
      <w:spacing w:after="240" w:line="240" w:lineRule="auto"/>
    </w:pPr>
    <w:rPr>
      <w:rFonts w:ascii="Arial" w:eastAsia="Batang" w:hAnsi="Arial" w:cs="Arial"/>
      <w:color w:val="394A58"/>
      <w:sz w:val="20"/>
      <w:szCs w:val="20"/>
      <w:lang w:eastAsia="ko-KR"/>
    </w:rPr>
  </w:style>
  <w:style w:type="character" w:customStyle="1" w:styleId="BodyTextChar">
    <w:name w:val="Body Text Char"/>
    <w:basedOn w:val="DefaultParagraphFont"/>
    <w:link w:val="BodyText"/>
    <w:rsid w:val="00215393"/>
    <w:rPr>
      <w:rFonts w:ascii="Arial" w:eastAsia="Batang" w:hAnsi="Arial" w:cs="Arial"/>
      <w:color w:val="394A58"/>
      <w:sz w:val="20"/>
      <w:szCs w:val="20"/>
      <w:lang w:eastAsia="ko-KR"/>
    </w:rPr>
  </w:style>
  <w:style w:type="character" w:customStyle="1" w:styleId="NoSpacingChar">
    <w:name w:val="No Spacing Char"/>
    <w:basedOn w:val="DefaultParagraphFont"/>
    <w:link w:val="NoSpacing"/>
    <w:uiPriority w:val="1"/>
    <w:rsid w:val="00215393"/>
    <w:rPr>
      <w:rFonts w:eastAsia="Batang" w:cs="Arial"/>
      <w:color w:val="394A58"/>
      <w:sz w:val="20"/>
      <w:szCs w:val="20"/>
      <w:lang w:eastAsia="ko-KR"/>
    </w:rPr>
  </w:style>
  <w:style w:type="table" w:customStyle="1" w:styleId="Atkins14pt">
    <w:name w:val="Atkins_1/4pt"/>
    <w:basedOn w:val="TableNormal"/>
    <w:uiPriority w:val="99"/>
    <w:qFormat/>
    <w:rsid w:val="00A157BE"/>
    <w:pPr>
      <w:spacing w:after="0" w:line="240" w:lineRule="auto"/>
    </w:pPr>
    <w:rPr>
      <w:rFonts w:ascii="Arial" w:eastAsia="Batang" w:hAnsi="Arial" w:cs="Arial"/>
      <w:sz w:val="20"/>
      <w:szCs w:val="20"/>
      <w:lang w:eastAsia="en-GB"/>
    </w:rPr>
    <w:tblPr>
      <w:tblInd w:w="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0" w:type="dxa"/>
        <w:left w:w="57" w:type="dxa"/>
        <w:bottom w:w="0" w:type="dxa"/>
        <w:right w:w="0" w:type="dxa"/>
      </w:tblCellMar>
    </w:tblPr>
    <w:tblStylePr w:type="firstRow">
      <w:pPr>
        <w:wordWrap/>
        <w:jc w:val="left"/>
      </w:pPr>
      <w:rPr>
        <w:rFonts w:ascii="Arial" w:hAnsi="Arial"/>
        <w:b/>
      </w:rPr>
      <w:tblPr/>
      <w:tcPr>
        <w:tcBorders>
          <w:bottom w:val="single" w:sz="4" w:space="0" w:color="auto"/>
        </w:tcBorders>
        <w:shd w:val="clear" w:color="auto" w:fill="F0EEEB"/>
      </w:tcPr>
    </w:tblStylePr>
    <w:tblStylePr w:type="lastRow">
      <w:tblPr/>
      <w:tcPr>
        <w:tcBorders>
          <w:bottom w:val="single" w:sz="4" w:space="0" w:color="auto"/>
        </w:tcBorders>
      </w:tcPr>
    </w:tblStylePr>
    <w:tblStylePr w:type="firstCol">
      <w:pPr>
        <w:jc w:val="left"/>
      </w:pPr>
    </w:tblStylePr>
    <w:tblStylePr w:type="nwCell">
      <w:pPr>
        <w:jc w:val="left"/>
      </w:pPr>
    </w:tblStylePr>
  </w:style>
  <w:style w:type="paragraph" w:customStyle="1" w:styleId="IntroHeading">
    <w:name w:val="IntroHeading"/>
    <w:basedOn w:val="Normal"/>
    <w:next w:val="Normal"/>
    <w:uiPriority w:val="29"/>
    <w:semiHidden/>
    <w:qFormat/>
    <w:rsid w:val="0090784B"/>
    <w:pPr>
      <w:spacing w:before="1080" w:after="120"/>
      <w:ind w:right="1418"/>
    </w:pPr>
    <w:rPr>
      <w:b/>
      <w:color w:val="FFFFFF" w:themeColor="background1"/>
      <w:sz w:val="48"/>
    </w:rPr>
  </w:style>
  <w:style w:type="paragraph" w:customStyle="1" w:styleId="IntroText">
    <w:name w:val="IntroText"/>
    <w:basedOn w:val="IntroHeading"/>
    <w:uiPriority w:val="29"/>
    <w:semiHidden/>
    <w:qFormat/>
    <w:rsid w:val="00FD458C"/>
    <w:pPr>
      <w:spacing w:before="0"/>
    </w:pPr>
    <w:rPr>
      <w:b w:val="0"/>
    </w:rPr>
  </w:style>
  <w:style w:type="paragraph" w:customStyle="1" w:styleId="QuoteLarge">
    <w:name w:val="Quote Large"/>
    <w:basedOn w:val="Normal"/>
    <w:next w:val="Normal"/>
    <w:uiPriority w:val="29"/>
    <w:qFormat/>
    <w:rsid w:val="00FD458C"/>
    <w:pPr>
      <w:spacing w:before="240" w:after="480"/>
    </w:pPr>
    <w:rPr>
      <w:sz w:val="48"/>
    </w:rPr>
  </w:style>
  <w:style w:type="character" w:customStyle="1" w:styleId="Heading6Char">
    <w:name w:val="Heading 6 Char"/>
    <w:aliases w:val="level 1 bullet 1 Char,level 1 bullet Char Char,level 1 bullet Char Char Char Char,level 1 bullet Char1,level 1 bullet 1 Char Char Char Char,level 1 bullet 1 Char Char Char Char Char Char Char Char,Heading 61 Char"/>
    <w:basedOn w:val="DefaultParagraphFont"/>
    <w:link w:val="Heading6"/>
    <w:uiPriority w:val="19"/>
    <w:rsid w:val="00E07757"/>
    <w:rPr>
      <w:rFonts w:ascii="Arial" w:eastAsia="Times New Roman" w:hAnsi="Arial" w:cs="Times New Roman"/>
      <w:b/>
      <w:iCs/>
      <w:color w:val="394A58" w:themeColor="accent2"/>
      <w:sz w:val="48"/>
    </w:rPr>
  </w:style>
  <w:style w:type="character" w:customStyle="1" w:styleId="Heading7Char">
    <w:name w:val="Heading 7 Char"/>
    <w:basedOn w:val="DefaultParagraphFont"/>
    <w:link w:val="Heading7"/>
    <w:uiPriority w:val="19"/>
    <w:rsid w:val="00E07757"/>
    <w:rPr>
      <w:rFonts w:ascii="Arial" w:eastAsia="Times New Roman" w:hAnsi="Arial" w:cs="Times New Roman"/>
      <w:b/>
      <w:iCs/>
      <w:color w:val="156570" w:themeColor="background2"/>
      <w:sz w:val="30"/>
    </w:rPr>
  </w:style>
  <w:style w:type="character" w:customStyle="1" w:styleId="Heading8Char">
    <w:name w:val="Heading 8 Char"/>
    <w:aliases w:val="Bullet 3 Char"/>
    <w:basedOn w:val="DefaultParagraphFont"/>
    <w:link w:val="Heading8"/>
    <w:uiPriority w:val="19"/>
    <w:rsid w:val="00E07757"/>
    <w:rPr>
      <w:rFonts w:ascii="Arial" w:eastAsia="Times New Roman" w:hAnsi="Arial" w:cs="Times New Roman"/>
      <w:b/>
      <w:color w:val="156570" w:themeColor="background2"/>
      <w:sz w:val="26"/>
      <w:szCs w:val="20"/>
    </w:rPr>
  </w:style>
  <w:style w:type="character" w:customStyle="1" w:styleId="Heading9Char">
    <w:name w:val="Heading 9 Char"/>
    <w:basedOn w:val="DefaultParagraphFont"/>
    <w:link w:val="Heading9"/>
    <w:uiPriority w:val="19"/>
    <w:rsid w:val="00E07757"/>
    <w:rPr>
      <w:rFonts w:ascii="Arial" w:eastAsia="Times New Roman" w:hAnsi="Arial" w:cs="Times New Roman"/>
      <w:b/>
      <w:iCs/>
      <w:color w:val="156570" w:themeColor="background2"/>
      <w:szCs w:val="20"/>
    </w:rPr>
  </w:style>
  <w:style w:type="paragraph" w:styleId="TOC2">
    <w:name w:val="toc 2"/>
    <w:basedOn w:val="Normal"/>
    <w:next w:val="Normal"/>
    <w:autoRedefine/>
    <w:uiPriority w:val="39"/>
    <w:rsid w:val="00E75D94"/>
    <w:pPr>
      <w:tabs>
        <w:tab w:val="right" w:pos="9639"/>
      </w:tabs>
      <w:spacing w:before="120" w:after="0"/>
    </w:pPr>
    <w:rPr>
      <w:b/>
      <w:color w:val="394A58" w:themeColor="accent2"/>
    </w:rPr>
  </w:style>
  <w:style w:type="paragraph" w:styleId="TOC3">
    <w:name w:val="toc 3"/>
    <w:basedOn w:val="Normal"/>
    <w:next w:val="Normal"/>
    <w:autoRedefine/>
    <w:uiPriority w:val="39"/>
    <w:rsid w:val="00B955C7"/>
    <w:pPr>
      <w:tabs>
        <w:tab w:val="left" w:pos="680"/>
        <w:tab w:val="right" w:pos="9639"/>
      </w:tabs>
      <w:spacing w:after="40"/>
      <w:ind w:right="284"/>
    </w:pPr>
  </w:style>
  <w:style w:type="character" w:styleId="Hyperlink">
    <w:name w:val="Hyperlink"/>
    <w:basedOn w:val="DefaultParagraphFont"/>
    <w:uiPriority w:val="99"/>
    <w:rsid w:val="004C1403"/>
    <w:rPr>
      <w:color w:val="394A58" w:themeColor="text2"/>
      <w:u w:val="single"/>
    </w:rPr>
  </w:style>
  <w:style w:type="paragraph" w:styleId="TOC1">
    <w:name w:val="toc 1"/>
    <w:basedOn w:val="Normal"/>
    <w:next w:val="Normal"/>
    <w:autoRedefine/>
    <w:uiPriority w:val="39"/>
    <w:rsid w:val="00050B9A"/>
    <w:pPr>
      <w:tabs>
        <w:tab w:val="left" w:pos="680"/>
        <w:tab w:val="left" w:pos="1540"/>
        <w:tab w:val="right" w:pos="9639"/>
      </w:tabs>
      <w:spacing w:before="120" w:after="0"/>
      <w:ind w:right="284"/>
    </w:pPr>
    <w:rPr>
      <w:b/>
      <w:color w:val="394A58" w:themeColor="accent2"/>
    </w:rPr>
  </w:style>
  <w:style w:type="paragraph" w:styleId="TOC4">
    <w:name w:val="toc 4"/>
    <w:basedOn w:val="Normal"/>
    <w:next w:val="Normal"/>
    <w:autoRedefine/>
    <w:uiPriority w:val="39"/>
    <w:rsid w:val="00B7202B"/>
    <w:pPr>
      <w:tabs>
        <w:tab w:val="right" w:pos="9639"/>
      </w:tabs>
      <w:spacing w:after="40"/>
      <w:ind w:right="284"/>
    </w:pPr>
  </w:style>
  <w:style w:type="paragraph" w:customStyle="1" w:styleId="TableText">
    <w:name w:val="TableText"/>
    <w:basedOn w:val="BodyText"/>
    <w:uiPriority w:val="16"/>
    <w:qFormat/>
    <w:rsid w:val="00C02E1D"/>
    <w:pPr>
      <w:spacing w:before="40" w:after="40"/>
    </w:pPr>
    <w:rPr>
      <w:color w:val="394A58" w:themeColor="text2"/>
    </w:rPr>
  </w:style>
  <w:style w:type="paragraph" w:customStyle="1" w:styleId="TableHeading">
    <w:name w:val="TableHeading"/>
    <w:basedOn w:val="TableText"/>
    <w:uiPriority w:val="16"/>
    <w:qFormat/>
    <w:rsid w:val="00131877"/>
    <w:pPr>
      <w:spacing w:before="60" w:after="60"/>
    </w:pPr>
    <w:rPr>
      <w:b/>
    </w:rPr>
  </w:style>
  <w:style w:type="table" w:styleId="TableGrid">
    <w:name w:val="Table Grid"/>
    <w:basedOn w:val="TableNormal"/>
    <w:uiPriority w:val="59"/>
    <w:rsid w:val="00544B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Title">
    <w:name w:val="TableTitle"/>
    <w:basedOn w:val="Normal"/>
    <w:uiPriority w:val="15"/>
    <w:qFormat/>
    <w:rsid w:val="000F17C6"/>
    <w:pPr>
      <w:numPr>
        <w:numId w:val="6"/>
      </w:numPr>
      <w:spacing w:before="240" w:after="120"/>
      <w:ind w:left="1021" w:hanging="1021"/>
    </w:pPr>
    <w:rPr>
      <w:b/>
    </w:rPr>
  </w:style>
  <w:style w:type="paragraph" w:customStyle="1" w:styleId="NormalNoSpace">
    <w:name w:val="NormalNoSpace"/>
    <w:basedOn w:val="Normal"/>
    <w:qFormat/>
    <w:rsid w:val="0011708A"/>
    <w:pPr>
      <w:spacing w:after="0"/>
    </w:pPr>
  </w:style>
  <w:style w:type="paragraph" w:styleId="TOC5">
    <w:name w:val="toc 5"/>
    <w:basedOn w:val="Normal"/>
    <w:next w:val="Normal"/>
    <w:autoRedefine/>
    <w:rsid w:val="009C5684"/>
    <w:pPr>
      <w:tabs>
        <w:tab w:val="left" w:pos="1134"/>
        <w:tab w:val="right" w:pos="9639"/>
      </w:tabs>
      <w:spacing w:after="40"/>
      <w:ind w:left="680" w:right="284" w:hanging="680"/>
    </w:pPr>
  </w:style>
  <w:style w:type="paragraph" w:customStyle="1" w:styleId="FigureTitle">
    <w:name w:val="FigureTitle"/>
    <w:basedOn w:val="Normal"/>
    <w:next w:val="Normal"/>
    <w:uiPriority w:val="11"/>
    <w:qFormat/>
    <w:rsid w:val="000F17C6"/>
    <w:pPr>
      <w:numPr>
        <w:numId w:val="7"/>
      </w:numPr>
    </w:pPr>
    <w:rPr>
      <w:b/>
    </w:rPr>
  </w:style>
  <w:style w:type="paragraph" w:customStyle="1" w:styleId="ListBulletLast">
    <w:name w:val="List Bullet Last"/>
    <w:basedOn w:val="ListBullet"/>
    <w:next w:val="Normal"/>
    <w:uiPriority w:val="2"/>
    <w:qFormat/>
    <w:rsid w:val="00CE4679"/>
    <w:pPr>
      <w:spacing w:after="240"/>
    </w:pPr>
  </w:style>
  <w:style w:type="paragraph" w:customStyle="1" w:styleId="ListBullet2Last">
    <w:name w:val="List Bullet 2 Last"/>
    <w:basedOn w:val="ListBullet2"/>
    <w:next w:val="Normal"/>
    <w:uiPriority w:val="2"/>
    <w:qFormat/>
    <w:rsid w:val="00CE4679"/>
    <w:pPr>
      <w:spacing w:after="240"/>
    </w:pPr>
  </w:style>
  <w:style w:type="paragraph" w:styleId="ListNumber">
    <w:name w:val="List Number"/>
    <w:basedOn w:val="Normal"/>
    <w:uiPriority w:val="99"/>
    <w:qFormat/>
    <w:rsid w:val="00B10262"/>
    <w:pPr>
      <w:numPr>
        <w:numId w:val="2"/>
      </w:numPr>
      <w:spacing w:after="0"/>
      <w:contextualSpacing/>
    </w:pPr>
  </w:style>
  <w:style w:type="paragraph" w:styleId="ListNumber2">
    <w:name w:val="List Number 2"/>
    <w:basedOn w:val="Normal"/>
    <w:uiPriority w:val="99"/>
    <w:rsid w:val="00080C64"/>
    <w:pPr>
      <w:numPr>
        <w:numId w:val="8"/>
      </w:numPr>
      <w:spacing w:after="0"/>
      <w:contextualSpacing/>
    </w:pPr>
  </w:style>
  <w:style w:type="paragraph" w:styleId="BalloonText">
    <w:name w:val="Balloon Text"/>
    <w:basedOn w:val="Normal"/>
    <w:link w:val="BalloonTextChar"/>
    <w:semiHidden/>
    <w:unhideWhenUsed/>
    <w:rsid w:val="005625D4"/>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5625D4"/>
    <w:rPr>
      <w:rFonts w:ascii="Tahoma" w:hAnsi="Tahoma" w:cs="Tahoma"/>
      <w:color w:val="394A58" w:themeColor="text2"/>
      <w:sz w:val="16"/>
      <w:szCs w:val="16"/>
    </w:rPr>
  </w:style>
  <w:style w:type="paragraph" w:customStyle="1" w:styleId="SubHeading">
    <w:name w:val="SubHeading"/>
    <w:basedOn w:val="Normal"/>
    <w:next w:val="Normal"/>
    <w:uiPriority w:val="1"/>
    <w:qFormat/>
    <w:rsid w:val="0011708A"/>
    <w:pPr>
      <w:keepNext/>
      <w:spacing w:before="240" w:after="40"/>
    </w:pPr>
    <w:rPr>
      <w:b/>
    </w:rPr>
  </w:style>
  <w:style w:type="paragraph" w:customStyle="1" w:styleId="Introduction">
    <w:name w:val="Introduction"/>
    <w:basedOn w:val="Normal"/>
    <w:uiPriority w:val="29"/>
    <w:semiHidden/>
    <w:qFormat/>
    <w:rsid w:val="00600103"/>
    <w:rPr>
      <w:sz w:val="24"/>
    </w:rPr>
  </w:style>
  <w:style w:type="paragraph" w:styleId="ListBullet">
    <w:name w:val="List Bullet"/>
    <w:basedOn w:val="Normal"/>
    <w:uiPriority w:val="99"/>
    <w:qFormat/>
    <w:rsid w:val="0011708A"/>
    <w:pPr>
      <w:numPr>
        <w:numId w:val="11"/>
      </w:numPr>
      <w:spacing w:after="0"/>
    </w:pPr>
  </w:style>
  <w:style w:type="paragraph" w:styleId="ListBullet2">
    <w:name w:val="List Bullet 2"/>
    <w:basedOn w:val="Normal"/>
    <w:uiPriority w:val="2"/>
    <w:rsid w:val="0011708A"/>
    <w:pPr>
      <w:numPr>
        <w:numId w:val="12"/>
      </w:numPr>
      <w:spacing w:after="0"/>
    </w:pPr>
  </w:style>
  <w:style w:type="paragraph" w:customStyle="1" w:styleId="ListNumb1">
    <w:name w:val="ListNumb1"/>
    <w:basedOn w:val="Normal"/>
    <w:uiPriority w:val="4"/>
    <w:qFormat/>
    <w:rsid w:val="0011708A"/>
    <w:pPr>
      <w:numPr>
        <w:numId w:val="13"/>
      </w:numPr>
      <w:spacing w:after="0"/>
    </w:pPr>
  </w:style>
  <w:style w:type="paragraph" w:customStyle="1" w:styleId="ListNumb2">
    <w:name w:val="ListNumb2"/>
    <w:basedOn w:val="Normal"/>
    <w:uiPriority w:val="4"/>
    <w:qFormat/>
    <w:rsid w:val="0011708A"/>
    <w:pPr>
      <w:numPr>
        <w:ilvl w:val="1"/>
        <w:numId w:val="13"/>
      </w:numPr>
      <w:spacing w:after="0"/>
    </w:pPr>
  </w:style>
  <w:style w:type="paragraph" w:styleId="ListNumber5">
    <w:name w:val="List Number 5"/>
    <w:basedOn w:val="Normal"/>
    <w:uiPriority w:val="99"/>
    <w:semiHidden/>
    <w:rsid w:val="00080C64"/>
    <w:pPr>
      <w:numPr>
        <w:numId w:val="4"/>
      </w:numPr>
      <w:contextualSpacing/>
    </w:pPr>
  </w:style>
  <w:style w:type="paragraph" w:styleId="ListNumber4">
    <w:name w:val="List Number 4"/>
    <w:basedOn w:val="Normal"/>
    <w:uiPriority w:val="99"/>
    <w:semiHidden/>
    <w:rsid w:val="00080C64"/>
    <w:pPr>
      <w:numPr>
        <w:numId w:val="9"/>
      </w:numPr>
      <w:contextualSpacing/>
    </w:pPr>
  </w:style>
  <w:style w:type="paragraph" w:styleId="ListNumber3">
    <w:name w:val="List Number 3"/>
    <w:basedOn w:val="Normal"/>
    <w:uiPriority w:val="99"/>
    <w:semiHidden/>
    <w:rsid w:val="00080C64"/>
    <w:pPr>
      <w:numPr>
        <w:numId w:val="3"/>
      </w:numPr>
      <w:contextualSpacing/>
    </w:pPr>
  </w:style>
  <w:style w:type="paragraph" w:customStyle="1" w:styleId="ListNumb3">
    <w:name w:val="ListNumb3"/>
    <w:basedOn w:val="Normal"/>
    <w:uiPriority w:val="4"/>
    <w:unhideWhenUsed/>
    <w:qFormat/>
    <w:rsid w:val="0011708A"/>
    <w:pPr>
      <w:numPr>
        <w:ilvl w:val="2"/>
        <w:numId w:val="13"/>
      </w:numPr>
      <w:spacing w:after="0"/>
      <w:ind w:left="1020" w:hanging="340"/>
    </w:pPr>
  </w:style>
  <w:style w:type="paragraph" w:customStyle="1" w:styleId="ListNumb1Last">
    <w:name w:val="ListNumb1Last"/>
    <w:basedOn w:val="ListNumb1"/>
    <w:next w:val="Normal"/>
    <w:uiPriority w:val="4"/>
    <w:qFormat/>
    <w:rsid w:val="004D1435"/>
    <w:pPr>
      <w:spacing w:after="240"/>
    </w:pPr>
  </w:style>
  <w:style w:type="paragraph" w:customStyle="1" w:styleId="ListNumb2Last">
    <w:name w:val="ListNumb2Last"/>
    <w:basedOn w:val="ListNumb2"/>
    <w:next w:val="Normal"/>
    <w:uiPriority w:val="4"/>
    <w:qFormat/>
    <w:rsid w:val="004D1435"/>
    <w:pPr>
      <w:spacing w:after="240"/>
    </w:pPr>
  </w:style>
  <w:style w:type="paragraph" w:customStyle="1" w:styleId="ListNumb3Last">
    <w:name w:val="ListNumb3Last"/>
    <w:basedOn w:val="ListNumb3"/>
    <w:next w:val="Normal"/>
    <w:uiPriority w:val="4"/>
    <w:unhideWhenUsed/>
    <w:qFormat/>
    <w:rsid w:val="004D1435"/>
    <w:pPr>
      <w:spacing w:after="240"/>
    </w:pPr>
  </w:style>
  <w:style w:type="paragraph" w:customStyle="1" w:styleId="PictureText">
    <w:name w:val="PictureText"/>
    <w:basedOn w:val="Normal"/>
    <w:uiPriority w:val="29"/>
    <w:semiHidden/>
    <w:qFormat/>
    <w:rsid w:val="002D4CD7"/>
    <w:pPr>
      <w:spacing w:before="120" w:after="120"/>
    </w:pPr>
    <w:rPr>
      <w:color w:val="156570" w:themeColor="background2"/>
      <w:sz w:val="16"/>
    </w:rPr>
  </w:style>
  <w:style w:type="paragraph" w:customStyle="1" w:styleId="Heading2NoTOC">
    <w:name w:val="Heading 2NoTOC"/>
    <w:basedOn w:val="Heading2"/>
    <w:uiPriority w:val="29"/>
    <w:qFormat/>
    <w:rsid w:val="00B7202B"/>
    <w:pPr>
      <w:numPr>
        <w:ilvl w:val="0"/>
        <w:numId w:val="0"/>
      </w:numPr>
    </w:pPr>
  </w:style>
  <w:style w:type="paragraph" w:styleId="TOC6">
    <w:name w:val="toc 6"/>
    <w:basedOn w:val="Normal"/>
    <w:next w:val="Normal"/>
    <w:autoRedefine/>
    <w:uiPriority w:val="39"/>
    <w:rsid w:val="00B955C7"/>
    <w:pPr>
      <w:tabs>
        <w:tab w:val="right" w:pos="9639"/>
      </w:tabs>
      <w:spacing w:before="240" w:after="0"/>
      <w:ind w:right="284"/>
    </w:pPr>
    <w:rPr>
      <w:b/>
      <w:color w:val="156570" w:themeColor="background2"/>
      <w:sz w:val="22"/>
    </w:rPr>
  </w:style>
  <w:style w:type="paragraph" w:customStyle="1" w:styleId="FooterBold">
    <w:name w:val="FooterBold"/>
    <w:basedOn w:val="Footer"/>
    <w:rsid w:val="00350276"/>
    <w:pPr>
      <w:spacing w:before="80"/>
    </w:pPr>
    <w:rPr>
      <w:b/>
      <w:color w:val="156570" w:themeColor="background2"/>
    </w:rPr>
  </w:style>
  <w:style w:type="paragraph" w:customStyle="1" w:styleId="TableSource">
    <w:name w:val="TableSource"/>
    <w:basedOn w:val="Normal"/>
    <w:next w:val="Normal"/>
    <w:uiPriority w:val="17"/>
    <w:qFormat/>
    <w:rsid w:val="00FD7E5D"/>
    <w:pPr>
      <w:spacing w:before="120"/>
    </w:pPr>
    <w:rPr>
      <w:sz w:val="16"/>
    </w:rPr>
  </w:style>
  <w:style w:type="paragraph" w:customStyle="1" w:styleId="ClientName">
    <w:name w:val="ClientName"/>
    <w:basedOn w:val="DocSubTitle"/>
    <w:rsid w:val="00676F6C"/>
    <w:rPr>
      <w:sz w:val="32"/>
    </w:rPr>
  </w:style>
  <w:style w:type="paragraph" w:styleId="ListParagraph">
    <w:name w:val="List Paragraph"/>
    <w:basedOn w:val="Normal"/>
    <w:uiPriority w:val="34"/>
    <w:qFormat/>
    <w:rsid w:val="00322BB8"/>
    <w:pPr>
      <w:numPr>
        <w:numId w:val="14"/>
      </w:numPr>
      <w:contextualSpacing/>
      <w:outlineLvl w:val="1"/>
    </w:pPr>
  </w:style>
  <w:style w:type="paragraph" w:customStyle="1" w:styleId="NormalParagraphNumbered">
    <w:name w:val="Normal Paragraph Numbered"/>
    <w:basedOn w:val="Heading2"/>
    <w:qFormat/>
    <w:rsid w:val="005C2FF5"/>
    <w:pPr>
      <w:keepNext w:val="0"/>
      <w:keepLines w:val="0"/>
      <w:spacing w:before="0" w:after="240"/>
    </w:pPr>
    <w:rPr>
      <w:b w:val="0"/>
      <w:color w:val="auto"/>
      <w:sz w:val="20"/>
    </w:rPr>
  </w:style>
  <w:style w:type="paragraph" w:styleId="BlockText">
    <w:name w:val="Block Text"/>
    <w:basedOn w:val="Normal"/>
    <w:uiPriority w:val="99"/>
    <w:semiHidden/>
    <w:unhideWhenUsed/>
    <w:rsid w:val="004C1403"/>
    <w:pPr>
      <w:pBdr>
        <w:top w:val="single" w:sz="2" w:space="10" w:color="394A58" w:themeColor="text2" w:shadow="1"/>
        <w:left w:val="single" w:sz="2" w:space="10" w:color="394A58" w:themeColor="text2" w:shadow="1"/>
        <w:bottom w:val="single" w:sz="2" w:space="10" w:color="394A58" w:themeColor="text2" w:shadow="1"/>
        <w:right w:val="single" w:sz="2" w:space="10" w:color="394A58" w:themeColor="text2" w:shadow="1"/>
      </w:pBdr>
      <w:ind w:left="1152" w:right="1152"/>
    </w:pPr>
    <w:rPr>
      <w:rFonts w:asciiTheme="minorHAnsi" w:eastAsiaTheme="minorEastAsia" w:hAnsiTheme="minorHAnsi"/>
      <w:i/>
      <w:iCs/>
    </w:rPr>
  </w:style>
  <w:style w:type="paragraph" w:styleId="Caption">
    <w:name w:val="caption"/>
    <w:basedOn w:val="Normal"/>
    <w:next w:val="Normal"/>
    <w:uiPriority w:val="35"/>
    <w:unhideWhenUsed/>
    <w:qFormat/>
    <w:rsid w:val="00851E96"/>
    <w:pPr>
      <w:spacing w:after="200"/>
    </w:pPr>
    <w:rPr>
      <w:b/>
      <w:bCs/>
      <w:szCs w:val="18"/>
    </w:rPr>
  </w:style>
  <w:style w:type="character" w:styleId="FollowedHyperlink">
    <w:name w:val="FollowedHyperlink"/>
    <w:basedOn w:val="DefaultParagraphFont"/>
    <w:uiPriority w:val="99"/>
    <w:semiHidden/>
    <w:unhideWhenUsed/>
    <w:rsid w:val="004C1403"/>
    <w:rPr>
      <w:color w:val="394A58" w:themeColor="text2"/>
      <w:u w:val="single"/>
    </w:rPr>
  </w:style>
  <w:style w:type="character" w:styleId="IntenseEmphasis">
    <w:name w:val="Intense Emphasis"/>
    <w:basedOn w:val="DefaultParagraphFont"/>
    <w:uiPriority w:val="21"/>
    <w:semiHidden/>
    <w:qFormat/>
    <w:rsid w:val="004C1403"/>
    <w:rPr>
      <w:b/>
      <w:bCs/>
      <w:i/>
      <w:iCs/>
      <w:color w:val="394A58" w:themeColor="text2"/>
    </w:rPr>
  </w:style>
  <w:style w:type="paragraph" w:styleId="IntenseQuote">
    <w:name w:val="Intense Quote"/>
    <w:basedOn w:val="Normal"/>
    <w:next w:val="Normal"/>
    <w:link w:val="IntenseQuoteChar"/>
    <w:uiPriority w:val="30"/>
    <w:semiHidden/>
    <w:qFormat/>
    <w:rsid w:val="004C1403"/>
    <w:pPr>
      <w:pBdr>
        <w:bottom w:val="single" w:sz="4" w:space="4" w:color="394A58" w:themeColor="text2"/>
      </w:pBd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4C1403"/>
    <w:rPr>
      <w:rFonts w:ascii="Arial" w:hAnsi="Arial"/>
      <w:b/>
      <w:bCs/>
      <w:i/>
      <w:iCs/>
      <w:color w:val="394A58" w:themeColor="text2"/>
      <w:sz w:val="20"/>
    </w:rPr>
  </w:style>
  <w:style w:type="paragraph" w:styleId="Subtitle">
    <w:name w:val="Subtitle"/>
    <w:basedOn w:val="Normal"/>
    <w:next w:val="Normal"/>
    <w:link w:val="SubtitleChar"/>
    <w:uiPriority w:val="29"/>
    <w:semiHidden/>
    <w:qFormat/>
    <w:rsid w:val="004C1403"/>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29"/>
    <w:semiHidden/>
    <w:rsid w:val="004C1403"/>
    <w:rPr>
      <w:rFonts w:asciiTheme="majorHAnsi" w:eastAsiaTheme="majorEastAsia" w:hAnsiTheme="majorHAnsi" w:cstheme="majorBidi"/>
      <w:i/>
      <w:iCs/>
      <w:color w:val="394A58" w:themeColor="text2"/>
      <w:spacing w:val="15"/>
      <w:sz w:val="24"/>
      <w:szCs w:val="24"/>
    </w:rPr>
  </w:style>
  <w:style w:type="paragraph" w:styleId="TOCHeading">
    <w:name w:val="TOC Heading"/>
    <w:basedOn w:val="Heading1"/>
    <w:next w:val="Normal"/>
    <w:uiPriority w:val="39"/>
    <w:semiHidden/>
    <w:unhideWhenUsed/>
    <w:qFormat/>
    <w:rsid w:val="004C1403"/>
    <w:pPr>
      <w:numPr>
        <w:numId w:val="0"/>
      </w:numPr>
      <w:spacing w:before="480" w:after="0"/>
      <w:outlineLvl w:val="9"/>
    </w:pPr>
    <w:rPr>
      <w:rFonts w:asciiTheme="majorHAnsi" w:eastAsiaTheme="majorEastAsia" w:hAnsiTheme="majorHAnsi" w:cstheme="majorBidi"/>
      <w:color w:val="394A58" w:themeColor="text2"/>
      <w:sz w:val="28"/>
    </w:rPr>
  </w:style>
  <w:style w:type="paragraph" w:styleId="TableofFigures">
    <w:name w:val="table of figures"/>
    <w:basedOn w:val="Normal"/>
    <w:next w:val="Normal"/>
    <w:uiPriority w:val="99"/>
    <w:unhideWhenUsed/>
    <w:rsid w:val="00D564B4"/>
    <w:pPr>
      <w:spacing w:after="0"/>
    </w:pPr>
  </w:style>
  <w:style w:type="paragraph" w:customStyle="1" w:styleId="Bullets">
    <w:name w:val="Bullets"/>
    <w:basedOn w:val="Normal"/>
    <w:rsid w:val="00B54113"/>
    <w:pPr>
      <w:numPr>
        <w:numId w:val="16"/>
      </w:numPr>
      <w:tabs>
        <w:tab w:val="left" w:pos="432"/>
      </w:tabs>
      <w:spacing w:before="80" w:after="80"/>
    </w:pPr>
    <w:rPr>
      <w:rFonts w:eastAsia="Times New Roman" w:cs="Times New Roman"/>
    </w:rPr>
  </w:style>
  <w:style w:type="paragraph" w:customStyle="1" w:styleId="SubBullet">
    <w:name w:val="Sub Bullet"/>
    <w:basedOn w:val="Normal"/>
    <w:rsid w:val="00B54113"/>
    <w:pPr>
      <w:numPr>
        <w:numId w:val="17"/>
      </w:numPr>
      <w:tabs>
        <w:tab w:val="left" w:pos="864"/>
      </w:tabs>
      <w:spacing w:before="80" w:after="80"/>
    </w:pPr>
    <w:rPr>
      <w:rFonts w:eastAsia="Times New Roman" w:cs="Times New Roman"/>
    </w:rPr>
  </w:style>
  <w:style w:type="character" w:styleId="CommentReference">
    <w:name w:val="annotation reference"/>
    <w:basedOn w:val="DefaultParagraphFont"/>
    <w:uiPriority w:val="99"/>
    <w:semiHidden/>
    <w:unhideWhenUsed/>
    <w:rsid w:val="00B54113"/>
    <w:rPr>
      <w:sz w:val="16"/>
      <w:szCs w:val="16"/>
    </w:rPr>
  </w:style>
  <w:style w:type="paragraph" w:styleId="CommentText">
    <w:name w:val="annotation text"/>
    <w:basedOn w:val="Normal"/>
    <w:link w:val="CommentTextChar"/>
    <w:uiPriority w:val="99"/>
    <w:unhideWhenUsed/>
    <w:rsid w:val="00B54113"/>
    <w:rPr>
      <w:szCs w:val="20"/>
    </w:rPr>
  </w:style>
  <w:style w:type="character" w:customStyle="1" w:styleId="CommentTextChar">
    <w:name w:val="Comment Text Char"/>
    <w:basedOn w:val="DefaultParagraphFont"/>
    <w:link w:val="CommentText"/>
    <w:uiPriority w:val="99"/>
    <w:rsid w:val="00B54113"/>
    <w:rPr>
      <w:rFonts w:ascii="Arial" w:hAnsi="Arial"/>
      <w:color w:val="394A58" w:themeColor="text2"/>
      <w:sz w:val="20"/>
      <w:szCs w:val="20"/>
    </w:rPr>
  </w:style>
  <w:style w:type="paragraph" w:customStyle="1" w:styleId="standfirst">
    <w:name w:val="standfirst"/>
    <w:basedOn w:val="Normal"/>
    <w:rsid w:val="00675608"/>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st1">
    <w:name w:val="st1"/>
    <w:basedOn w:val="DefaultParagraphFont"/>
    <w:rsid w:val="00F80213"/>
  </w:style>
  <w:style w:type="paragraph" w:styleId="NormalWeb">
    <w:name w:val="Normal (Web)"/>
    <w:basedOn w:val="Normal"/>
    <w:uiPriority w:val="99"/>
    <w:unhideWhenUsed/>
    <w:rsid w:val="006321CA"/>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apple-converted-space">
    <w:name w:val="apple-converted-space"/>
    <w:basedOn w:val="DefaultParagraphFont"/>
    <w:rsid w:val="006321CA"/>
  </w:style>
  <w:style w:type="paragraph" w:styleId="FootnoteText">
    <w:name w:val="footnote text"/>
    <w:basedOn w:val="Normal"/>
    <w:link w:val="FootnoteTextChar"/>
    <w:uiPriority w:val="99"/>
    <w:unhideWhenUsed/>
    <w:rsid w:val="00C13825"/>
    <w:pPr>
      <w:spacing w:after="0"/>
    </w:pPr>
    <w:rPr>
      <w:szCs w:val="20"/>
    </w:rPr>
  </w:style>
  <w:style w:type="character" w:customStyle="1" w:styleId="FootnoteTextChar">
    <w:name w:val="Footnote Text Char"/>
    <w:basedOn w:val="DefaultParagraphFont"/>
    <w:link w:val="FootnoteText"/>
    <w:uiPriority w:val="99"/>
    <w:rsid w:val="00C13825"/>
    <w:rPr>
      <w:rFonts w:ascii="Arial" w:hAnsi="Arial"/>
      <w:color w:val="394A58" w:themeColor="text2"/>
      <w:sz w:val="20"/>
      <w:szCs w:val="20"/>
    </w:rPr>
  </w:style>
  <w:style w:type="character" w:styleId="FootnoteReference">
    <w:name w:val="footnote reference"/>
    <w:basedOn w:val="DefaultParagraphFont"/>
    <w:uiPriority w:val="99"/>
    <w:unhideWhenUsed/>
    <w:rsid w:val="00C13825"/>
    <w:rPr>
      <w:vertAlign w:val="superscript"/>
    </w:rPr>
  </w:style>
  <w:style w:type="character" w:styleId="Emphasis">
    <w:name w:val="Emphasis"/>
    <w:basedOn w:val="DefaultParagraphFont"/>
    <w:uiPriority w:val="20"/>
    <w:qFormat/>
    <w:rsid w:val="00956018"/>
    <w:rPr>
      <w:i/>
      <w:iCs/>
    </w:rPr>
  </w:style>
  <w:style w:type="paragraph" w:customStyle="1" w:styleId="vspace">
    <w:name w:val="vspace"/>
    <w:basedOn w:val="Normal"/>
    <w:rsid w:val="00754915"/>
    <w:pPr>
      <w:spacing w:before="100" w:beforeAutospacing="1" w:after="100" w:afterAutospacing="1"/>
    </w:pPr>
    <w:rPr>
      <w:rFonts w:ascii="Times New Roman" w:eastAsia="Times New Roman" w:hAnsi="Times New Roman" w:cs="Times New Roman"/>
      <w:color w:val="auto"/>
      <w:sz w:val="24"/>
      <w:szCs w:val="24"/>
      <w:lang w:eastAsia="en-GB"/>
    </w:rPr>
  </w:style>
  <w:style w:type="character" w:styleId="Strong">
    <w:name w:val="Strong"/>
    <w:basedOn w:val="DefaultParagraphFont"/>
    <w:uiPriority w:val="22"/>
    <w:qFormat/>
    <w:rsid w:val="00754915"/>
    <w:rPr>
      <w:b/>
      <w:bCs/>
    </w:rPr>
  </w:style>
  <w:style w:type="paragraph" w:styleId="BodyText2">
    <w:name w:val="Body Text 2"/>
    <w:basedOn w:val="Normal"/>
    <w:link w:val="BodyText2Char"/>
    <w:uiPriority w:val="99"/>
    <w:semiHidden/>
    <w:unhideWhenUsed/>
    <w:rsid w:val="00686352"/>
    <w:pPr>
      <w:spacing w:after="120" w:line="480" w:lineRule="auto"/>
    </w:pPr>
  </w:style>
  <w:style w:type="character" w:customStyle="1" w:styleId="BodyText2Char">
    <w:name w:val="Body Text 2 Char"/>
    <w:basedOn w:val="DefaultParagraphFont"/>
    <w:link w:val="BodyText2"/>
    <w:uiPriority w:val="99"/>
    <w:semiHidden/>
    <w:rsid w:val="00686352"/>
    <w:rPr>
      <w:rFonts w:ascii="Arial" w:hAnsi="Arial"/>
      <w:color w:val="394A58" w:themeColor="text2"/>
      <w:sz w:val="20"/>
    </w:rPr>
  </w:style>
  <w:style w:type="table" w:styleId="TableGrid8">
    <w:name w:val="Table Grid 8"/>
    <w:basedOn w:val="TableNormal"/>
    <w:rsid w:val="00686352"/>
    <w:pPr>
      <w:spacing w:after="0" w:line="240" w:lineRule="auto"/>
    </w:pPr>
    <w:rPr>
      <w:rFonts w:ascii="Times New Roman" w:eastAsia="Times New Roman" w:hAnsi="Times New Roman" w:cs="Times New Roman"/>
      <w:sz w:val="20"/>
      <w:szCs w:val="20"/>
      <w:lang w:eastAsia="en-GB"/>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Default">
    <w:name w:val="Default"/>
    <w:rsid w:val="009815DB"/>
    <w:pPr>
      <w:autoSpaceDE w:val="0"/>
      <w:autoSpaceDN w:val="0"/>
      <w:adjustRightInd w:val="0"/>
      <w:spacing w:after="0" w:line="240" w:lineRule="auto"/>
    </w:pPr>
    <w:rPr>
      <w:rFonts w:ascii="Gill Sans MT" w:hAnsi="Gill Sans MT" w:cs="Gill Sans MT"/>
      <w:color w:val="000000"/>
      <w:sz w:val="24"/>
      <w:szCs w:val="24"/>
    </w:rPr>
  </w:style>
  <w:style w:type="paragraph" w:styleId="CommentSubject">
    <w:name w:val="annotation subject"/>
    <w:basedOn w:val="CommentText"/>
    <w:next w:val="CommentText"/>
    <w:link w:val="CommentSubjectChar"/>
    <w:uiPriority w:val="99"/>
    <w:semiHidden/>
    <w:unhideWhenUsed/>
    <w:rsid w:val="007D5384"/>
    <w:rPr>
      <w:b/>
      <w:bCs/>
    </w:rPr>
  </w:style>
  <w:style w:type="character" w:customStyle="1" w:styleId="CommentSubjectChar">
    <w:name w:val="Comment Subject Char"/>
    <w:basedOn w:val="CommentTextChar"/>
    <w:link w:val="CommentSubject"/>
    <w:uiPriority w:val="99"/>
    <w:semiHidden/>
    <w:rsid w:val="007D5384"/>
    <w:rPr>
      <w:rFonts w:ascii="Arial" w:hAnsi="Arial"/>
      <w:b/>
      <w:bCs/>
      <w:color w:val="394A58" w:themeColor="text2"/>
      <w:sz w:val="20"/>
      <w:szCs w:val="20"/>
    </w:rPr>
  </w:style>
  <w:style w:type="numbering" w:styleId="111111">
    <w:name w:val="Outline List 2"/>
    <w:basedOn w:val="NoList"/>
    <w:semiHidden/>
    <w:rsid w:val="00553FD5"/>
    <w:pPr>
      <w:numPr>
        <w:numId w:val="47"/>
      </w:numPr>
    </w:pPr>
  </w:style>
  <w:style w:type="numbering" w:styleId="1ai">
    <w:name w:val="Outline List 1"/>
    <w:basedOn w:val="NoList"/>
    <w:semiHidden/>
    <w:rsid w:val="00553FD5"/>
    <w:pPr>
      <w:numPr>
        <w:numId w:val="48"/>
      </w:numPr>
    </w:pPr>
  </w:style>
  <w:style w:type="numbering" w:styleId="ArticleSection">
    <w:name w:val="Outline List 3"/>
    <w:basedOn w:val="NoList"/>
    <w:semiHidden/>
    <w:rsid w:val="00553FD5"/>
    <w:pPr>
      <w:numPr>
        <w:numId w:val="49"/>
      </w:numPr>
    </w:pPr>
  </w:style>
  <w:style w:type="table" w:styleId="Table3Deffects1">
    <w:name w:val="Table 3D effects 1"/>
    <w:basedOn w:val="TableNormal"/>
    <w:semiHidden/>
    <w:rsid w:val="00553FD5"/>
    <w:pPr>
      <w:spacing w:after="0" w:line="240" w:lineRule="auto"/>
      <w:jc w:val="both"/>
    </w:pPr>
    <w:rPr>
      <w:rFonts w:ascii="Arial" w:eastAsia="Batang" w:hAnsi="Arial" w:cs="Arial"/>
      <w:sz w:val="20"/>
      <w:szCs w:val="20"/>
      <w:lang w:eastAsia="en-GB"/>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53FD5"/>
    <w:pPr>
      <w:spacing w:after="0" w:line="240" w:lineRule="auto"/>
      <w:jc w:val="both"/>
    </w:pPr>
    <w:rPr>
      <w:rFonts w:ascii="Arial" w:eastAsia="Batang" w:hAnsi="Arial" w:cs="Arial"/>
      <w:sz w:val="20"/>
      <w:szCs w:val="20"/>
      <w:lang w:eastAsia="en-GB"/>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53FD5"/>
    <w:pPr>
      <w:spacing w:after="0" w:line="240" w:lineRule="auto"/>
      <w:jc w:val="both"/>
    </w:pPr>
    <w:rPr>
      <w:rFonts w:ascii="Arial" w:eastAsia="Batang" w:hAnsi="Arial" w:cs="Arial"/>
      <w:sz w:val="20"/>
      <w:szCs w:val="20"/>
      <w:lang w:eastAsia="en-GB"/>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53FD5"/>
    <w:pPr>
      <w:spacing w:after="0" w:line="240" w:lineRule="auto"/>
      <w:jc w:val="both"/>
    </w:pPr>
    <w:rPr>
      <w:rFonts w:ascii="Arial" w:eastAsia="Batang" w:hAnsi="Arial" w:cs="Arial"/>
      <w:color w:val="000080"/>
      <w:sz w:val="20"/>
      <w:szCs w:val="20"/>
      <w:lang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53FD5"/>
    <w:pPr>
      <w:spacing w:after="0" w:line="240" w:lineRule="auto"/>
      <w:jc w:val="both"/>
    </w:pPr>
    <w:rPr>
      <w:rFonts w:ascii="Arial" w:eastAsia="Batang" w:hAnsi="Arial" w:cs="Arial"/>
      <w:color w:val="FFFFFF"/>
      <w:sz w:val="20"/>
      <w:szCs w:val="20"/>
      <w:lang w:eastAsia="en-GB"/>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53FD5"/>
    <w:pPr>
      <w:spacing w:after="0" w:line="240" w:lineRule="auto"/>
      <w:jc w:val="both"/>
    </w:pPr>
    <w:rPr>
      <w:rFonts w:ascii="Arial" w:eastAsia="Batang" w:hAnsi="Arial" w:cs="Arial"/>
      <w:sz w:val="20"/>
      <w:szCs w:val="20"/>
      <w:lang w:eastAsia="en-GB"/>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53FD5"/>
    <w:pPr>
      <w:spacing w:after="0" w:line="240" w:lineRule="auto"/>
      <w:jc w:val="both"/>
    </w:pPr>
    <w:rPr>
      <w:rFonts w:ascii="Arial" w:eastAsia="Batang" w:hAnsi="Arial" w:cs="Arial"/>
      <w:b/>
      <w:bCs/>
      <w:sz w:val="20"/>
      <w:szCs w:val="20"/>
      <w:lang w:eastAsia="en-GB"/>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53FD5"/>
    <w:pPr>
      <w:spacing w:after="0" w:line="240" w:lineRule="auto"/>
      <w:jc w:val="both"/>
    </w:pPr>
    <w:rPr>
      <w:rFonts w:ascii="Arial" w:eastAsia="Batang" w:hAnsi="Arial" w:cs="Arial"/>
      <w:b/>
      <w:bCs/>
      <w:sz w:val="20"/>
      <w:szCs w:val="20"/>
      <w:lang w:eastAsia="en-GB"/>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53FD5"/>
    <w:pPr>
      <w:spacing w:after="0" w:line="240" w:lineRule="auto"/>
      <w:jc w:val="both"/>
    </w:pPr>
    <w:rPr>
      <w:rFonts w:ascii="Arial" w:eastAsia="Batang" w:hAnsi="Arial" w:cs="Arial"/>
      <w:b/>
      <w:bCs/>
      <w:sz w:val="20"/>
      <w:szCs w:val="20"/>
      <w:lang w:eastAsia="en-GB"/>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53FD5"/>
    <w:pPr>
      <w:spacing w:after="0" w:line="240" w:lineRule="auto"/>
      <w:jc w:val="both"/>
    </w:pPr>
    <w:rPr>
      <w:rFonts w:ascii="Arial" w:eastAsia="Batang" w:hAnsi="Arial" w:cs="Arial"/>
      <w:sz w:val="20"/>
      <w:szCs w:val="20"/>
      <w:lang w:eastAsia="en-GB"/>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53FD5"/>
    <w:pPr>
      <w:spacing w:after="0" w:line="240" w:lineRule="auto"/>
      <w:jc w:val="both"/>
    </w:pPr>
    <w:rPr>
      <w:rFonts w:ascii="Arial" w:eastAsia="Batang" w:hAnsi="Arial" w:cs="Arial"/>
      <w:sz w:val="20"/>
      <w:szCs w:val="20"/>
      <w:lang w:eastAsia="en-GB"/>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53FD5"/>
    <w:pPr>
      <w:spacing w:after="0" w:line="240" w:lineRule="auto"/>
      <w:jc w:val="both"/>
    </w:pPr>
    <w:rPr>
      <w:rFonts w:ascii="Arial" w:eastAsia="Batang" w:hAnsi="Arial" w:cs="Arial"/>
      <w:sz w:val="20"/>
      <w:szCs w:val="20"/>
      <w:lang w:eastAsia="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53FD5"/>
    <w:pPr>
      <w:spacing w:after="0" w:line="240" w:lineRule="auto"/>
      <w:jc w:val="both"/>
    </w:pPr>
    <w:rPr>
      <w:rFonts w:ascii="Arial" w:eastAsia="Batang" w:hAnsi="Arial" w:cs="Arial"/>
      <w:sz w:val="20"/>
      <w:szCs w:val="20"/>
      <w:lang w:eastAsia="en-GB"/>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53FD5"/>
    <w:pPr>
      <w:spacing w:after="0" w:line="240" w:lineRule="auto"/>
      <w:jc w:val="both"/>
    </w:pPr>
    <w:rPr>
      <w:rFonts w:ascii="Arial" w:eastAsia="Batang" w:hAnsi="Arial" w:cs="Arial"/>
      <w:sz w:val="20"/>
      <w:szCs w:val="20"/>
      <w:lang w:eastAsia="en-GB"/>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53FD5"/>
    <w:pPr>
      <w:spacing w:after="0" w:line="240" w:lineRule="auto"/>
      <w:jc w:val="both"/>
    </w:pPr>
    <w:rPr>
      <w:rFonts w:ascii="Arial" w:eastAsia="Batang" w:hAnsi="Arial" w:cs="Arial"/>
      <w:b/>
      <w:bCs/>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1">
    <w:name w:val="Table List 1"/>
    <w:basedOn w:val="TableNormal"/>
    <w:semiHidden/>
    <w:rsid w:val="00553FD5"/>
    <w:pPr>
      <w:spacing w:after="0" w:line="240" w:lineRule="auto"/>
      <w:jc w:val="both"/>
    </w:pPr>
    <w:rPr>
      <w:rFonts w:ascii="Arial" w:eastAsia="Batang" w:hAnsi="Arial" w:cs="Arial"/>
      <w:sz w:val="20"/>
      <w:szCs w:val="20"/>
      <w:lang w:eastAsia="en-GB"/>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53FD5"/>
    <w:pPr>
      <w:spacing w:after="0" w:line="240" w:lineRule="auto"/>
      <w:jc w:val="both"/>
    </w:pPr>
    <w:rPr>
      <w:rFonts w:ascii="Arial" w:eastAsia="Batang" w:hAnsi="Arial" w:cs="Arial"/>
      <w:sz w:val="20"/>
      <w:szCs w:val="20"/>
      <w:lang w:eastAsia="en-GB"/>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53FD5"/>
    <w:pPr>
      <w:spacing w:after="0" w:line="240" w:lineRule="auto"/>
      <w:jc w:val="both"/>
    </w:pPr>
    <w:rPr>
      <w:rFonts w:ascii="Arial" w:eastAsia="Batang" w:hAnsi="Arial" w:cs="Arial"/>
      <w:sz w:val="20"/>
      <w:szCs w:val="20"/>
      <w:lang w:eastAsia="en-GB"/>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53FD5"/>
    <w:pPr>
      <w:spacing w:after="0" w:line="240" w:lineRule="auto"/>
      <w:jc w:val="both"/>
    </w:pPr>
    <w:rPr>
      <w:rFonts w:ascii="Arial" w:eastAsia="Batang" w:hAnsi="Arial" w:cs="Arial"/>
      <w:sz w:val="20"/>
      <w:szCs w:val="20"/>
      <w:lang w:eastAsia="en-GB"/>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53FD5"/>
    <w:pPr>
      <w:spacing w:after="0" w:line="240" w:lineRule="auto"/>
      <w:jc w:val="both"/>
    </w:pPr>
    <w:rPr>
      <w:rFonts w:ascii="Arial" w:eastAsia="Batang" w:hAnsi="Arial" w:cs="Arial"/>
      <w:sz w:val="20"/>
      <w:szCs w:val="20"/>
      <w:lang w:eastAsia="en-GB"/>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53FD5"/>
    <w:pPr>
      <w:spacing w:after="0" w:line="240" w:lineRule="auto"/>
      <w:jc w:val="both"/>
    </w:pPr>
    <w:rPr>
      <w:rFonts w:ascii="Arial" w:eastAsia="Batang" w:hAnsi="Arial" w:cs="Arial"/>
      <w:sz w:val="20"/>
      <w:szCs w:val="20"/>
      <w:lang w:eastAsia="en-GB"/>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53FD5"/>
    <w:pPr>
      <w:spacing w:after="0" w:line="240" w:lineRule="auto"/>
      <w:jc w:val="both"/>
    </w:pPr>
    <w:rPr>
      <w:rFonts w:ascii="Arial" w:eastAsia="Batang" w:hAnsi="Arial" w:cs="Arial"/>
      <w:sz w:val="20"/>
      <w:szCs w:val="20"/>
      <w:lang w:eastAsia="en-GB"/>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53FD5"/>
    <w:pPr>
      <w:spacing w:after="0" w:line="240" w:lineRule="auto"/>
      <w:jc w:val="both"/>
    </w:pPr>
    <w:rPr>
      <w:rFonts w:ascii="Arial" w:eastAsia="Batang" w:hAnsi="Arial" w:cs="Arial"/>
      <w:sz w:val="20"/>
      <w:szCs w:val="20"/>
      <w:lang w:eastAsia="en-GB"/>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53FD5"/>
    <w:pPr>
      <w:spacing w:after="0" w:line="240" w:lineRule="auto"/>
      <w:jc w:val="both"/>
    </w:pPr>
    <w:rPr>
      <w:rFonts w:ascii="Arial" w:eastAsia="Batang" w:hAnsi="Arial" w:cs="Arial"/>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553FD5"/>
    <w:pPr>
      <w:spacing w:after="0" w:line="240" w:lineRule="auto"/>
      <w:jc w:val="both"/>
    </w:pPr>
    <w:rPr>
      <w:rFonts w:ascii="Arial" w:eastAsia="Batang" w:hAnsi="Arial" w:cs="Arial"/>
      <w:sz w:val="20"/>
      <w:szCs w:val="20"/>
      <w:lang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53FD5"/>
    <w:pPr>
      <w:spacing w:after="0" w:line="240" w:lineRule="auto"/>
      <w:jc w:val="both"/>
    </w:pPr>
    <w:rPr>
      <w:rFonts w:ascii="Arial" w:eastAsia="Batang" w:hAnsi="Arial" w:cs="Arial"/>
      <w:sz w:val="20"/>
      <w:szCs w:val="20"/>
      <w:lang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53FD5"/>
    <w:pPr>
      <w:spacing w:after="0" w:line="240" w:lineRule="auto"/>
      <w:jc w:val="both"/>
    </w:pPr>
    <w:rPr>
      <w:rFonts w:ascii="Arial" w:eastAsia="Batang" w:hAnsi="Arial" w:cs="Arial"/>
      <w:sz w:val="20"/>
      <w:szCs w:val="20"/>
      <w:lang w:eastAsia="en-GB"/>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Quotelarge0">
    <w:name w:val="Quote large"/>
    <w:next w:val="BodyText"/>
    <w:link w:val="QuotelargeChar"/>
    <w:uiPriority w:val="2"/>
    <w:qFormat/>
    <w:rsid w:val="00553FD5"/>
    <w:pPr>
      <w:spacing w:after="480" w:line="240" w:lineRule="auto"/>
      <w:ind w:right="1701"/>
    </w:pPr>
    <w:rPr>
      <w:rFonts w:ascii="Arial" w:eastAsia="Batang" w:hAnsi="Arial" w:cs="Arial"/>
      <w:color w:val="156570"/>
      <w:sz w:val="48"/>
      <w:szCs w:val="20"/>
      <w:lang w:eastAsia="ko-KR"/>
    </w:rPr>
  </w:style>
  <w:style w:type="character" w:customStyle="1" w:styleId="QuotelargeChar">
    <w:name w:val="Quote large Char"/>
    <w:basedOn w:val="DefaultParagraphFont"/>
    <w:link w:val="Quotelarge0"/>
    <w:uiPriority w:val="2"/>
    <w:rsid w:val="00553FD5"/>
    <w:rPr>
      <w:rFonts w:ascii="Arial" w:eastAsia="Batang" w:hAnsi="Arial" w:cs="Arial"/>
      <w:color w:val="156570"/>
      <w:sz w:val="48"/>
      <w:szCs w:val="20"/>
      <w:lang w:eastAsia="ko-KR"/>
    </w:rPr>
  </w:style>
  <w:style w:type="paragraph" w:customStyle="1" w:styleId="Introductionheading">
    <w:name w:val="Introduction heading"/>
    <w:basedOn w:val="Sectionintroduction"/>
    <w:next w:val="BodyText"/>
    <w:link w:val="IntroductionheadingChar"/>
    <w:uiPriority w:val="2"/>
    <w:qFormat/>
    <w:rsid w:val="00553FD5"/>
    <w:pPr>
      <w:tabs>
        <w:tab w:val="left" w:pos="7230"/>
      </w:tabs>
    </w:pPr>
    <w:rPr>
      <w:color w:val="FFFFFF" w:themeColor="background1"/>
    </w:rPr>
  </w:style>
  <w:style w:type="table" w:customStyle="1" w:styleId="AtkinsI">
    <w:name w:val="Atkins_I"/>
    <w:basedOn w:val="TableNormal"/>
    <w:uiPriority w:val="99"/>
    <w:qFormat/>
    <w:rsid w:val="00553FD5"/>
    <w:pPr>
      <w:spacing w:after="0" w:line="240" w:lineRule="auto"/>
      <w:jc w:val="right"/>
    </w:pPr>
    <w:rPr>
      <w:rFonts w:ascii="Arial" w:eastAsia="Batang" w:hAnsi="Arial" w:cs="Arial"/>
      <w:sz w:val="20"/>
      <w:szCs w:val="20"/>
      <w:lang w:eastAsia="en-GB"/>
    </w:rPr>
    <w:tblPr>
      <w:tblInd w:w="0" w:type="dxa"/>
      <w:tblCellMar>
        <w:top w:w="45" w:type="dxa"/>
        <w:left w:w="45" w:type="dxa"/>
        <w:bottom w:w="45" w:type="dxa"/>
        <w:right w:w="45" w:type="dxa"/>
      </w:tblCellMar>
    </w:tblPr>
    <w:tcPr>
      <w:vAlign w:val="bottom"/>
    </w:tcPr>
    <w:tblStylePr w:type="firstRow">
      <w:pPr>
        <w:wordWrap/>
        <w:jc w:val="right"/>
      </w:pPr>
      <w:rPr>
        <w:b/>
      </w:rPr>
      <w:tblPr/>
      <w:trPr>
        <w:tblHeader/>
      </w:trPr>
      <w:tcPr>
        <w:tcBorders>
          <w:bottom w:val="single" w:sz="4" w:space="0" w:color="auto"/>
        </w:tcBorders>
      </w:tcPr>
    </w:tblStylePr>
    <w:tblStylePr w:type="lastRow">
      <w:tblPr/>
      <w:tcPr>
        <w:tcBorders>
          <w:bottom w:val="single" w:sz="4" w:space="0" w:color="auto"/>
        </w:tcBorders>
      </w:tcPr>
    </w:tblStylePr>
    <w:tblStylePr w:type="firstCol">
      <w:pPr>
        <w:jc w:val="left"/>
      </w:pPr>
    </w:tblStylePr>
    <w:tblStylePr w:type="nwCell">
      <w:pPr>
        <w:jc w:val="left"/>
      </w:pPr>
    </w:tblStylePr>
  </w:style>
  <w:style w:type="character" w:customStyle="1" w:styleId="IntroductionheadingChar">
    <w:name w:val="Introduction heading Char"/>
    <w:basedOn w:val="Heading1Char"/>
    <w:link w:val="Introductionheading"/>
    <w:uiPriority w:val="2"/>
    <w:rsid w:val="00553FD5"/>
    <w:rPr>
      <w:rFonts w:ascii="Arial" w:eastAsia="Batang" w:hAnsi="Arial" w:cs="Arial"/>
      <w:b/>
      <w:bCs/>
      <w:color w:val="FFFFFF" w:themeColor="background1"/>
      <w:sz w:val="48"/>
      <w:szCs w:val="20"/>
      <w:lang w:eastAsia="ko-KR"/>
    </w:rPr>
  </w:style>
  <w:style w:type="table" w:styleId="LightShading-Accent4">
    <w:name w:val="Light Shading Accent 4"/>
    <w:basedOn w:val="TableNormal"/>
    <w:uiPriority w:val="60"/>
    <w:rsid w:val="00553FD5"/>
    <w:pPr>
      <w:spacing w:after="0" w:line="240" w:lineRule="auto"/>
    </w:pPr>
    <w:rPr>
      <w:rFonts w:ascii="Arial" w:eastAsia="Batang" w:hAnsi="Arial" w:cs="Arial"/>
      <w:color w:val="0F4B53" w:themeColor="accent4" w:themeShade="BF"/>
      <w:sz w:val="20"/>
      <w:szCs w:val="20"/>
      <w:lang w:eastAsia="en-GB"/>
    </w:rPr>
    <w:tblPr>
      <w:tblStyleRowBandSize w:val="1"/>
      <w:tblStyleColBandSize w:val="1"/>
      <w:tblInd w:w="0" w:type="dxa"/>
      <w:tblBorders>
        <w:top w:val="single" w:sz="8" w:space="0" w:color="156570" w:themeColor="accent4"/>
        <w:bottom w:val="single" w:sz="8" w:space="0" w:color="15657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56570" w:themeColor="accent4"/>
          <w:left w:val="nil"/>
          <w:bottom w:val="single" w:sz="8" w:space="0" w:color="156570" w:themeColor="accent4"/>
          <w:right w:val="nil"/>
          <w:insideH w:val="nil"/>
          <w:insideV w:val="nil"/>
        </w:tcBorders>
      </w:tcPr>
    </w:tblStylePr>
    <w:tblStylePr w:type="lastRow">
      <w:pPr>
        <w:spacing w:before="0" w:after="0" w:line="240" w:lineRule="auto"/>
      </w:pPr>
      <w:rPr>
        <w:b/>
        <w:bCs/>
      </w:rPr>
      <w:tblPr/>
      <w:tcPr>
        <w:tcBorders>
          <w:top w:val="single" w:sz="8" w:space="0" w:color="156570" w:themeColor="accent4"/>
          <w:left w:val="nil"/>
          <w:bottom w:val="single" w:sz="8" w:space="0" w:color="15657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E8F0" w:themeFill="accent4" w:themeFillTint="3F"/>
      </w:tcPr>
    </w:tblStylePr>
    <w:tblStylePr w:type="band1Horz">
      <w:tblPr/>
      <w:tcPr>
        <w:tcBorders>
          <w:left w:val="nil"/>
          <w:right w:val="nil"/>
          <w:insideH w:val="nil"/>
          <w:insideV w:val="nil"/>
        </w:tcBorders>
        <w:shd w:val="clear" w:color="auto" w:fill="B0E8F0" w:themeFill="accent4" w:themeFillTint="3F"/>
      </w:tcPr>
    </w:tblStylePr>
  </w:style>
  <w:style w:type="table" w:styleId="LightShading-Accent5">
    <w:name w:val="Light Shading Accent 5"/>
    <w:basedOn w:val="TableNormal"/>
    <w:uiPriority w:val="60"/>
    <w:rsid w:val="00553FD5"/>
    <w:pPr>
      <w:spacing w:after="0" w:line="240" w:lineRule="auto"/>
    </w:pPr>
    <w:rPr>
      <w:rFonts w:ascii="Arial" w:eastAsia="Batang" w:hAnsi="Arial" w:cs="Arial"/>
      <w:color w:val="62003C" w:themeColor="accent5" w:themeShade="BF"/>
      <w:sz w:val="20"/>
      <w:szCs w:val="20"/>
      <w:lang w:eastAsia="en-GB"/>
    </w:rPr>
    <w:tblPr>
      <w:tblStyleRowBandSize w:val="1"/>
      <w:tblStyleColBandSize w:val="1"/>
      <w:tblInd w:w="0" w:type="dxa"/>
      <w:tblBorders>
        <w:top w:val="single" w:sz="8" w:space="0" w:color="830051" w:themeColor="accent5"/>
        <w:bottom w:val="single" w:sz="8" w:space="0" w:color="830051"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30051" w:themeColor="accent5"/>
          <w:left w:val="nil"/>
          <w:bottom w:val="single" w:sz="8" w:space="0" w:color="830051" w:themeColor="accent5"/>
          <w:right w:val="nil"/>
          <w:insideH w:val="nil"/>
          <w:insideV w:val="nil"/>
        </w:tcBorders>
      </w:tcPr>
    </w:tblStylePr>
    <w:tblStylePr w:type="lastRow">
      <w:pPr>
        <w:spacing w:before="0" w:after="0" w:line="240" w:lineRule="auto"/>
      </w:pPr>
      <w:rPr>
        <w:b/>
        <w:bCs/>
      </w:rPr>
      <w:tblPr/>
      <w:tcPr>
        <w:tcBorders>
          <w:top w:val="single" w:sz="8" w:space="0" w:color="830051" w:themeColor="accent5"/>
          <w:left w:val="nil"/>
          <w:bottom w:val="single" w:sz="8" w:space="0" w:color="83005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1DB" w:themeFill="accent5" w:themeFillTint="3F"/>
      </w:tcPr>
    </w:tblStylePr>
    <w:tblStylePr w:type="band1Horz">
      <w:tblPr/>
      <w:tcPr>
        <w:tcBorders>
          <w:left w:val="nil"/>
          <w:right w:val="nil"/>
          <w:insideH w:val="nil"/>
          <w:insideV w:val="nil"/>
        </w:tcBorders>
        <w:shd w:val="clear" w:color="auto" w:fill="FFA1DB" w:themeFill="accent5" w:themeFillTint="3F"/>
      </w:tcPr>
    </w:tblStylePr>
  </w:style>
  <w:style w:type="paragraph" w:customStyle="1" w:styleId="DecimalAligned">
    <w:name w:val="Decimal Aligned"/>
    <w:basedOn w:val="Normal"/>
    <w:uiPriority w:val="40"/>
    <w:rsid w:val="00553FD5"/>
    <w:pPr>
      <w:tabs>
        <w:tab w:val="decimal" w:pos="360"/>
      </w:tabs>
      <w:spacing w:after="200" w:line="276" w:lineRule="auto"/>
    </w:pPr>
    <w:rPr>
      <w:rFonts w:asciiTheme="minorHAnsi" w:eastAsiaTheme="minorEastAsia" w:hAnsiTheme="minorHAnsi"/>
      <w:color w:val="394A58"/>
      <w:sz w:val="22"/>
      <w:lang w:val="en-US"/>
    </w:rPr>
  </w:style>
  <w:style w:type="character" w:styleId="SubtleEmphasis">
    <w:name w:val="Subtle Emphasis"/>
    <w:basedOn w:val="DefaultParagraphFont"/>
    <w:uiPriority w:val="19"/>
    <w:rsid w:val="00553FD5"/>
    <w:rPr>
      <w:rFonts w:eastAsiaTheme="minorEastAsia" w:cstheme="minorBidi"/>
      <w:bCs w:val="0"/>
      <w:i/>
      <w:iCs/>
      <w:color w:val="808080" w:themeColor="text1" w:themeTint="7F"/>
      <w:szCs w:val="22"/>
      <w:lang w:val="en-US"/>
    </w:rPr>
  </w:style>
  <w:style w:type="table" w:styleId="LightShading-Accent2">
    <w:name w:val="Light Shading Accent 2"/>
    <w:basedOn w:val="TableNormal"/>
    <w:uiPriority w:val="60"/>
    <w:rsid w:val="00553FD5"/>
    <w:pPr>
      <w:spacing w:after="0" w:line="240" w:lineRule="auto"/>
    </w:pPr>
    <w:rPr>
      <w:rFonts w:ascii="Arial" w:eastAsia="Batang" w:hAnsi="Arial" w:cs="Arial"/>
      <w:color w:val="2A3741" w:themeColor="accent2" w:themeShade="BF"/>
      <w:sz w:val="20"/>
      <w:szCs w:val="20"/>
      <w:lang w:eastAsia="en-GB"/>
    </w:rPr>
    <w:tblPr>
      <w:tblStyleRowBandSize w:val="1"/>
      <w:tblStyleColBandSize w:val="1"/>
      <w:tblInd w:w="0" w:type="dxa"/>
      <w:tblBorders>
        <w:top w:val="single" w:sz="8" w:space="0" w:color="394A58" w:themeColor="accent2"/>
        <w:bottom w:val="single" w:sz="8" w:space="0" w:color="394A58"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94A58" w:themeColor="accent2"/>
          <w:left w:val="nil"/>
          <w:bottom w:val="single" w:sz="8" w:space="0" w:color="394A58" w:themeColor="accent2"/>
          <w:right w:val="nil"/>
          <w:insideH w:val="nil"/>
          <w:insideV w:val="nil"/>
        </w:tcBorders>
      </w:tcPr>
    </w:tblStylePr>
    <w:tblStylePr w:type="lastRow">
      <w:pPr>
        <w:spacing w:before="0" w:after="0" w:line="240" w:lineRule="auto"/>
      </w:pPr>
      <w:rPr>
        <w:b/>
        <w:bCs/>
      </w:rPr>
      <w:tblPr/>
      <w:tcPr>
        <w:tcBorders>
          <w:top w:val="single" w:sz="8" w:space="0" w:color="394A58" w:themeColor="accent2"/>
          <w:left w:val="nil"/>
          <w:bottom w:val="single" w:sz="8" w:space="0" w:color="394A5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D2DB" w:themeFill="accent2" w:themeFillTint="3F"/>
      </w:tcPr>
    </w:tblStylePr>
    <w:tblStylePr w:type="band1Horz">
      <w:tblPr/>
      <w:tcPr>
        <w:tcBorders>
          <w:left w:val="nil"/>
          <w:right w:val="nil"/>
          <w:insideH w:val="nil"/>
          <w:insideV w:val="nil"/>
        </w:tcBorders>
        <w:shd w:val="clear" w:color="auto" w:fill="C8D2DB" w:themeFill="accent2" w:themeFillTint="3F"/>
      </w:tcPr>
    </w:tblStylePr>
  </w:style>
  <w:style w:type="paragraph" w:styleId="Bibliography">
    <w:name w:val="Bibliography"/>
    <w:next w:val="BodyText"/>
    <w:uiPriority w:val="37"/>
    <w:rsid w:val="00553FD5"/>
    <w:pPr>
      <w:spacing w:after="0" w:line="240" w:lineRule="auto"/>
    </w:pPr>
    <w:rPr>
      <w:rFonts w:eastAsia="Batang" w:cs="Arial"/>
      <w:color w:val="156570"/>
      <w:sz w:val="20"/>
      <w:szCs w:val="20"/>
      <w:lang w:eastAsia="ko-KR"/>
    </w:rPr>
  </w:style>
  <w:style w:type="numbering" w:customStyle="1" w:styleId="ATKINSNUMBERS">
    <w:name w:val="ATKINS_NUMBERS"/>
    <w:uiPriority w:val="99"/>
    <w:rsid w:val="00553FD5"/>
    <w:pPr>
      <w:numPr>
        <w:numId w:val="50"/>
      </w:numPr>
    </w:pPr>
  </w:style>
  <w:style w:type="paragraph" w:customStyle="1" w:styleId="Sectionintroduction">
    <w:name w:val="Section introduction"/>
    <w:basedOn w:val="Quotelarge0"/>
    <w:link w:val="SectionintroductionChar"/>
    <w:uiPriority w:val="2"/>
    <w:qFormat/>
    <w:rsid w:val="00553FD5"/>
    <w:pPr>
      <w:spacing w:before="1080" w:after="120"/>
    </w:pPr>
    <w:rPr>
      <w:b/>
    </w:rPr>
  </w:style>
  <w:style w:type="character" w:customStyle="1" w:styleId="SectionintroductionChar">
    <w:name w:val="Section introduction Char"/>
    <w:basedOn w:val="QuotelargeChar"/>
    <w:link w:val="Sectionintroduction"/>
    <w:uiPriority w:val="2"/>
    <w:rsid w:val="00553FD5"/>
    <w:rPr>
      <w:rFonts w:ascii="Arial" w:eastAsia="Batang" w:hAnsi="Arial" w:cs="Arial"/>
      <w:b/>
      <w:color w:val="156570"/>
      <w:sz w:val="48"/>
      <w:szCs w:val="20"/>
      <w:lang w:eastAsia="ko-KR"/>
    </w:rPr>
  </w:style>
  <w:style w:type="character" w:styleId="PlaceholderText">
    <w:name w:val="Placeholder Text"/>
    <w:basedOn w:val="DefaultParagraphFont"/>
    <w:uiPriority w:val="99"/>
    <w:semiHidden/>
    <w:rsid w:val="00553FD5"/>
    <w:rPr>
      <w:color w:val="808080"/>
    </w:rPr>
  </w:style>
  <w:style w:type="paragraph" w:customStyle="1" w:styleId="CoverCompanyname">
    <w:name w:val="Cover_Company name"/>
    <w:uiPriority w:val="2"/>
    <w:rsid w:val="00553FD5"/>
    <w:pPr>
      <w:spacing w:after="0" w:line="240" w:lineRule="auto"/>
    </w:pPr>
    <w:rPr>
      <w:rFonts w:ascii="Arial" w:eastAsia="Batang" w:hAnsi="Arial" w:cs="Arial"/>
      <w:color w:val="156570"/>
      <w:sz w:val="48"/>
      <w:szCs w:val="20"/>
      <w:lang w:eastAsia="ko-KR"/>
    </w:rPr>
  </w:style>
  <w:style w:type="paragraph" w:customStyle="1" w:styleId="CoverTitleofdocument">
    <w:name w:val="Cover_Title of document"/>
    <w:uiPriority w:val="2"/>
    <w:rsid w:val="00553FD5"/>
    <w:pPr>
      <w:spacing w:after="0" w:line="240" w:lineRule="auto"/>
    </w:pPr>
    <w:rPr>
      <w:rFonts w:ascii="Arial" w:eastAsia="Batang" w:hAnsi="Arial" w:cs="Arial"/>
      <w:color w:val="156570"/>
      <w:sz w:val="48"/>
      <w:szCs w:val="20"/>
      <w:lang w:eastAsia="ko-KR"/>
    </w:rPr>
  </w:style>
  <w:style w:type="paragraph" w:customStyle="1" w:styleId="CoverTendersubmission">
    <w:name w:val="Cover_Tender submission"/>
    <w:uiPriority w:val="2"/>
    <w:rsid w:val="00553FD5"/>
    <w:pPr>
      <w:spacing w:after="0" w:line="240" w:lineRule="auto"/>
      <w:ind w:left="1021" w:hanging="1021"/>
    </w:pPr>
    <w:rPr>
      <w:rFonts w:ascii="Arial" w:eastAsia="Batang" w:hAnsi="Arial" w:cs="Arial"/>
      <w:b/>
      <w:color w:val="156570"/>
      <w:szCs w:val="20"/>
      <w:lang w:eastAsia="ko-KR"/>
    </w:rPr>
  </w:style>
  <w:style w:type="paragraph" w:customStyle="1" w:styleId="Coverdate">
    <w:name w:val="Cover_date"/>
    <w:uiPriority w:val="2"/>
    <w:rsid w:val="00553FD5"/>
    <w:pPr>
      <w:spacing w:after="0" w:line="240" w:lineRule="auto"/>
      <w:ind w:left="1021" w:hanging="1021"/>
    </w:pPr>
    <w:rPr>
      <w:rFonts w:ascii="Arial" w:eastAsia="Batang" w:hAnsi="Arial" w:cs="Arial"/>
      <w:color w:val="156570"/>
      <w:szCs w:val="20"/>
      <w:lang w:eastAsia="ko-KR"/>
    </w:rPr>
  </w:style>
  <w:style w:type="paragraph" w:customStyle="1" w:styleId="StyleHeading6Left0cmFirstline0cm">
    <w:name w:val="Style Heading 6 + Left:  0 cm First line:  0 cm"/>
    <w:basedOn w:val="Heading6"/>
    <w:uiPriority w:val="2"/>
    <w:rsid w:val="00553FD5"/>
    <w:pPr>
      <w:pageBreakBefore w:val="0"/>
      <w:numPr>
        <w:ilvl w:val="0"/>
        <w:numId w:val="0"/>
      </w:numPr>
      <w:tabs>
        <w:tab w:val="clear" w:pos="2948"/>
      </w:tabs>
      <w:spacing w:before="840" w:after="840"/>
    </w:pPr>
    <w:rPr>
      <w:bCs/>
      <w:iCs w:val="0"/>
      <w:color w:val="394A58"/>
      <w:sz w:val="36"/>
      <w:szCs w:val="20"/>
      <w:lang w:eastAsia="ko-KR"/>
    </w:rPr>
  </w:style>
  <w:style w:type="paragraph" w:customStyle="1" w:styleId="DividerHeader">
    <w:name w:val="Divider Header"/>
    <w:basedOn w:val="Sectionintroduction"/>
    <w:uiPriority w:val="2"/>
    <w:qFormat/>
    <w:rsid w:val="00553FD5"/>
    <w:rPr>
      <w:color w:val="FFFFFF" w:themeColor="background1"/>
    </w:rPr>
  </w:style>
  <w:style w:type="paragraph" w:customStyle="1" w:styleId="Dividersub">
    <w:name w:val="Divider sub"/>
    <w:basedOn w:val="Quotelarge0"/>
    <w:uiPriority w:val="2"/>
    <w:rsid w:val="00553FD5"/>
    <w:rPr>
      <w:color w:val="FFFFFF" w:themeColor="background1"/>
    </w:rPr>
  </w:style>
  <w:style w:type="paragraph" w:customStyle="1" w:styleId="Chapterbreaktext">
    <w:name w:val="Chapter break text"/>
    <w:basedOn w:val="Quotelarge0"/>
    <w:link w:val="ChapterbreaktextChar"/>
    <w:uiPriority w:val="2"/>
    <w:qFormat/>
    <w:rsid w:val="00553FD5"/>
    <w:pPr>
      <w:spacing w:before="1080" w:after="120"/>
    </w:pPr>
    <w:rPr>
      <w:b/>
    </w:rPr>
  </w:style>
  <w:style w:type="character" w:customStyle="1" w:styleId="ChapterbreaktextChar">
    <w:name w:val="Chapter break text Char"/>
    <w:basedOn w:val="QuotelargeChar"/>
    <w:link w:val="Chapterbreaktext"/>
    <w:uiPriority w:val="2"/>
    <w:rsid w:val="00553FD5"/>
    <w:rPr>
      <w:rFonts w:ascii="Arial" w:eastAsia="Batang" w:hAnsi="Arial" w:cs="Arial"/>
      <w:b/>
      <w:color w:val="156570"/>
      <w:sz w:val="48"/>
      <w:szCs w:val="20"/>
      <w:lang w:eastAsia="ko-KR"/>
    </w:rPr>
  </w:style>
  <w:style w:type="numbering" w:customStyle="1" w:styleId="Atkinsbullets">
    <w:name w:val="Atkins_bullets"/>
    <w:uiPriority w:val="99"/>
    <w:rsid w:val="00553FD5"/>
    <w:pPr>
      <w:numPr>
        <w:numId w:val="51"/>
      </w:numPr>
    </w:pPr>
  </w:style>
  <w:style w:type="character" w:customStyle="1" w:styleId="Heading1Char1">
    <w:name w:val="Heading 1 Char1"/>
    <w:aliases w:val="Heading 1 Char Char Char,Heading 1 Char Char1,ERA Section Heading Char1,Section Header Char1,h1 Char,1 Char1,1 Char Char,Heading 1 Char2 Char,ERA Section Heading Char Char,Section Header Char Char,h1 Char2 Char,Heading 1 Char1 Char Char"/>
    <w:basedOn w:val="DefaultParagraphFont"/>
    <w:rsid w:val="00553FD5"/>
    <w:rPr>
      <w:rFonts w:eastAsia="Times New Roman" w:cs="Times New Roman"/>
      <w:b/>
      <w:bCs/>
      <w:caps/>
      <w:kern w:val="28"/>
      <w:sz w:val="28"/>
      <w:szCs w:val="30"/>
      <w:lang w:eastAsia="zh-CN"/>
    </w:rPr>
  </w:style>
  <w:style w:type="paragraph" w:customStyle="1" w:styleId="DefaultParagraphFont11">
    <w:name w:val="Default Paragraph Font11"/>
    <w:aliases w:val="Default Paragraph Font Para Char Char"/>
    <w:basedOn w:val="Normal"/>
    <w:rsid w:val="00553FD5"/>
    <w:pPr>
      <w:tabs>
        <w:tab w:val="left" w:pos="1425"/>
      </w:tabs>
      <w:spacing w:after="0"/>
      <w:ind w:right="53"/>
      <w:jc w:val="both"/>
    </w:pPr>
    <w:rPr>
      <w:rFonts w:eastAsia="SimSun" w:cs="Times New Roman"/>
      <w:color w:val="FF6600"/>
      <w:sz w:val="22"/>
      <w:szCs w:val="16"/>
      <w:lang w:eastAsia="zh-CN"/>
    </w:rPr>
  </w:style>
  <w:style w:type="paragraph" w:customStyle="1" w:styleId="Level2">
    <w:name w:val="Level2"/>
    <w:basedOn w:val="Normal"/>
    <w:next w:val="Heading2"/>
    <w:link w:val="Level2Char"/>
    <w:rsid w:val="00553FD5"/>
    <w:pPr>
      <w:keepNext/>
      <w:spacing w:before="120"/>
      <w:ind w:left="720"/>
      <w:jc w:val="both"/>
    </w:pPr>
    <w:rPr>
      <w:rFonts w:eastAsia="Times New Roman" w:cs="Times New Roman"/>
      <w:b/>
      <w:bCs/>
      <w:caps/>
      <w:color w:val="auto"/>
      <w:sz w:val="22"/>
      <w:szCs w:val="24"/>
      <w:lang w:eastAsia="zh-CN"/>
    </w:rPr>
  </w:style>
  <w:style w:type="character" w:customStyle="1" w:styleId="Level2Char">
    <w:name w:val="Level2 Char"/>
    <w:basedOn w:val="DefaultParagraphFont"/>
    <w:link w:val="Level2"/>
    <w:rsid w:val="00553FD5"/>
    <w:rPr>
      <w:rFonts w:ascii="Arial" w:eastAsia="Times New Roman" w:hAnsi="Arial" w:cs="Times New Roman"/>
      <w:b/>
      <w:bCs/>
      <w:caps/>
      <w:szCs w:val="24"/>
      <w:lang w:eastAsia="zh-CN"/>
    </w:rPr>
  </w:style>
  <w:style w:type="paragraph" w:customStyle="1" w:styleId="Level3">
    <w:name w:val="Level3"/>
    <w:basedOn w:val="Level2"/>
    <w:next w:val="Heading2"/>
    <w:link w:val="Level3Char"/>
    <w:rsid w:val="00553FD5"/>
    <w:rPr>
      <w:caps w:val="0"/>
    </w:rPr>
  </w:style>
  <w:style w:type="character" w:customStyle="1" w:styleId="Level3Char">
    <w:name w:val="Level3 Char"/>
    <w:basedOn w:val="Level2Char"/>
    <w:link w:val="Level3"/>
    <w:rsid w:val="00553FD5"/>
    <w:rPr>
      <w:rFonts w:ascii="Arial" w:eastAsia="Times New Roman" w:hAnsi="Arial" w:cs="Times New Roman"/>
      <w:b/>
      <w:bCs/>
      <w:caps/>
      <w:szCs w:val="24"/>
      <w:lang w:eastAsia="zh-CN"/>
    </w:rPr>
  </w:style>
  <w:style w:type="paragraph" w:customStyle="1" w:styleId="TableText0">
    <w:name w:val="Table Text"/>
    <w:basedOn w:val="Normal"/>
    <w:rsid w:val="00553FD5"/>
    <w:pPr>
      <w:spacing w:before="80" w:after="80"/>
    </w:pPr>
    <w:rPr>
      <w:rFonts w:eastAsia="Times New Roman" w:cs="Times New Roman"/>
      <w:color w:val="auto"/>
      <w:szCs w:val="20"/>
      <w:lang w:eastAsia="zh-CN"/>
    </w:rPr>
  </w:style>
  <w:style w:type="paragraph" w:customStyle="1" w:styleId="EXEC">
    <w:name w:val="EXEC"/>
    <w:basedOn w:val="Normal"/>
    <w:next w:val="level6"/>
    <w:rsid w:val="00553FD5"/>
    <w:pPr>
      <w:keepNext/>
      <w:spacing w:before="1120" w:after="900" w:line="288" w:lineRule="auto"/>
      <w:jc w:val="both"/>
    </w:pPr>
    <w:rPr>
      <w:rFonts w:eastAsia="Times New Roman" w:cs="Times New Roman"/>
      <w:b/>
      <w:bCs/>
      <w:color w:val="auto"/>
      <w:sz w:val="28"/>
      <w:szCs w:val="30"/>
      <w:lang w:eastAsia="zh-CN"/>
    </w:rPr>
  </w:style>
  <w:style w:type="paragraph" w:customStyle="1" w:styleId="level6">
    <w:name w:val="level6"/>
    <w:basedOn w:val="Normal"/>
    <w:rsid w:val="00553FD5"/>
    <w:pPr>
      <w:spacing w:before="120" w:line="288" w:lineRule="auto"/>
      <w:jc w:val="both"/>
    </w:pPr>
    <w:rPr>
      <w:rFonts w:eastAsia="Times New Roman" w:cs="Times New Roman"/>
      <w:color w:val="auto"/>
      <w:sz w:val="22"/>
      <w:szCs w:val="24"/>
      <w:lang w:eastAsia="zh-CN"/>
    </w:rPr>
  </w:style>
  <w:style w:type="paragraph" w:styleId="Index1">
    <w:name w:val="index 1"/>
    <w:basedOn w:val="Normal"/>
    <w:next w:val="Normal"/>
    <w:semiHidden/>
    <w:rsid w:val="00553FD5"/>
    <w:pPr>
      <w:tabs>
        <w:tab w:val="right" w:leader="dot" w:pos="8313"/>
      </w:tabs>
      <w:spacing w:before="120" w:after="120"/>
      <w:ind w:left="240" w:hanging="240"/>
      <w:jc w:val="both"/>
    </w:pPr>
    <w:rPr>
      <w:rFonts w:eastAsia="Times New Roman" w:cs="Times New Roman"/>
      <w:color w:val="auto"/>
      <w:sz w:val="22"/>
      <w:szCs w:val="24"/>
      <w:lang w:eastAsia="zh-CN"/>
    </w:rPr>
  </w:style>
  <w:style w:type="paragraph" w:styleId="IndexHeading">
    <w:name w:val="index heading"/>
    <w:basedOn w:val="Normal"/>
    <w:next w:val="Index1"/>
    <w:semiHidden/>
    <w:rsid w:val="00553FD5"/>
    <w:pPr>
      <w:spacing w:before="120" w:after="120"/>
      <w:jc w:val="both"/>
    </w:pPr>
    <w:rPr>
      <w:rFonts w:eastAsia="Times New Roman" w:cs="Times New Roman"/>
      <w:color w:val="auto"/>
      <w:sz w:val="22"/>
      <w:szCs w:val="24"/>
      <w:lang w:eastAsia="zh-CN"/>
    </w:rPr>
  </w:style>
  <w:style w:type="paragraph" w:customStyle="1" w:styleId="Level4">
    <w:name w:val="Level4"/>
    <w:basedOn w:val="Normal"/>
    <w:next w:val="Heading2"/>
    <w:link w:val="Level4Char"/>
    <w:rsid w:val="00553FD5"/>
    <w:pPr>
      <w:keepNext/>
      <w:numPr>
        <w:numId w:val="54"/>
      </w:numPr>
      <w:tabs>
        <w:tab w:val="clear" w:pos="720"/>
      </w:tabs>
      <w:spacing w:before="120" w:line="288" w:lineRule="auto"/>
      <w:ind w:firstLine="0"/>
      <w:jc w:val="both"/>
    </w:pPr>
    <w:rPr>
      <w:rFonts w:eastAsia="Times New Roman" w:cs="Times New Roman"/>
      <w:i/>
      <w:iCs/>
      <w:color w:val="auto"/>
      <w:sz w:val="22"/>
      <w:szCs w:val="24"/>
      <w:lang w:eastAsia="zh-CN"/>
    </w:rPr>
  </w:style>
  <w:style w:type="character" w:customStyle="1" w:styleId="Level4Char">
    <w:name w:val="Level4 Char"/>
    <w:basedOn w:val="DefaultParagraphFont"/>
    <w:link w:val="Level4"/>
    <w:rsid w:val="00553FD5"/>
    <w:rPr>
      <w:rFonts w:ascii="Arial" w:eastAsia="Times New Roman" w:hAnsi="Arial" w:cs="Times New Roman"/>
      <w:i/>
      <w:iCs/>
      <w:szCs w:val="24"/>
      <w:lang w:eastAsia="zh-CN"/>
    </w:rPr>
  </w:style>
  <w:style w:type="paragraph" w:customStyle="1" w:styleId="Level5">
    <w:name w:val="Level5"/>
    <w:basedOn w:val="Normal"/>
    <w:link w:val="Level5Char"/>
    <w:rsid w:val="00553FD5"/>
    <w:pPr>
      <w:numPr>
        <w:numId w:val="52"/>
      </w:numPr>
      <w:tabs>
        <w:tab w:val="left" w:pos="1440"/>
      </w:tabs>
      <w:spacing w:before="120" w:after="180" w:line="288" w:lineRule="auto"/>
      <w:jc w:val="both"/>
    </w:pPr>
    <w:rPr>
      <w:rFonts w:eastAsia="Times New Roman" w:cs="Times New Roman"/>
      <w:color w:val="auto"/>
      <w:sz w:val="22"/>
      <w:szCs w:val="24"/>
      <w:lang w:eastAsia="zh-CN"/>
    </w:rPr>
  </w:style>
  <w:style w:type="character" w:customStyle="1" w:styleId="Level5Char">
    <w:name w:val="Level5 Char"/>
    <w:basedOn w:val="DefaultParagraphFont"/>
    <w:link w:val="Level5"/>
    <w:rsid w:val="00553FD5"/>
    <w:rPr>
      <w:rFonts w:ascii="Arial" w:eastAsia="Times New Roman" w:hAnsi="Arial" w:cs="Times New Roman"/>
      <w:szCs w:val="24"/>
      <w:lang w:eastAsia="zh-CN"/>
    </w:rPr>
  </w:style>
  <w:style w:type="paragraph" w:customStyle="1" w:styleId="Level7">
    <w:name w:val="Level7"/>
    <w:basedOn w:val="Normal"/>
    <w:rsid w:val="00553FD5"/>
    <w:pPr>
      <w:numPr>
        <w:numId w:val="45"/>
      </w:numPr>
      <w:spacing w:before="120" w:after="120" w:line="288" w:lineRule="auto"/>
      <w:ind w:left="2160"/>
      <w:jc w:val="both"/>
    </w:pPr>
    <w:rPr>
      <w:rFonts w:eastAsia="Times New Roman" w:cs="Times New Roman"/>
      <w:color w:val="auto"/>
      <w:sz w:val="22"/>
      <w:szCs w:val="24"/>
      <w:lang w:eastAsia="zh-CN"/>
    </w:rPr>
  </w:style>
  <w:style w:type="paragraph" w:customStyle="1" w:styleId="level8">
    <w:name w:val="level8"/>
    <w:basedOn w:val="Normal"/>
    <w:rsid w:val="00553FD5"/>
    <w:pPr>
      <w:numPr>
        <w:numId w:val="46"/>
      </w:numPr>
      <w:spacing w:before="120" w:after="120" w:line="288" w:lineRule="auto"/>
      <w:jc w:val="both"/>
    </w:pPr>
    <w:rPr>
      <w:rFonts w:eastAsia="Times New Roman" w:cs="Times New Roman"/>
      <w:color w:val="auto"/>
      <w:sz w:val="22"/>
      <w:szCs w:val="24"/>
      <w:lang w:eastAsia="zh-CN"/>
    </w:rPr>
  </w:style>
  <w:style w:type="character" w:styleId="PageNumber">
    <w:name w:val="page number"/>
    <w:basedOn w:val="DefaultParagraphFont"/>
    <w:rsid w:val="00553FD5"/>
    <w:rPr>
      <w:rFonts w:ascii="Arial" w:hAnsi="Arial"/>
      <w:sz w:val="22"/>
      <w:szCs w:val="22"/>
    </w:rPr>
  </w:style>
  <w:style w:type="paragraph" w:styleId="TOC7">
    <w:name w:val="toc 7"/>
    <w:basedOn w:val="Normal"/>
    <w:next w:val="Normal"/>
    <w:semiHidden/>
    <w:rsid w:val="00553FD5"/>
    <w:pPr>
      <w:tabs>
        <w:tab w:val="right" w:pos="9029"/>
      </w:tabs>
      <w:spacing w:after="0"/>
      <w:ind w:left="1440"/>
      <w:jc w:val="both"/>
    </w:pPr>
    <w:rPr>
      <w:rFonts w:eastAsia="Times New Roman" w:cs="Times New Roman"/>
      <w:color w:val="auto"/>
      <w:sz w:val="22"/>
      <w:szCs w:val="24"/>
      <w:lang w:eastAsia="zh-CN"/>
    </w:rPr>
  </w:style>
  <w:style w:type="paragraph" w:styleId="TOC8">
    <w:name w:val="toc 8"/>
    <w:basedOn w:val="Normal"/>
    <w:next w:val="Normal"/>
    <w:semiHidden/>
    <w:rsid w:val="00553FD5"/>
    <w:pPr>
      <w:numPr>
        <w:numId w:val="53"/>
      </w:numPr>
      <w:tabs>
        <w:tab w:val="clear" w:pos="1440"/>
        <w:tab w:val="right" w:pos="9029"/>
      </w:tabs>
      <w:spacing w:after="0"/>
      <w:ind w:left="1680" w:firstLine="0"/>
      <w:jc w:val="both"/>
    </w:pPr>
    <w:rPr>
      <w:rFonts w:eastAsia="Times New Roman" w:cs="Times New Roman"/>
      <w:color w:val="auto"/>
      <w:sz w:val="22"/>
      <w:szCs w:val="24"/>
      <w:lang w:eastAsia="zh-CN"/>
    </w:rPr>
  </w:style>
  <w:style w:type="paragraph" w:styleId="TOC9">
    <w:name w:val="toc 9"/>
    <w:basedOn w:val="Normal"/>
    <w:next w:val="Normal"/>
    <w:semiHidden/>
    <w:rsid w:val="00553FD5"/>
    <w:pPr>
      <w:tabs>
        <w:tab w:val="right" w:pos="9029"/>
      </w:tabs>
      <w:spacing w:after="0"/>
      <w:ind w:left="1920"/>
      <w:jc w:val="both"/>
    </w:pPr>
    <w:rPr>
      <w:rFonts w:eastAsia="Times New Roman" w:cs="Times New Roman"/>
      <w:color w:val="auto"/>
      <w:sz w:val="22"/>
      <w:szCs w:val="24"/>
      <w:lang w:eastAsia="zh-CN"/>
    </w:rPr>
  </w:style>
  <w:style w:type="paragraph" w:customStyle="1" w:styleId="level9">
    <w:name w:val="level9"/>
    <w:basedOn w:val="Normal"/>
    <w:rsid w:val="00553FD5"/>
    <w:pPr>
      <w:tabs>
        <w:tab w:val="num" w:pos="454"/>
      </w:tabs>
      <w:spacing w:before="120" w:after="120" w:line="288" w:lineRule="auto"/>
      <w:ind w:left="454" w:hanging="454"/>
      <w:jc w:val="both"/>
      <w:outlineLvl w:val="8"/>
    </w:pPr>
    <w:rPr>
      <w:rFonts w:eastAsia="Times New Roman" w:cs="Times New Roman"/>
      <w:color w:val="auto"/>
      <w:sz w:val="22"/>
      <w:szCs w:val="24"/>
      <w:lang w:eastAsia="zh-CN"/>
    </w:rPr>
  </w:style>
  <w:style w:type="paragraph" w:customStyle="1" w:styleId="GVAbodytext">
    <w:name w:val="GVA body text"/>
    <w:link w:val="GVAbodytextChar"/>
    <w:rsid w:val="00CE4C29"/>
    <w:pPr>
      <w:spacing w:after="240" w:line="300" w:lineRule="auto"/>
    </w:pPr>
    <w:rPr>
      <w:rFonts w:ascii="Century Gothic" w:eastAsia="Times New Roman" w:hAnsi="Century Gothic" w:cs="Times New Roman"/>
      <w:sz w:val="20"/>
      <w:szCs w:val="20"/>
    </w:rPr>
  </w:style>
  <w:style w:type="character" w:customStyle="1" w:styleId="GVAbodytextChar">
    <w:name w:val="GVA body text Char"/>
    <w:link w:val="GVAbodytext"/>
    <w:locked/>
    <w:rsid w:val="00CE4C29"/>
    <w:rPr>
      <w:rFonts w:ascii="Century Gothic" w:eastAsia="Times New Roman" w:hAnsi="Century Gothic" w:cs="Times New Roman"/>
      <w:sz w:val="20"/>
      <w:szCs w:val="20"/>
    </w:rPr>
  </w:style>
  <w:style w:type="paragraph" w:customStyle="1" w:styleId="03HeaderMainBody">
    <w:name w:val="03 Header Main Body"/>
    <w:basedOn w:val="Normal"/>
    <w:next w:val="Normal"/>
    <w:rsid w:val="00CE4C29"/>
    <w:pPr>
      <w:numPr>
        <w:numId w:val="62"/>
      </w:numPr>
      <w:spacing w:before="240" w:line="300" w:lineRule="auto"/>
    </w:pPr>
    <w:rPr>
      <w:rFonts w:ascii="Century Gothic" w:eastAsia="Times New Roman" w:hAnsi="Century Gothic" w:cs="Times New Roman"/>
      <w:b/>
      <w:bCs/>
      <w:color w:val="006685"/>
      <w:sz w:val="36"/>
      <w:szCs w:val="36"/>
    </w:rPr>
  </w:style>
  <w:style w:type="paragraph" w:customStyle="1" w:styleId="04NumberedBodyTextCenturyGothic">
    <w:name w:val="04 Numbered Body Text + Century Gothic"/>
    <w:basedOn w:val="Normal"/>
    <w:link w:val="04NumberedBodyTextCenturyGothicChar"/>
    <w:rsid w:val="00CE4C29"/>
    <w:pPr>
      <w:numPr>
        <w:ilvl w:val="1"/>
        <w:numId w:val="62"/>
      </w:numPr>
      <w:spacing w:line="300" w:lineRule="auto"/>
    </w:pPr>
    <w:rPr>
      <w:rFonts w:ascii="Century Gothic" w:eastAsia="Times New Roman" w:hAnsi="Century Gothic" w:cs="Times New Roman"/>
      <w:color w:val="auto"/>
      <w:szCs w:val="20"/>
    </w:rPr>
  </w:style>
  <w:style w:type="character" w:customStyle="1" w:styleId="04NumberedBodyTextCenturyGothicChar">
    <w:name w:val="04 Numbered Body Text + Century Gothic Char"/>
    <w:link w:val="04NumberedBodyTextCenturyGothic"/>
    <w:locked/>
    <w:rsid w:val="00CE4C29"/>
    <w:rPr>
      <w:rFonts w:ascii="Century Gothic" w:eastAsia="Times New Roman" w:hAnsi="Century Gothic" w:cs="Times New Roman"/>
      <w:sz w:val="20"/>
      <w:szCs w:val="20"/>
    </w:rPr>
  </w:style>
  <w:style w:type="paragraph" w:customStyle="1" w:styleId="GVABullets">
    <w:name w:val="GVA Bullets"/>
    <w:link w:val="GVABulletsCharChar"/>
    <w:autoRedefine/>
    <w:qFormat/>
    <w:rsid w:val="005E16CD"/>
    <w:pPr>
      <w:numPr>
        <w:numId w:val="63"/>
      </w:numPr>
      <w:spacing w:after="120" w:line="360" w:lineRule="auto"/>
      <w:jc w:val="both"/>
    </w:pPr>
    <w:rPr>
      <w:rFonts w:ascii="Century Gothic" w:eastAsia="Times New Roman" w:hAnsi="Century Gothic" w:cs="Times New Roman"/>
      <w:color w:val="8A2529"/>
      <w:sz w:val="20"/>
      <w:szCs w:val="20"/>
    </w:rPr>
  </w:style>
  <w:style w:type="character" w:customStyle="1" w:styleId="GVABulletsCharChar">
    <w:name w:val="GVA Bullets Char Char"/>
    <w:link w:val="GVABullets"/>
    <w:rsid w:val="005E16CD"/>
    <w:rPr>
      <w:rFonts w:ascii="Century Gothic" w:eastAsia="Times New Roman" w:hAnsi="Century Gothic" w:cs="Times New Roman"/>
      <w:color w:val="8A2529"/>
      <w:sz w:val="20"/>
      <w:szCs w:val="20"/>
    </w:rPr>
  </w:style>
  <w:style w:type="paragraph" w:styleId="Revision">
    <w:name w:val="Revision"/>
    <w:hidden/>
    <w:uiPriority w:val="99"/>
    <w:semiHidden/>
    <w:rsid w:val="00F66D4C"/>
    <w:pPr>
      <w:spacing w:after="0" w:line="240" w:lineRule="auto"/>
    </w:pPr>
    <w:rPr>
      <w:rFonts w:ascii="Arial" w:hAnsi="Arial"/>
      <w:color w:val="394A58" w:themeColor="text2"/>
      <w:sz w:val="20"/>
    </w:rPr>
  </w:style>
  <w:style w:type="paragraph" w:styleId="DocumentMap">
    <w:name w:val="Document Map"/>
    <w:basedOn w:val="Normal"/>
    <w:link w:val="DocumentMapChar"/>
    <w:uiPriority w:val="99"/>
    <w:semiHidden/>
    <w:unhideWhenUsed/>
    <w:rsid w:val="00DC726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DC7266"/>
    <w:rPr>
      <w:rFonts w:ascii="Tahoma" w:hAnsi="Tahoma" w:cs="Tahoma"/>
      <w:color w:val="394A58" w:themeColor="text2"/>
      <w:sz w:val="16"/>
      <w:szCs w:val="16"/>
    </w:rPr>
  </w:style>
  <w:style w:type="paragraph" w:customStyle="1" w:styleId="DefaultParagraphFontParaChar">
    <w:name w:val="Default Paragraph Font Para Char"/>
    <w:basedOn w:val="Normal"/>
    <w:rsid w:val="008D13BD"/>
    <w:pPr>
      <w:spacing w:before="120" w:after="120"/>
    </w:pPr>
    <w:rPr>
      <w:rFonts w:eastAsia="SimSun" w:cs="Times New Roman"/>
      <w:color w:val="auto"/>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017">
      <w:bodyDiv w:val="1"/>
      <w:marLeft w:val="0"/>
      <w:marRight w:val="0"/>
      <w:marTop w:val="0"/>
      <w:marBottom w:val="0"/>
      <w:divBdr>
        <w:top w:val="none" w:sz="0" w:space="0" w:color="auto"/>
        <w:left w:val="none" w:sz="0" w:space="0" w:color="auto"/>
        <w:bottom w:val="none" w:sz="0" w:space="0" w:color="auto"/>
        <w:right w:val="none" w:sz="0" w:space="0" w:color="auto"/>
      </w:divBdr>
    </w:div>
    <w:div w:id="18245479">
      <w:bodyDiv w:val="1"/>
      <w:marLeft w:val="0"/>
      <w:marRight w:val="0"/>
      <w:marTop w:val="0"/>
      <w:marBottom w:val="0"/>
      <w:divBdr>
        <w:top w:val="none" w:sz="0" w:space="0" w:color="auto"/>
        <w:left w:val="none" w:sz="0" w:space="0" w:color="auto"/>
        <w:bottom w:val="none" w:sz="0" w:space="0" w:color="auto"/>
        <w:right w:val="none" w:sz="0" w:space="0" w:color="auto"/>
      </w:divBdr>
    </w:div>
    <w:div w:id="20054412">
      <w:bodyDiv w:val="1"/>
      <w:marLeft w:val="0"/>
      <w:marRight w:val="0"/>
      <w:marTop w:val="0"/>
      <w:marBottom w:val="0"/>
      <w:divBdr>
        <w:top w:val="none" w:sz="0" w:space="0" w:color="auto"/>
        <w:left w:val="none" w:sz="0" w:space="0" w:color="auto"/>
        <w:bottom w:val="none" w:sz="0" w:space="0" w:color="auto"/>
        <w:right w:val="none" w:sz="0" w:space="0" w:color="auto"/>
      </w:divBdr>
    </w:div>
    <w:div w:id="116218924">
      <w:bodyDiv w:val="1"/>
      <w:marLeft w:val="0"/>
      <w:marRight w:val="0"/>
      <w:marTop w:val="0"/>
      <w:marBottom w:val="0"/>
      <w:divBdr>
        <w:top w:val="none" w:sz="0" w:space="0" w:color="auto"/>
        <w:left w:val="none" w:sz="0" w:space="0" w:color="auto"/>
        <w:bottom w:val="none" w:sz="0" w:space="0" w:color="auto"/>
        <w:right w:val="none" w:sz="0" w:space="0" w:color="auto"/>
      </w:divBdr>
    </w:div>
    <w:div w:id="158280293">
      <w:bodyDiv w:val="1"/>
      <w:marLeft w:val="0"/>
      <w:marRight w:val="0"/>
      <w:marTop w:val="0"/>
      <w:marBottom w:val="0"/>
      <w:divBdr>
        <w:top w:val="none" w:sz="0" w:space="0" w:color="auto"/>
        <w:left w:val="none" w:sz="0" w:space="0" w:color="auto"/>
        <w:bottom w:val="none" w:sz="0" w:space="0" w:color="auto"/>
        <w:right w:val="none" w:sz="0" w:space="0" w:color="auto"/>
      </w:divBdr>
    </w:div>
    <w:div w:id="169298462">
      <w:bodyDiv w:val="1"/>
      <w:marLeft w:val="0"/>
      <w:marRight w:val="0"/>
      <w:marTop w:val="0"/>
      <w:marBottom w:val="0"/>
      <w:divBdr>
        <w:top w:val="none" w:sz="0" w:space="0" w:color="auto"/>
        <w:left w:val="none" w:sz="0" w:space="0" w:color="auto"/>
        <w:bottom w:val="none" w:sz="0" w:space="0" w:color="auto"/>
        <w:right w:val="none" w:sz="0" w:space="0" w:color="auto"/>
      </w:divBdr>
    </w:div>
    <w:div w:id="194344095">
      <w:bodyDiv w:val="1"/>
      <w:marLeft w:val="0"/>
      <w:marRight w:val="0"/>
      <w:marTop w:val="0"/>
      <w:marBottom w:val="0"/>
      <w:divBdr>
        <w:top w:val="none" w:sz="0" w:space="0" w:color="auto"/>
        <w:left w:val="none" w:sz="0" w:space="0" w:color="auto"/>
        <w:bottom w:val="none" w:sz="0" w:space="0" w:color="auto"/>
        <w:right w:val="none" w:sz="0" w:space="0" w:color="auto"/>
      </w:divBdr>
    </w:div>
    <w:div w:id="207107590">
      <w:bodyDiv w:val="1"/>
      <w:marLeft w:val="0"/>
      <w:marRight w:val="0"/>
      <w:marTop w:val="0"/>
      <w:marBottom w:val="0"/>
      <w:divBdr>
        <w:top w:val="none" w:sz="0" w:space="0" w:color="auto"/>
        <w:left w:val="none" w:sz="0" w:space="0" w:color="auto"/>
        <w:bottom w:val="none" w:sz="0" w:space="0" w:color="auto"/>
        <w:right w:val="none" w:sz="0" w:space="0" w:color="auto"/>
      </w:divBdr>
    </w:div>
    <w:div w:id="215170281">
      <w:bodyDiv w:val="1"/>
      <w:marLeft w:val="0"/>
      <w:marRight w:val="0"/>
      <w:marTop w:val="0"/>
      <w:marBottom w:val="0"/>
      <w:divBdr>
        <w:top w:val="none" w:sz="0" w:space="0" w:color="auto"/>
        <w:left w:val="none" w:sz="0" w:space="0" w:color="auto"/>
        <w:bottom w:val="none" w:sz="0" w:space="0" w:color="auto"/>
        <w:right w:val="none" w:sz="0" w:space="0" w:color="auto"/>
      </w:divBdr>
    </w:div>
    <w:div w:id="220411517">
      <w:bodyDiv w:val="1"/>
      <w:marLeft w:val="0"/>
      <w:marRight w:val="0"/>
      <w:marTop w:val="0"/>
      <w:marBottom w:val="0"/>
      <w:divBdr>
        <w:top w:val="none" w:sz="0" w:space="0" w:color="auto"/>
        <w:left w:val="none" w:sz="0" w:space="0" w:color="auto"/>
        <w:bottom w:val="none" w:sz="0" w:space="0" w:color="auto"/>
        <w:right w:val="none" w:sz="0" w:space="0" w:color="auto"/>
      </w:divBdr>
    </w:div>
    <w:div w:id="225721281">
      <w:bodyDiv w:val="1"/>
      <w:marLeft w:val="0"/>
      <w:marRight w:val="0"/>
      <w:marTop w:val="0"/>
      <w:marBottom w:val="0"/>
      <w:divBdr>
        <w:top w:val="none" w:sz="0" w:space="0" w:color="auto"/>
        <w:left w:val="none" w:sz="0" w:space="0" w:color="auto"/>
        <w:bottom w:val="none" w:sz="0" w:space="0" w:color="auto"/>
        <w:right w:val="none" w:sz="0" w:space="0" w:color="auto"/>
      </w:divBdr>
    </w:div>
    <w:div w:id="241835847">
      <w:bodyDiv w:val="1"/>
      <w:marLeft w:val="0"/>
      <w:marRight w:val="0"/>
      <w:marTop w:val="0"/>
      <w:marBottom w:val="0"/>
      <w:divBdr>
        <w:top w:val="none" w:sz="0" w:space="0" w:color="auto"/>
        <w:left w:val="none" w:sz="0" w:space="0" w:color="auto"/>
        <w:bottom w:val="none" w:sz="0" w:space="0" w:color="auto"/>
        <w:right w:val="none" w:sz="0" w:space="0" w:color="auto"/>
      </w:divBdr>
    </w:div>
    <w:div w:id="249508780">
      <w:bodyDiv w:val="1"/>
      <w:marLeft w:val="0"/>
      <w:marRight w:val="0"/>
      <w:marTop w:val="0"/>
      <w:marBottom w:val="0"/>
      <w:divBdr>
        <w:top w:val="none" w:sz="0" w:space="0" w:color="auto"/>
        <w:left w:val="none" w:sz="0" w:space="0" w:color="auto"/>
        <w:bottom w:val="none" w:sz="0" w:space="0" w:color="auto"/>
        <w:right w:val="none" w:sz="0" w:space="0" w:color="auto"/>
      </w:divBdr>
    </w:div>
    <w:div w:id="302084713">
      <w:bodyDiv w:val="1"/>
      <w:marLeft w:val="0"/>
      <w:marRight w:val="0"/>
      <w:marTop w:val="0"/>
      <w:marBottom w:val="0"/>
      <w:divBdr>
        <w:top w:val="none" w:sz="0" w:space="0" w:color="auto"/>
        <w:left w:val="none" w:sz="0" w:space="0" w:color="auto"/>
        <w:bottom w:val="none" w:sz="0" w:space="0" w:color="auto"/>
        <w:right w:val="none" w:sz="0" w:space="0" w:color="auto"/>
      </w:divBdr>
    </w:div>
    <w:div w:id="309332761">
      <w:bodyDiv w:val="1"/>
      <w:marLeft w:val="0"/>
      <w:marRight w:val="0"/>
      <w:marTop w:val="0"/>
      <w:marBottom w:val="0"/>
      <w:divBdr>
        <w:top w:val="none" w:sz="0" w:space="0" w:color="auto"/>
        <w:left w:val="none" w:sz="0" w:space="0" w:color="auto"/>
        <w:bottom w:val="none" w:sz="0" w:space="0" w:color="auto"/>
        <w:right w:val="none" w:sz="0" w:space="0" w:color="auto"/>
      </w:divBdr>
    </w:div>
    <w:div w:id="334113841">
      <w:bodyDiv w:val="1"/>
      <w:marLeft w:val="0"/>
      <w:marRight w:val="0"/>
      <w:marTop w:val="0"/>
      <w:marBottom w:val="0"/>
      <w:divBdr>
        <w:top w:val="none" w:sz="0" w:space="0" w:color="auto"/>
        <w:left w:val="none" w:sz="0" w:space="0" w:color="auto"/>
        <w:bottom w:val="none" w:sz="0" w:space="0" w:color="auto"/>
        <w:right w:val="none" w:sz="0" w:space="0" w:color="auto"/>
      </w:divBdr>
    </w:div>
    <w:div w:id="342753443">
      <w:bodyDiv w:val="1"/>
      <w:marLeft w:val="0"/>
      <w:marRight w:val="0"/>
      <w:marTop w:val="0"/>
      <w:marBottom w:val="0"/>
      <w:divBdr>
        <w:top w:val="none" w:sz="0" w:space="0" w:color="auto"/>
        <w:left w:val="none" w:sz="0" w:space="0" w:color="auto"/>
        <w:bottom w:val="none" w:sz="0" w:space="0" w:color="auto"/>
        <w:right w:val="none" w:sz="0" w:space="0" w:color="auto"/>
      </w:divBdr>
    </w:div>
    <w:div w:id="365912509">
      <w:bodyDiv w:val="1"/>
      <w:marLeft w:val="0"/>
      <w:marRight w:val="0"/>
      <w:marTop w:val="0"/>
      <w:marBottom w:val="0"/>
      <w:divBdr>
        <w:top w:val="none" w:sz="0" w:space="0" w:color="auto"/>
        <w:left w:val="none" w:sz="0" w:space="0" w:color="auto"/>
        <w:bottom w:val="none" w:sz="0" w:space="0" w:color="auto"/>
        <w:right w:val="none" w:sz="0" w:space="0" w:color="auto"/>
      </w:divBdr>
    </w:div>
    <w:div w:id="381368298">
      <w:bodyDiv w:val="1"/>
      <w:marLeft w:val="0"/>
      <w:marRight w:val="0"/>
      <w:marTop w:val="0"/>
      <w:marBottom w:val="0"/>
      <w:divBdr>
        <w:top w:val="none" w:sz="0" w:space="0" w:color="auto"/>
        <w:left w:val="none" w:sz="0" w:space="0" w:color="auto"/>
        <w:bottom w:val="none" w:sz="0" w:space="0" w:color="auto"/>
        <w:right w:val="none" w:sz="0" w:space="0" w:color="auto"/>
      </w:divBdr>
    </w:div>
    <w:div w:id="388961308">
      <w:bodyDiv w:val="1"/>
      <w:marLeft w:val="0"/>
      <w:marRight w:val="0"/>
      <w:marTop w:val="0"/>
      <w:marBottom w:val="0"/>
      <w:divBdr>
        <w:top w:val="none" w:sz="0" w:space="0" w:color="auto"/>
        <w:left w:val="none" w:sz="0" w:space="0" w:color="auto"/>
        <w:bottom w:val="none" w:sz="0" w:space="0" w:color="auto"/>
        <w:right w:val="none" w:sz="0" w:space="0" w:color="auto"/>
      </w:divBdr>
    </w:div>
    <w:div w:id="422381598">
      <w:bodyDiv w:val="1"/>
      <w:marLeft w:val="0"/>
      <w:marRight w:val="0"/>
      <w:marTop w:val="0"/>
      <w:marBottom w:val="0"/>
      <w:divBdr>
        <w:top w:val="none" w:sz="0" w:space="0" w:color="auto"/>
        <w:left w:val="none" w:sz="0" w:space="0" w:color="auto"/>
        <w:bottom w:val="none" w:sz="0" w:space="0" w:color="auto"/>
        <w:right w:val="none" w:sz="0" w:space="0" w:color="auto"/>
      </w:divBdr>
    </w:div>
    <w:div w:id="492574096">
      <w:bodyDiv w:val="1"/>
      <w:marLeft w:val="0"/>
      <w:marRight w:val="0"/>
      <w:marTop w:val="0"/>
      <w:marBottom w:val="0"/>
      <w:divBdr>
        <w:top w:val="none" w:sz="0" w:space="0" w:color="auto"/>
        <w:left w:val="none" w:sz="0" w:space="0" w:color="auto"/>
        <w:bottom w:val="none" w:sz="0" w:space="0" w:color="auto"/>
        <w:right w:val="none" w:sz="0" w:space="0" w:color="auto"/>
      </w:divBdr>
      <w:divsChild>
        <w:div w:id="914556882">
          <w:marLeft w:val="0"/>
          <w:marRight w:val="0"/>
          <w:marTop w:val="0"/>
          <w:marBottom w:val="0"/>
          <w:divBdr>
            <w:top w:val="none" w:sz="0" w:space="0" w:color="auto"/>
            <w:left w:val="none" w:sz="0" w:space="0" w:color="auto"/>
            <w:bottom w:val="none" w:sz="0" w:space="0" w:color="auto"/>
            <w:right w:val="none" w:sz="0" w:space="0" w:color="auto"/>
          </w:divBdr>
          <w:divsChild>
            <w:div w:id="77674174">
              <w:marLeft w:val="0"/>
              <w:marRight w:val="0"/>
              <w:marTop w:val="0"/>
              <w:marBottom w:val="0"/>
              <w:divBdr>
                <w:top w:val="none" w:sz="0" w:space="0" w:color="auto"/>
                <w:left w:val="none" w:sz="0" w:space="0" w:color="auto"/>
                <w:bottom w:val="none" w:sz="0" w:space="0" w:color="auto"/>
                <w:right w:val="none" w:sz="0" w:space="0" w:color="auto"/>
              </w:divBdr>
              <w:divsChild>
                <w:div w:id="1194228187">
                  <w:marLeft w:val="0"/>
                  <w:marRight w:val="0"/>
                  <w:marTop w:val="0"/>
                  <w:marBottom w:val="0"/>
                  <w:divBdr>
                    <w:top w:val="none" w:sz="0" w:space="0" w:color="auto"/>
                    <w:left w:val="none" w:sz="0" w:space="0" w:color="auto"/>
                    <w:bottom w:val="none" w:sz="0" w:space="0" w:color="auto"/>
                    <w:right w:val="none" w:sz="0" w:space="0" w:color="auto"/>
                  </w:divBdr>
                  <w:divsChild>
                    <w:div w:id="551620704">
                      <w:marLeft w:val="0"/>
                      <w:marRight w:val="0"/>
                      <w:marTop w:val="0"/>
                      <w:marBottom w:val="0"/>
                      <w:divBdr>
                        <w:top w:val="none" w:sz="0" w:space="0" w:color="auto"/>
                        <w:left w:val="none" w:sz="0" w:space="0" w:color="auto"/>
                        <w:bottom w:val="none" w:sz="0" w:space="0" w:color="auto"/>
                        <w:right w:val="none" w:sz="0" w:space="0" w:color="auto"/>
                      </w:divBdr>
                      <w:divsChild>
                        <w:div w:id="1325890383">
                          <w:marLeft w:val="0"/>
                          <w:marRight w:val="0"/>
                          <w:marTop w:val="0"/>
                          <w:marBottom w:val="0"/>
                          <w:divBdr>
                            <w:top w:val="none" w:sz="0" w:space="0" w:color="auto"/>
                            <w:left w:val="none" w:sz="0" w:space="0" w:color="auto"/>
                            <w:bottom w:val="none" w:sz="0" w:space="0" w:color="auto"/>
                            <w:right w:val="none" w:sz="0" w:space="0" w:color="auto"/>
                          </w:divBdr>
                          <w:divsChild>
                            <w:div w:id="34690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779895">
      <w:bodyDiv w:val="1"/>
      <w:marLeft w:val="0"/>
      <w:marRight w:val="0"/>
      <w:marTop w:val="0"/>
      <w:marBottom w:val="0"/>
      <w:divBdr>
        <w:top w:val="none" w:sz="0" w:space="0" w:color="auto"/>
        <w:left w:val="none" w:sz="0" w:space="0" w:color="auto"/>
        <w:bottom w:val="none" w:sz="0" w:space="0" w:color="auto"/>
        <w:right w:val="none" w:sz="0" w:space="0" w:color="auto"/>
      </w:divBdr>
    </w:div>
    <w:div w:id="534390377">
      <w:bodyDiv w:val="1"/>
      <w:marLeft w:val="0"/>
      <w:marRight w:val="0"/>
      <w:marTop w:val="0"/>
      <w:marBottom w:val="0"/>
      <w:divBdr>
        <w:top w:val="none" w:sz="0" w:space="0" w:color="auto"/>
        <w:left w:val="none" w:sz="0" w:space="0" w:color="auto"/>
        <w:bottom w:val="none" w:sz="0" w:space="0" w:color="auto"/>
        <w:right w:val="none" w:sz="0" w:space="0" w:color="auto"/>
      </w:divBdr>
    </w:div>
    <w:div w:id="575092801">
      <w:bodyDiv w:val="1"/>
      <w:marLeft w:val="0"/>
      <w:marRight w:val="0"/>
      <w:marTop w:val="0"/>
      <w:marBottom w:val="0"/>
      <w:divBdr>
        <w:top w:val="none" w:sz="0" w:space="0" w:color="auto"/>
        <w:left w:val="none" w:sz="0" w:space="0" w:color="auto"/>
        <w:bottom w:val="none" w:sz="0" w:space="0" w:color="auto"/>
        <w:right w:val="none" w:sz="0" w:space="0" w:color="auto"/>
      </w:divBdr>
    </w:div>
    <w:div w:id="579405748">
      <w:bodyDiv w:val="1"/>
      <w:marLeft w:val="0"/>
      <w:marRight w:val="0"/>
      <w:marTop w:val="0"/>
      <w:marBottom w:val="0"/>
      <w:divBdr>
        <w:top w:val="none" w:sz="0" w:space="0" w:color="auto"/>
        <w:left w:val="none" w:sz="0" w:space="0" w:color="auto"/>
        <w:bottom w:val="none" w:sz="0" w:space="0" w:color="auto"/>
        <w:right w:val="none" w:sz="0" w:space="0" w:color="auto"/>
      </w:divBdr>
    </w:div>
    <w:div w:id="648049688">
      <w:bodyDiv w:val="1"/>
      <w:marLeft w:val="0"/>
      <w:marRight w:val="0"/>
      <w:marTop w:val="0"/>
      <w:marBottom w:val="0"/>
      <w:divBdr>
        <w:top w:val="none" w:sz="0" w:space="0" w:color="auto"/>
        <w:left w:val="none" w:sz="0" w:space="0" w:color="auto"/>
        <w:bottom w:val="none" w:sz="0" w:space="0" w:color="auto"/>
        <w:right w:val="none" w:sz="0" w:space="0" w:color="auto"/>
      </w:divBdr>
    </w:div>
    <w:div w:id="680350295">
      <w:bodyDiv w:val="1"/>
      <w:marLeft w:val="0"/>
      <w:marRight w:val="0"/>
      <w:marTop w:val="0"/>
      <w:marBottom w:val="0"/>
      <w:divBdr>
        <w:top w:val="none" w:sz="0" w:space="0" w:color="auto"/>
        <w:left w:val="none" w:sz="0" w:space="0" w:color="auto"/>
        <w:bottom w:val="none" w:sz="0" w:space="0" w:color="auto"/>
        <w:right w:val="none" w:sz="0" w:space="0" w:color="auto"/>
      </w:divBdr>
    </w:div>
    <w:div w:id="706294539">
      <w:bodyDiv w:val="1"/>
      <w:marLeft w:val="0"/>
      <w:marRight w:val="0"/>
      <w:marTop w:val="0"/>
      <w:marBottom w:val="0"/>
      <w:divBdr>
        <w:top w:val="none" w:sz="0" w:space="0" w:color="auto"/>
        <w:left w:val="none" w:sz="0" w:space="0" w:color="auto"/>
        <w:bottom w:val="none" w:sz="0" w:space="0" w:color="auto"/>
        <w:right w:val="none" w:sz="0" w:space="0" w:color="auto"/>
      </w:divBdr>
    </w:div>
    <w:div w:id="753357583">
      <w:bodyDiv w:val="1"/>
      <w:marLeft w:val="0"/>
      <w:marRight w:val="0"/>
      <w:marTop w:val="0"/>
      <w:marBottom w:val="0"/>
      <w:divBdr>
        <w:top w:val="none" w:sz="0" w:space="0" w:color="auto"/>
        <w:left w:val="none" w:sz="0" w:space="0" w:color="auto"/>
        <w:bottom w:val="none" w:sz="0" w:space="0" w:color="auto"/>
        <w:right w:val="none" w:sz="0" w:space="0" w:color="auto"/>
      </w:divBdr>
    </w:div>
    <w:div w:id="771126075">
      <w:bodyDiv w:val="1"/>
      <w:marLeft w:val="0"/>
      <w:marRight w:val="0"/>
      <w:marTop w:val="0"/>
      <w:marBottom w:val="0"/>
      <w:divBdr>
        <w:top w:val="none" w:sz="0" w:space="0" w:color="auto"/>
        <w:left w:val="none" w:sz="0" w:space="0" w:color="auto"/>
        <w:bottom w:val="none" w:sz="0" w:space="0" w:color="auto"/>
        <w:right w:val="none" w:sz="0" w:space="0" w:color="auto"/>
      </w:divBdr>
    </w:div>
    <w:div w:id="809438458">
      <w:bodyDiv w:val="1"/>
      <w:marLeft w:val="0"/>
      <w:marRight w:val="0"/>
      <w:marTop w:val="0"/>
      <w:marBottom w:val="0"/>
      <w:divBdr>
        <w:top w:val="none" w:sz="0" w:space="0" w:color="auto"/>
        <w:left w:val="none" w:sz="0" w:space="0" w:color="auto"/>
        <w:bottom w:val="none" w:sz="0" w:space="0" w:color="auto"/>
        <w:right w:val="none" w:sz="0" w:space="0" w:color="auto"/>
      </w:divBdr>
    </w:div>
    <w:div w:id="860124133">
      <w:bodyDiv w:val="1"/>
      <w:marLeft w:val="0"/>
      <w:marRight w:val="0"/>
      <w:marTop w:val="0"/>
      <w:marBottom w:val="0"/>
      <w:divBdr>
        <w:top w:val="none" w:sz="0" w:space="0" w:color="auto"/>
        <w:left w:val="none" w:sz="0" w:space="0" w:color="auto"/>
        <w:bottom w:val="none" w:sz="0" w:space="0" w:color="auto"/>
        <w:right w:val="none" w:sz="0" w:space="0" w:color="auto"/>
      </w:divBdr>
    </w:div>
    <w:div w:id="900553440">
      <w:bodyDiv w:val="1"/>
      <w:marLeft w:val="0"/>
      <w:marRight w:val="0"/>
      <w:marTop w:val="0"/>
      <w:marBottom w:val="0"/>
      <w:divBdr>
        <w:top w:val="none" w:sz="0" w:space="0" w:color="auto"/>
        <w:left w:val="none" w:sz="0" w:space="0" w:color="auto"/>
        <w:bottom w:val="none" w:sz="0" w:space="0" w:color="auto"/>
        <w:right w:val="none" w:sz="0" w:space="0" w:color="auto"/>
      </w:divBdr>
    </w:div>
    <w:div w:id="958338325">
      <w:bodyDiv w:val="1"/>
      <w:marLeft w:val="0"/>
      <w:marRight w:val="0"/>
      <w:marTop w:val="0"/>
      <w:marBottom w:val="0"/>
      <w:divBdr>
        <w:top w:val="none" w:sz="0" w:space="0" w:color="auto"/>
        <w:left w:val="none" w:sz="0" w:space="0" w:color="auto"/>
        <w:bottom w:val="none" w:sz="0" w:space="0" w:color="auto"/>
        <w:right w:val="none" w:sz="0" w:space="0" w:color="auto"/>
      </w:divBdr>
    </w:div>
    <w:div w:id="983582385">
      <w:bodyDiv w:val="1"/>
      <w:marLeft w:val="0"/>
      <w:marRight w:val="0"/>
      <w:marTop w:val="0"/>
      <w:marBottom w:val="0"/>
      <w:divBdr>
        <w:top w:val="none" w:sz="0" w:space="0" w:color="auto"/>
        <w:left w:val="none" w:sz="0" w:space="0" w:color="auto"/>
        <w:bottom w:val="none" w:sz="0" w:space="0" w:color="auto"/>
        <w:right w:val="none" w:sz="0" w:space="0" w:color="auto"/>
      </w:divBdr>
    </w:div>
    <w:div w:id="996227362">
      <w:bodyDiv w:val="1"/>
      <w:marLeft w:val="0"/>
      <w:marRight w:val="0"/>
      <w:marTop w:val="0"/>
      <w:marBottom w:val="0"/>
      <w:divBdr>
        <w:top w:val="none" w:sz="0" w:space="0" w:color="auto"/>
        <w:left w:val="none" w:sz="0" w:space="0" w:color="auto"/>
        <w:bottom w:val="none" w:sz="0" w:space="0" w:color="auto"/>
        <w:right w:val="none" w:sz="0" w:space="0" w:color="auto"/>
      </w:divBdr>
    </w:div>
    <w:div w:id="1022246805">
      <w:bodyDiv w:val="1"/>
      <w:marLeft w:val="0"/>
      <w:marRight w:val="0"/>
      <w:marTop w:val="0"/>
      <w:marBottom w:val="0"/>
      <w:divBdr>
        <w:top w:val="none" w:sz="0" w:space="0" w:color="auto"/>
        <w:left w:val="none" w:sz="0" w:space="0" w:color="auto"/>
        <w:bottom w:val="none" w:sz="0" w:space="0" w:color="auto"/>
        <w:right w:val="none" w:sz="0" w:space="0" w:color="auto"/>
      </w:divBdr>
    </w:div>
    <w:div w:id="1038971224">
      <w:bodyDiv w:val="1"/>
      <w:marLeft w:val="0"/>
      <w:marRight w:val="0"/>
      <w:marTop w:val="0"/>
      <w:marBottom w:val="0"/>
      <w:divBdr>
        <w:top w:val="none" w:sz="0" w:space="0" w:color="auto"/>
        <w:left w:val="none" w:sz="0" w:space="0" w:color="auto"/>
        <w:bottom w:val="none" w:sz="0" w:space="0" w:color="auto"/>
        <w:right w:val="none" w:sz="0" w:space="0" w:color="auto"/>
      </w:divBdr>
    </w:div>
    <w:div w:id="1071655107">
      <w:bodyDiv w:val="1"/>
      <w:marLeft w:val="0"/>
      <w:marRight w:val="0"/>
      <w:marTop w:val="0"/>
      <w:marBottom w:val="0"/>
      <w:divBdr>
        <w:top w:val="none" w:sz="0" w:space="0" w:color="auto"/>
        <w:left w:val="none" w:sz="0" w:space="0" w:color="auto"/>
        <w:bottom w:val="none" w:sz="0" w:space="0" w:color="auto"/>
        <w:right w:val="none" w:sz="0" w:space="0" w:color="auto"/>
      </w:divBdr>
      <w:divsChild>
        <w:div w:id="1189565848">
          <w:marLeft w:val="0"/>
          <w:marRight w:val="0"/>
          <w:marTop w:val="0"/>
          <w:marBottom w:val="0"/>
          <w:divBdr>
            <w:top w:val="none" w:sz="0" w:space="0" w:color="auto"/>
            <w:left w:val="none" w:sz="0" w:space="0" w:color="auto"/>
            <w:bottom w:val="none" w:sz="0" w:space="0" w:color="auto"/>
            <w:right w:val="none" w:sz="0" w:space="0" w:color="auto"/>
          </w:divBdr>
          <w:divsChild>
            <w:div w:id="342171622">
              <w:marLeft w:val="0"/>
              <w:marRight w:val="0"/>
              <w:marTop w:val="0"/>
              <w:marBottom w:val="0"/>
              <w:divBdr>
                <w:top w:val="none" w:sz="0" w:space="0" w:color="auto"/>
                <w:left w:val="none" w:sz="0" w:space="0" w:color="auto"/>
                <w:bottom w:val="none" w:sz="0" w:space="0" w:color="auto"/>
                <w:right w:val="none" w:sz="0" w:space="0" w:color="auto"/>
              </w:divBdr>
              <w:divsChild>
                <w:div w:id="57744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7075">
      <w:bodyDiv w:val="1"/>
      <w:marLeft w:val="0"/>
      <w:marRight w:val="0"/>
      <w:marTop w:val="0"/>
      <w:marBottom w:val="0"/>
      <w:divBdr>
        <w:top w:val="none" w:sz="0" w:space="0" w:color="auto"/>
        <w:left w:val="none" w:sz="0" w:space="0" w:color="auto"/>
        <w:bottom w:val="none" w:sz="0" w:space="0" w:color="auto"/>
        <w:right w:val="none" w:sz="0" w:space="0" w:color="auto"/>
      </w:divBdr>
    </w:div>
    <w:div w:id="1118061651">
      <w:bodyDiv w:val="1"/>
      <w:marLeft w:val="0"/>
      <w:marRight w:val="0"/>
      <w:marTop w:val="0"/>
      <w:marBottom w:val="0"/>
      <w:divBdr>
        <w:top w:val="none" w:sz="0" w:space="0" w:color="auto"/>
        <w:left w:val="none" w:sz="0" w:space="0" w:color="auto"/>
        <w:bottom w:val="none" w:sz="0" w:space="0" w:color="auto"/>
        <w:right w:val="none" w:sz="0" w:space="0" w:color="auto"/>
      </w:divBdr>
    </w:div>
    <w:div w:id="1126001497">
      <w:bodyDiv w:val="1"/>
      <w:marLeft w:val="0"/>
      <w:marRight w:val="0"/>
      <w:marTop w:val="0"/>
      <w:marBottom w:val="0"/>
      <w:divBdr>
        <w:top w:val="none" w:sz="0" w:space="0" w:color="auto"/>
        <w:left w:val="none" w:sz="0" w:space="0" w:color="auto"/>
        <w:bottom w:val="none" w:sz="0" w:space="0" w:color="auto"/>
        <w:right w:val="none" w:sz="0" w:space="0" w:color="auto"/>
      </w:divBdr>
    </w:div>
    <w:div w:id="1155298209">
      <w:bodyDiv w:val="1"/>
      <w:marLeft w:val="0"/>
      <w:marRight w:val="0"/>
      <w:marTop w:val="0"/>
      <w:marBottom w:val="0"/>
      <w:divBdr>
        <w:top w:val="none" w:sz="0" w:space="0" w:color="auto"/>
        <w:left w:val="none" w:sz="0" w:space="0" w:color="auto"/>
        <w:bottom w:val="none" w:sz="0" w:space="0" w:color="auto"/>
        <w:right w:val="none" w:sz="0" w:space="0" w:color="auto"/>
      </w:divBdr>
    </w:div>
    <w:div w:id="1185830707">
      <w:bodyDiv w:val="1"/>
      <w:marLeft w:val="0"/>
      <w:marRight w:val="0"/>
      <w:marTop w:val="0"/>
      <w:marBottom w:val="0"/>
      <w:divBdr>
        <w:top w:val="none" w:sz="0" w:space="0" w:color="auto"/>
        <w:left w:val="none" w:sz="0" w:space="0" w:color="auto"/>
        <w:bottom w:val="none" w:sz="0" w:space="0" w:color="auto"/>
        <w:right w:val="none" w:sz="0" w:space="0" w:color="auto"/>
      </w:divBdr>
    </w:div>
    <w:div w:id="1198809443">
      <w:bodyDiv w:val="1"/>
      <w:marLeft w:val="0"/>
      <w:marRight w:val="0"/>
      <w:marTop w:val="0"/>
      <w:marBottom w:val="0"/>
      <w:divBdr>
        <w:top w:val="none" w:sz="0" w:space="0" w:color="auto"/>
        <w:left w:val="none" w:sz="0" w:space="0" w:color="auto"/>
        <w:bottom w:val="none" w:sz="0" w:space="0" w:color="auto"/>
        <w:right w:val="none" w:sz="0" w:space="0" w:color="auto"/>
      </w:divBdr>
    </w:div>
    <w:div w:id="1261330309">
      <w:bodyDiv w:val="1"/>
      <w:marLeft w:val="0"/>
      <w:marRight w:val="0"/>
      <w:marTop w:val="0"/>
      <w:marBottom w:val="0"/>
      <w:divBdr>
        <w:top w:val="none" w:sz="0" w:space="0" w:color="auto"/>
        <w:left w:val="none" w:sz="0" w:space="0" w:color="auto"/>
        <w:bottom w:val="none" w:sz="0" w:space="0" w:color="auto"/>
        <w:right w:val="none" w:sz="0" w:space="0" w:color="auto"/>
      </w:divBdr>
    </w:div>
    <w:div w:id="1269387709">
      <w:bodyDiv w:val="1"/>
      <w:marLeft w:val="0"/>
      <w:marRight w:val="0"/>
      <w:marTop w:val="0"/>
      <w:marBottom w:val="0"/>
      <w:divBdr>
        <w:top w:val="none" w:sz="0" w:space="0" w:color="auto"/>
        <w:left w:val="none" w:sz="0" w:space="0" w:color="auto"/>
        <w:bottom w:val="none" w:sz="0" w:space="0" w:color="auto"/>
        <w:right w:val="none" w:sz="0" w:space="0" w:color="auto"/>
      </w:divBdr>
    </w:div>
    <w:div w:id="1284727912">
      <w:bodyDiv w:val="1"/>
      <w:marLeft w:val="0"/>
      <w:marRight w:val="0"/>
      <w:marTop w:val="0"/>
      <w:marBottom w:val="0"/>
      <w:divBdr>
        <w:top w:val="none" w:sz="0" w:space="0" w:color="auto"/>
        <w:left w:val="none" w:sz="0" w:space="0" w:color="auto"/>
        <w:bottom w:val="none" w:sz="0" w:space="0" w:color="auto"/>
        <w:right w:val="none" w:sz="0" w:space="0" w:color="auto"/>
      </w:divBdr>
    </w:div>
    <w:div w:id="1316446504">
      <w:bodyDiv w:val="1"/>
      <w:marLeft w:val="0"/>
      <w:marRight w:val="0"/>
      <w:marTop w:val="0"/>
      <w:marBottom w:val="0"/>
      <w:divBdr>
        <w:top w:val="none" w:sz="0" w:space="0" w:color="auto"/>
        <w:left w:val="none" w:sz="0" w:space="0" w:color="auto"/>
        <w:bottom w:val="none" w:sz="0" w:space="0" w:color="auto"/>
        <w:right w:val="none" w:sz="0" w:space="0" w:color="auto"/>
      </w:divBdr>
    </w:div>
    <w:div w:id="1328052260">
      <w:bodyDiv w:val="1"/>
      <w:marLeft w:val="0"/>
      <w:marRight w:val="0"/>
      <w:marTop w:val="0"/>
      <w:marBottom w:val="0"/>
      <w:divBdr>
        <w:top w:val="none" w:sz="0" w:space="0" w:color="auto"/>
        <w:left w:val="none" w:sz="0" w:space="0" w:color="auto"/>
        <w:bottom w:val="none" w:sz="0" w:space="0" w:color="auto"/>
        <w:right w:val="none" w:sz="0" w:space="0" w:color="auto"/>
      </w:divBdr>
    </w:div>
    <w:div w:id="1333876205">
      <w:bodyDiv w:val="1"/>
      <w:marLeft w:val="0"/>
      <w:marRight w:val="0"/>
      <w:marTop w:val="0"/>
      <w:marBottom w:val="0"/>
      <w:divBdr>
        <w:top w:val="none" w:sz="0" w:space="0" w:color="auto"/>
        <w:left w:val="none" w:sz="0" w:space="0" w:color="auto"/>
        <w:bottom w:val="none" w:sz="0" w:space="0" w:color="auto"/>
        <w:right w:val="none" w:sz="0" w:space="0" w:color="auto"/>
      </w:divBdr>
    </w:div>
    <w:div w:id="1336108499">
      <w:bodyDiv w:val="1"/>
      <w:marLeft w:val="0"/>
      <w:marRight w:val="0"/>
      <w:marTop w:val="0"/>
      <w:marBottom w:val="0"/>
      <w:divBdr>
        <w:top w:val="none" w:sz="0" w:space="0" w:color="auto"/>
        <w:left w:val="none" w:sz="0" w:space="0" w:color="auto"/>
        <w:bottom w:val="none" w:sz="0" w:space="0" w:color="auto"/>
        <w:right w:val="none" w:sz="0" w:space="0" w:color="auto"/>
      </w:divBdr>
    </w:div>
    <w:div w:id="1360158615">
      <w:bodyDiv w:val="1"/>
      <w:marLeft w:val="0"/>
      <w:marRight w:val="0"/>
      <w:marTop w:val="0"/>
      <w:marBottom w:val="0"/>
      <w:divBdr>
        <w:top w:val="none" w:sz="0" w:space="0" w:color="auto"/>
        <w:left w:val="none" w:sz="0" w:space="0" w:color="auto"/>
        <w:bottom w:val="none" w:sz="0" w:space="0" w:color="auto"/>
        <w:right w:val="none" w:sz="0" w:space="0" w:color="auto"/>
      </w:divBdr>
      <w:divsChild>
        <w:div w:id="1758287353">
          <w:marLeft w:val="0"/>
          <w:marRight w:val="0"/>
          <w:marTop w:val="0"/>
          <w:marBottom w:val="0"/>
          <w:divBdr>
            <w:top w:val="none" w:sz="0" w:space="0" w:color="auto"/>
            <w:left w:val="none" w:sz="0" w:space="0" w:color="auto"/>
            <w:bottom w:val="none" w:sz="0" w:space="0" w:color="auto"/>
            <w:right w:val="none" w:sz="0" w:space="0" w:color="auto"/>
          </w:divBdr>
          <w:divsChild>
            <w:div w:id="164037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13194">
      <w:bodyDiv w:val="1"/>
      <w:marLeft w:val="0"/>
      <w:marRight w:val="0"/>
      <w:marTop w:val="0"/>
      <w:marBottom w:val="0"/>
      <w:divBdr>
        <w:top w:val="none" w:sz="0" w:space="0" w:color="auto"/>
        <w:left w:val="none" w:sz="0" w:space="0" w:color="auto"/>
        <w:bottom w:val="none" w:sz="0" w:space="0" w:color="auto"/>
        <w:right w:val="none" w:sz="0" w:space="0" w:color="auto"/>
      </w:divBdr>
    </w:div>
    <w:div w:id="1380520645">
      <w:bodyDiv w:val="1"/>
      <w:marLeft w:val="0"/>
      <w:marRight w:val="0"/>
      <w:marTop w:val="0"/>
      <w:marBottom w:val="0"/>
      <w:divBdr>
        <w:top w:val="none" w:sz="0" w:space="0" w:color="auto"/>
        <w:left w:val="none" w:sz="0" w:space="0" w:color="auto"/>
        <w:bottom w:val="none" w:sz="0" w:space="0" w:color="auto"/>
        <w:right w:val="none" w:sz="0" w:space="0" w:color="auto"/>
      </w:divBdr>
    </w:div>
    <w:div w:id="1392849120">
      <w:bodyDiv w:val="1"/>
      <w:marLeft w:val="0"/>
      <w:marRight w:val="0"/>
      <w:marTop w:val="0"/>
      <w:marBottom w:val="0"/>
      <w:divBdr>
        <w:top w:val="none" w:sz="0" w:space="0" w:color="auto"/>
        <w:left w:val="none" w:sz="0" w:space="0" w:color="auto"/>
        <w:bottom w:val="none" w:sz="0" w:space="0" w:color="auto"/>
        <w:right w:val="none" w:sz="0" w:space="0" w:color="auto"/>
      </w:divBdr>
    </w:div>
    <w:div w:id="1473985757">
      <w:bodyDiv w:val="1"/>
      <w:marLeft w:val="0"/>
      <w:marRight w:val="0"/>
      <w:marTop w:val="0"/>
      <w:marBottom w:val="0"/>
      <w:divBdr>
        <w:top w:val="none" w:sz="0" w:space="0" w:color="auto"/>
        <w:left w:val="none" w:sz="0" w:space="0" w:color="auto"/>
        <w:bottom w:val="none" w:sz="0" w:space="0" w:color="auto"/>
        <w:right w:val="none" w:sz="0" w:space="0" w:color="auto"/>
      </w:divBdr>
    </w:div>
    <w:div w:id="1527062921">
      <w:bodyDiv w:val="1"/>
      <w:marLeft w:val="0"/>
      <w:marRight w:val="0"/>
      <w:marTop w:val="0"/>
      <w:marBottom w:val="0"/>
      <w:divBdr>
        <w:top w:val="none" w:sz="0" w:space="0" w:color="auto"/>
        <w:left w:val="none" w:sz="0" w:space="0" w:color="auto"/>
        <w:bottom w:val="none" w:sz="0" w:space="0" w:color="auto"/>
        <w:right w:val="none" w:sz="0" w:space="0" w:color="auto"/>
      </w:divBdr>
    </w:div>
    <w:div w:id="1534223714">
      <w:bodyDiv w:val="1"/>
      <w:marLeft w:val="0"/>
      <w:marRight w:val="0"/>
      <w:marTop w:val="0"/>
      <w:marBottom w:val="0"/>
      <w:divBdr>
        <w:top w:val="none" w:sz="0" w:space="0" w:color="auto"/>
        <w:left w:val="none" w:sz="0" w:space="0" w:color="auto"/>
        <w:bottom w:val="none" w:sz="0" w:space="0" w:color="auto"/>
        <w:right w:val="none" w:sz="0" w:space="0" w:color="auto"/>
      </w:divBdr>
    </w:div>
    <w:div w:id="1552620310">
      <w:bodyDiv w:val="1"/>
      <w:marLeft w:val="0"/>
      <w:marRight w:val="0"/>
      <w:marTop w:val="0"/>
      <w:marBottom w:val="0"/>
      <w:divBdr>
        <w:top w:val="none" w:sz="0" w:space="0" w:color="auto"/>
        <w:left w:val="none" w:sz="0" w:space="0" w:color="auto"/>
        <w:bottom w:val="none" w:sz="0" w:space="0" w:color="auto"/>
        <w:right w:val="none" w:sz="0" w:space="0" w:color="auto"/>
      </w:divBdr>
    </w:div>
    <w:div w:id="1593930636">
      <w:bodyDiv w:val="1"/>
      <w:marLeft w:val="0"/>
      <w:marRight w:val="0"/>
      <w:marTop w:val="0"/>
      <w:marBottom w:val="0"/>
      <w:divBdr>
        <w:top w:val="none" w:sz="0" w:space="0" w:color="auto"/>
        <w:left w:val="none" w:sz="0" w:space="0" w:color="auto"/>
        <w:bottom w:val="none" w:sz="0" w:space="0" w:color="auto"/>
        <w:right w:val="none" w:sz="0" w:space="0" w:color="auto"/>
      </w:divBdr>
      <w:divsChild>
        <w:div w:id="742066986">
          <w:marLeft w:val="0"/>
          <w:marRight w:val="0"/>
          <w:marTop w:val="0"/>
          <w:marBottom w:val="0"/>
          <w:divBdr>
            <w:top w:val="none" w:sz="0" w:space="0" w:color="auto"/>
            <w:left w:val="none" w:sz="0" w:space="0" w:color="auto"/>
            <w:bottom w:val="none" w:sz="0" w:space="0" w:color="auto"/>
            <w:right w:val="none" w:sz="0" w:space="0" w:color="auto"/>
          </w:divBdr>
          <w:divsChild>
            <w:div w:id="1478885867">
              <w:marLeft w:val="0"/>
              <w:marRight w:val="0"/>
              <w:marTop w:val="0"/>
              <w:marBottom w:val="0"/>
              <w:divBdr>
                <w:top w:val="none" w:sz="0" w:space="0" w:color="auto"/>
                <w:left w:val="none" w:sz="0" w:space="0" w:color="auto"/>
                <w:bottom w:val="none" w:sz="0" w:space="0" w:color="auto"/>
                <w:right w:val="none" w:sz="0" w:space="0" w:color="auto"/>
              </w:divBdr>
              <w:divsChild>
                <w:div w:id="16808377">
                  <w:marLeft w:val="0"/>
                  <w:marRight w:val="0"/>
                  <w:marTop w:val="0"/>
                  <w:marBottom w:val="0"/>
                  <w:divBdr>
                    <w:top w:val="none" w:sz="0" w:space="0" w:color="auto"/>
                    <w:left w:val="none" w:sz="0" w:space="0" w:color="auto"/>
                    <w:bottom w:val="none" w:sz="0" w:space="0" w:color="auto"/>
                    <w:right w:val="none" w:sz="0" w:space="0" w:color="auto"/>
                  </w:divBdr>
                  <w:divsChild>
                    <w:div w:id="5095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127365">
      <w:bodyDiv w:val="1"/>
      <w:marLeft w:val="0"/>
      <w:marRight w:val="0"/>
      <w:marTop w:val="0"/>
      <w:marBottom w:val="0"/>
      <w:divBdr>
        <w:top w:val="none" w:sz="0" w:space="0" w:color="auto"/>
        <w:left w:val="none" w:sz="0" w:space="0" w:color="auto"/>
        <w:bottom w:val="none" w:sz="0" w:space="0" w:color="auto"/>
        <w:right w:val="none" w:sz="0" w:space="0" w:color="auto"/>
      </w:divBdr>
    </w:div>
    <w:div w:id="1711104324">
      <w:bodyDiv w:val="1"/>
      <w:marLeft w:val="0"/>
      <w:marRight w:val="0"/>
      <w:marTop w:val="0"/>
      <w:marBottom w:val="0"/>
      <w:divBdr>
        <w:top w:val="none" w:sz="0" w:space="0" w:color="auto"/>
        <w:left w:val="none" w:sz="0" w:space="0" w:color="auto"/>
        <w:bottom w:val="none" w:sz="0" w:space="0" w:color="auto"/>
        <w:right w:val="none" w:sz="0" w:space="0" w:color="auto"/>
      </w:divBdr>
    </w:div>
    <w:div w:id="1780027796">
      <w:bodyDiv w:val="1"/>
      <w:marLeft w:val="0"/>
      <w:marRight w:val="0"/>
      <w:marTop w:val="0"/>
      <w:marBottom w:val="0"/>
      <w:divBdr>
        <w:top w:val="none" w:sz="0" w:space="0" w:color="auto"/>
        <w:left w:val="none" w:sz="0" w:space="0" w:color="auto"/>
        <w:bottom w:val="none" w:sz="0" w:space="0" w:color="auto"/>
        <w:right w:val="none" w:sz="0" w:space="0" w:color="auto"/>
      </w:divBdr>
    </w:div>
    <w:div w:id="1836191424">
      <w:bodyDiv w:val="1"/>
      <w:marLeft w:val="0"/>
      <w:marRight w:val="0"/>
      <w:marTop w:val="0"/>
      <w:marBottom w:val="0"/>
      <w:divBdr>
        <w:top w:val="none" w:sz="0" w:space="0" w:color="auto"/>
        <w:left w:val="none" w:sz="0" w:space="0" w:color="auto"/>
        <w:bottom w:val="none" w:sz="0" w:space="0" w:color="auto"/>
        <w:right w:val="none" w:sz="0" w:space="0" w:color="auto"/>
      </w:divBdr>
    </w:div>
    <w:div w:id="1919944429">
      <w:bodyDiv w:val="1"/>
      <w:marLeft w:val="0"/>
      <w:marRight w:val="0"/>
      <w:marTop w:val="0"/>
      <w:marBottom w:val="0"/>
      <w:divBdr>
        <w:top w:val="none" w:sz="0" w:space="0" w:color="auto"/>
        <w:left w:val="none" w:sz="0" w:space="0" w:color="auto"/>
        <w:bottom w:val="none" w:sz="0" w:space="0" w:color="auto"/>
        <w:right w:val="none" w:sz="0" w:space="0" w:color="auto"/>
      </w:divBdr>
    </w:div>
    <w:div w:id="1920359842">
      <w:bodyDiv w:val="1"/>
      <w:marLeft w:val="0"/>
      <w:marRight w:val="0"/>
      <w:marTop w:val="0"/>
      <w:marBottom w:val="0"/>
      <w:divBdr>
        <w:top w:val="none" w:sz="0" w:space="0" w:color="auto"/>
        <w:left w:val="none" w:sz="0" w:space="0" w:color="auto"/>
        <w:bottom w:val="none" w:sz="0" w:space="0" w:color="auto"/>
        <w:right w:val="none" w:sz="0" w:space="0" w:color="auto"/>
      </w:divBdr>
    </w:div>
    <w:div w:id="1971158137">
      <w:bodyDiv w:val="1"/>
      <w:marLeft w:val="0"/>
      <w:marRight w:val="0"/>
      <w:marTop w:val="0"/>
      <w:marBottom w:val="0"/>
      <w:divBdr>
        <w:top w:val="none" w:sz="0" w:space="0" w:color="auto"/>
        <w:left w:val="none" w:sz="0" w:space="0" w:color="auto"/>
        <w:bottom w:val="none" w:sz="0" w:space="0" w:color="auto"/>
        <w:right w:val="none" w:sz="0" w:space="0" w:color="auto"/>
      </w:divBdr>
    </w:div>
    <w:div w:id="1992950133">
      <w:bodyDiv w:val="1"/>
      <w:marLeft w:val="0"/>
      <w:marRight w:val="0"/>
      <w:marTop w:val="0"/>
      <w:marBottom w:val="0"/>
      <w:divBdr>
        <w:top w:val="none" w:sz="0" w:space="0" w:color="auto"/>
        <w:left w:val="none" w:sz="0" w:space="0" w:color="auto"/>
        <w:bottom w:val="none" w:sz="0" w:space="0" w:color="auto"/>
        <w:right w:val="none" w:sz="0" w:space="0" w:color="auto"/>
      </w:divBdr>
    </w:div>
    <w:div w:id="2000425013">
      <w:bodyDiv w:val="1"/>
      <w:marLeft w:val="0"/>
      <w:marRight w:val="0"/>
      <w:marTop w:val="0"/>
      <w:marBottom w:val="0"/>
      <w:divBdr>
        <w:top w:val="none" w:sz="0" w:space="0" w:color="auto"/>
        <w:left w:val="none" w:sz="0" w:space="0" w:color="auto"/>
        <w:bottom w:val="none" w:sz="0" w:space="0" w:color="auto"/>
        <w:right w:val="none" w:sz="0" w:space="0" w:color="auto"/>
      </w:divBdr>
    </w:div>
    <w:div w:id="2006587539">
      <w:bodyDiv w:val="1"/>
      <w:marLeft w:val="0"/>
      <w:marRight w:val="0"/>
      <w:marTop w:val="0"/>
      <w:marBottom w:val="0"/>
      <w:divBdr>
        <w:top w:val="none" w:sz="0" w:space="0" w:color="auto"/>
        <w:left w:val="none" w:sz="0" w:space="0" w:color="auto"/>
        <w:bottom w:val="none" w:sz="0" w:space="0" w:color="auto"/>
        <w:right w:val="none" w:sz="0" w:space="0" w:color="auto"/>
      </w:divBdr>
    </w:div>
    <w:div w:id="2041008880">
      <w:bodyDiv w:val="1"/>
      <w:marLeft w:val="0"/>
      <w:marRight w:val="0"/>
      <w:marTop w:val="0"/>
      <w:marBottom w:val="0"/>
      <w:divBdr>
        <w:top w:val="none" w:sz="0" w:space="0" w:color="auto"/>
        <w:left w:val="none" w:sz="0" w:space="0" w:color="auto"/>
        <w:bottom w:val="none" w:sz="0" w:space="0" w:color="auto"/>
        <w:right w:val="none" w:sz="0" w:space="0" w:color="auto"/>
      </w:divBdr>
    </w:div>
    <w:div w:id="2066248227">
      <w:bodyDiv w:val="1"/>
      <w:marLeft w:val="0"/>
      <w:marRight w:val="0"/>
      <w:marTop w:val="0"/>
      <w:marBottom w:val="0"/>
      <w:divBdr>
        <w:top w:val="none" w:sz="0" w:space="0" w:color="auto"/>
        <w:left w:val="none" w:sz="0" w:space="0" w:color="auto"/>
        <w:bottom w:val="none" w:sz="0" w:space="0" w:color="auto"/>
        <w:right w:val="none" w:sz="0" w:space="0" w:color="auto"/>
      </w:divBdr>
    </w:div>
    <w:div w:id="2093548430">
      <w:bodyDiv w:val="1"/>
      <w:marLeft w:val="0"/>
      <w:marRight w:val="0"/>
      <w:marTop w:val="0"/>
      <w:marBottom w:val="0"/>
      <w:divBdr>
        <w:top w:val="none" w:sz="0" w:space="0" w:color="auto"/>
        <w:left w:val="none" w:sz="0" w:space="0" w:color="auto"/>
        <w:bottom w:val="none" w:sz="0" w:space="0" w:color="auto"/>
        <w:right w:val="none" w:sz="0" w:space="0" w:color="auto"/>
      </w:divBdr>
    </w:div>
    <w:div w:id="2100715097">
      <w:bodyDiv w:val="1"/>
      <w:marLeft w:val="0"/>
      <w:marRight w:val="0"/>
      <w:marTop w:val="0"/>
      <w:marBottom w:val="0"/>
      <w:divBdr>
        <w:top w:val="none" w:sz="0" w:space="0" w:color="auto"/>
        <w:left w:val="none" w:sz="0" w:space="0" w:color="auto"/>
        <w:bottom w:val="none" w:sz="0" w:space="0" w:color="auto"/>
        <w:right w:val="none" w:sz="0" w:space="0" w:color="auto"/>
      </w:divBdr>
    </w:div>
    <w:div w:id="2117212939">
      <w:bodyDiv w:val="1"/>
      <w:marLeft w:val="0"/>
      <w:marRight w:val="0"/>
      <w:marTop w:val="0"/>
      <w:marBottom w:val="0"/>
      <w:divBdr>
        <w:top w:val="none" w:sz="0" w:space="0" w:color="auto"/>
        <w:left w:val="none" w:sz="0" w:space="0" w:color="auto"/>
        <w:bottom w:val="none" w:sz="0" w:space="0" w:color="auto"/>
        <w:right w:val="none" w:sz="0" w:space="0" w:color="auto"/>
      </w:divBdr>
      <w:divsChild>
        <w:div w:id="975531412">
          <w:marLeft w:val="0"/>
          <w:marRight w:val="0"/>
          <w:marTop w:val="0"/>
          <w:marBottom w:val="0"/>
          <w:divBdr>
            <w:top w:val="none" w:sz="0" w:space="0" w:color="auto"/>
            <w:left w:val="none" w:sz="0" w:space="0" w:color="auto"/>
            <w:bottom w:val="none" w:sz="0" w:space="0" w:color="auto"/>
            <w:right w:val="none" w:sz="0" w:space="0" w:color="auto"/>
          </w:divBdr>
          <w:divsChild>
            <w:div w:id="686760003">
              <w:marLeft w:val="0"/>
              <w:marRight w:val="0"/>
              <w:marTop w:val="0"/>
              <w:marBottom w:val="0"/>
              <w:divBdr>
                <w:top w:val="none" w:sz="0" w:space="0" w:color="auto"/>
                <w:left w:val="none" w:sz="0" w:space="0" w:color="auto"/>
                <w:bottom w:val="none" w:sz="0" w:space="0" w:color="auto"/>
                <w:right w:val="none" w:sz="0" w:space="0" w:color="auto"/>
              </w:divBdr>
              <w:divsChild>
                <w:div w:id="1419642107">
                  <w:marLeft w:val="0"/>
                  <w:marRight w:val="0"/>
                  <w:marTop w:val="0"/>
                  <w:marBottom w:val="0"/>
                  <w:divBdr>
                    <w:top w:val="none" w:sz="0" w:space="0" w:color="auto"/>
                    <w:left w:val="none" w:sz="0" w:space="0" w:color="auto"/>
                    <w:bottom w:val="none" w:sz="0" w:space="0" w:color="auto"/>
                    <w:right w:val="none" w:sz="0" w:space="0" w:color="auto"/>
                  </w:divBdr>
                  <w:divsChild>
                    <w:div w:id="568153286">
                      <w:marLeft w:val="0"/>
                      <w:marRight w:val="0"/>
                      <w:marTop w:val="0"/>
                      <w:marBottom w:val="0"/>
                      <w:divBdr>
                        <w:top w:val="none" w:sz="0" w:space="0" w:color="auto"/>
                        <w:left w:val="none" w:sz="0" w:space="0" w:color="auto"/>
                        <w:bottom w:val="none" w:sz="0" w:space="0" w:color="auto"/>
                        <w:right w:val="none" w:sz="0" w:space="0" w:color="auto"/>
                      </w:divBdr>
                      <w:divsChild>
                        <w:div w:id="162885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1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chart" Target="charts/chart4.xml"/><Relationship Id="rId39" Type="http://schemas.openxmlformats.org/officeDocument/2006/relationships/chart" Target="charts/chart10.xml"/><Relationship Id="rId21" Type="http://schemas.openxmlformats.org/officeDocument/2006/relationships/image" Target="media/image4.jpeg"/><Relationship Id="rId34" Type="http://schemas.openxmlformats.org/officeDocument/2006/relationships/image" Target="media/image7.png"/><Relationship Id="rId42" Type="http://schemas.openxmlformats.org/officeDocument/2006/relationships/chart" Target="charts/chart13.xml"/><Relationship Id="rId47" Type="http://schemas.openxmlformats.org/officeDocument/2006/relationships/chart" Target="charts/chart16.xml"/><Relationship Id="rId50" Type="http://schemas.openxmlformats.org/officeDocument/2006/relationships/footer" Target="footer5.xml"/><Relationship Id="rId55" Type="http://schemas.openxmlformats.org/officeDocument/2006/relationships/chart" Target="charts/chart19.xml"/><Relationship Id="rId63" Type="http://schemas.openxmlformats.org/officeDocument/2006/relationships/header" Target="header15.xml"/><Relationship Id="rId68" Type="http://schemas.openxmlformats.org/officeDocument/2006/relationships/image" Target="media/image10.gif"/><Relationship Id="rId76" Type="http://schemas.openxmlformats.org/officeDocument/2006/relationships/chart" Target="charts/chart25.xml"/><Relationship Id="rId84" Type="http://schemas.openxmlformats.org/officeDocument/2006/relationships/chart" Target="charts/chart30.xml"/><Relationship Id="rId89" Type="http://schemas.openxmlformats.org/officeDocument/2006/relationships/header" Target="header23.xml"/><Relationship Id="rId7" Type="http://schemas.openxmlformats.org/officeDocument/2006/relationships/numbering" Target="numbering.xml"/><Relationship Id="rId71" Type="http://schemas.openxmlformats.org/officeDocument/2006/relationships/header" Target="header18.xm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7.xml"/><Relationship Id="rId11" Type="http://schemas.openxmlformats.org/officeDocument/2006/relationships/webSettings" Target="webSettings.xml"/><Relationship Id="rId24" Type="http://schemas.openxmlformats.org/officeDocument/2006/relationships/chart" Target="charts/chart2.xml"/><Relationship Id="rId32" Type="http://schemas.openxmlformats.org/officeDocument/2006/relationships/header" Target="header6.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header" Target="header7.xml"/><Relationship Id="rId53" Type="http://schemas.openxmlformats.org/officeDocument/2006/relationships/header" Target="header11.xml"/><Relationship Id="rId58" Type="http://schemas.openxmlformats.org/officeDocument/2006/relationships/header" Target="header13.xml"/><Relationship Id="rId66" Type="http://schemas.openxmlformats.org/officeDocument/2006/relationships/footer" Target="footer10.xml"/><Relationship Id="rId74" Type="http://schemas.openxmlformats.org/officeDocument/2006/relationships/footer" Target="footer12.xml"/><Relationship Id="rId79" Type="http://schemas.openxmlformats.org/officeDocument/2006/relationships/header" Target="header20.xml"/><Relationship Id="rId87" Type="http://schemas.openxmlformats.org/officeDocument/2006/relationships/header" Target="header22.xml"/><Relationship Id="rId5" Type="http://schemas.openxmlformats.org/officeDocument/2006/relationships/customXml" Target="../customXml/item5.xml"/><Relationship Id="rId61" Type="http://schemas.openxmlformats.org/officeDocument/2006/relationships/chart" Target="charts/chart20.xml"/><Relationship Id="rId82" Type="http://schemas.openxmlformats.org/officeDocument/2006/relationships/chart" Target="charts/chart28.xml"/><Relationship Id="rId90" Type="http://schemas.openxmlformats.org/officeDocument/2006/relationships/footer" Target="footer14.xml"/><Relationship Id="rId19" Type="http://schemas.openxmlformats.org/officeDocument/2006/relationships/chart" Target="charts/chart1.xml"/><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chart" Target="charts/chart5.xml"/><Relationship Id="rId30" Type="http://schemas.openxmlformats.org/officeDocument/2006/relationships/header" Target="header5.xml"/><Relationship Id="rId35" Type="http://schemas.openxmlformats.org/officeDocument/2006/relationships/image" Target="media/image8.png"/><Relationship Id="rId43" Type="http://schemas.openxmlformats.org/officeDocument/2006/relationships/chart" Target="charts/chart14.xml"/><Relationship Id="rId48" Type="http://schemas.openxmlformats.org/officeDocument/2006/relationships/chart" Target="charts/chart17.xml"/><Relationship Id="rId56" Type="http://schemas.openxmlformats.org/officeDocument/2006/relationships/header" Target="header12.xml"/><Relationship Id="rId64" Type="http://schemas.openxmlformats.org/officeDocument/2006/relationships/footer" Target="footer9.xml"/><Relationship Id="rId69" Type="http://schemas.openxmlformats.org/officeDocument/2006/relationships/chart" Target="charts/chart22.xml"/><Relationship Id="rId77" Type="http://schemas.openxmlformats.org/officeDocument/2006/relationships/hyperlink" Target="http://www.youtube.com/watch?v=EWQ-3FFbf4w" TargetMode="External"/><Relationship Id="rId8" Type="http://schemas.openxmlformats.org/officeDocument/2006/relationships/styles" Target="styles.xml"/><Relationship Id="rId51" Type="http://schemas.openxmlformats.org/officeDocument/2006/relationships/header" Target="header10.xml"/><Relationship Id="rId72" Type="http://schemas.openxmlformats.org/officeDocument/2006/relationships/footer" Target="footer11.xml"/><Relationship Id="rId80" Type="http://schemas.openxmlformats.org/officeDocument/2006/relationships/chart" Target="charts/chart26.xml"/><Relationship Id="rId85" Type="http://schemas.openxmlformats.org/officeDocument/2006/relationships/chart" Target="charts/chart3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3.xml"/><Relationship Id="rId25" Type="http://schemas.openxmlformats.org/officeDocument/2006/relationships/chart" Target="charts/chart3.xml"/><Relationship Id="rId33" Type="http://schemas.openxmlformats.org/officeDocument/2006/relationships/footer" Target="footer4.xml"/><Relationship Id="rId38" Type="http://schemas.openxmlformats.org/officeDocument/2006/relationships/chart" Target="charts/chart9.xml"/><Relationship Id="rId46" Type="http://schemas.openxmlformats.org/officeDocument/2006/relationships/header" Target="header8.xml"/><Relationship Id="rId59" Type="http://schemas.openxmlformats.org/officeDocument/2006/relationships/footer" Target="footer8.xml"/><Relationship Id="rId67" Type="http://schemas.openxmlformats.org/officeDocument/2006/relationships/header" Target="header17.xml"/><Relationship Id="rId20" Type="http://schemas.openxmlformats.org/officeDocument/2006/relationships/header" Target="header4.xml"/><Relationship Id="rId41" Type="http://schemas.openxmlformats.org/officeDocument/2006/relationships/chart" Target="charts/chart12.xml"/><Relationship Id="rId54" Type="http://schemas.openxmlformats.org/officeDocument/2006/relationships/chart" Target="charts/chart18.xml"/><Relationship Id="rId62" Type="http://schemas.openxmlformats.org/officeDocument/2006/relationships/chart" Target="charts/chart21.xml"/><Relationship Id="rId70" Type="http://schemas.openxmlformats.org/officeDocument/2006/relationships/chart" Target="charts/chart23.xml"/><Relationship Id="rId75" Type="http://schemas.openxmlformats.org/officeDocument/2006/relationships/chart" Target="charts/chart24.xml"/><Relationship Id="rId83" Type="http://schemas.openxmlformats.org/officeDocument/2006/relationships/chart" Target="charts/chart29.xml"/><Relationship Id="rId88" Type="http://schemas.openxmlformats.org/officeDocument/2006/relationships/footer" Target="footer13.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chart" Target="charts/chart6.xml"/><Relationship Id="rId36" Type="http://schemas.openxmlformats.org/officeDocument/2006/relationships/image" Target="media/image9.png"/><Relationship Id="rId49" Type="http://schemas.openxmlformats.org/officeDocument/2006/relationships/header" Target="header9.xml"/><Relationship Id="rId57" Type="http://schemas.openxmlformats.org/officeDocument/2006/relationships/footer" Target="footer7.xml"/><Relationship Id="rId10" Type="http://schemas.openxmlformats.org/officeDocument/2006/relationships/settings" Target="settings.xml"/><Relationship Id="rId31" Type="http://schemas.openxmlformats.org/officeDocument/2006/relationships/footer" Target="footer3.xml"/><Relationship Id="rId44" Type="http://schemas.openxmlformats.org/officeDocument/2006/relationships/chart" Target="charts/chart15.xml"/><Relationship Id="rId52" Type="http://schemas.openxmlformats.org/officeDocument/2006/relationships/footer" Target="footer6.xml"/><Relationship Id="rId60" Type="http://schemas.openxmlformats.org/officeDocument/2006/relationships/header" Target="header14.xml"/><Relationship Id="rId65" Type="http://schemas.openxmlformats.org/officeDocument/2006/relationships/header" Target="header16.xml"/><Relationship Id="rId73" Type="http://schemas.openxmlformats.org/officeDocument/2006/relationships/header" Target="header19.xml"/><Relationship Id="rId78" Type="http://schemas.openxmlformats.org/officeDocument/2006/relationships/hyperlink" Target="http://www.tellyads.com/show_movie.php?filename=TA5848" TargetMode="External"/><Relationship Id="rId81" Type="http://schemas.openxmlformats.org/officeDocument/2006/relationships/chart" Target="charts/chart27.xml"/><Relationship Id="rId86" Type="http://schemas.openxmlformats.org/officeDocument/2006/relationships/header" Target="header21.xml"/><Relationship Id="rId4" Type="http://schemas.openxmlformats.org/officeDocument/2006/relationships/customXml" Target="../customXml/item4.xml"/><Relationship Id="rId9"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227259/9643-BIS-UK_Agri_Tech_Strategy_Accessible.pdf" TargetMode="External"/><Relationship Id="rId13" Type="http://schemas.openxmlformats.org/officeDocument/2006/relationships/hyperlink" Target="http://www.renewableuk.com/en/publications/index.cfm/BAI2013" TargetMode="External"/><Relationship Id="rId3" Type="http://schemas.openxmlformats.org/officeDocument/2006/relationships/hyperlink" Target="http://www.ukces.org.uk/news/press-releases/2014/jan/skills-shortages-accelerate" TargetMode="External"/><Relationship Id="rId7" Type="http://schemas.openxmlformats.org/officeDocument/2006/relationships/hyperlink" Target="http://www.seafish.org/research--economics/industry-economics/processing-sector-statistics" TargetMode="External"/><Relationship Id="rId12" Type="http://schemas.openxmlformats.org/officeDocument/2006/relationships/hyperlink" Target="http://www.ewea.org/fileadmin/ewea_documents/documents/publications/factsheets/EWEA_FS-employment.pdf" TargetMode="External"/><Relationship Id="rId2" Type="http://schemas.openxmlformats.org/officeDocument/2006/relationships/hyperlink" Target="http://consult.nelincs.gov.uk/portal/localdevelopmentplans/cs/corestrategyrpo?pointId=1207924352226" TargetMode="External"/><Relationship Id="rId16" Type="http://schemas.openxmlformats.org/officeDocument/2006/relationships/hyperlink" Target="http://www.ukces.org.uk/news/press-releases/2014/jan/skills-shortages-accelerate" TargetMode="External"/><Relationship Id="rId1" Type="http://schemas.openxmlformats.org/officeDocument/2006/relationships/hyperlink" Target="http://www.abports.co.uk/Our_Locations/Grimsby_Immingham/Grimsby/" TargetMode="External"/><Relationship Id="rId6" Type="http://schemas.openxmlformats.org/officeDocument/2006/relationships/hyperlink" Target="http://ec.europa.eu/environment/air/transport/ships.htm" TargetMode="External"/><Relationship Id="rId11" Type="http://schemas.openxmlformats.org/officeDocument/2006/relationships/hyperlink" Target="http://www.scotsman.com/news/environment/scotland-s-offshore-wind-farms-investment-halved-1-3283585" TargetMode="External"/><Relationship Id="rId5" Type="http://schemas.openxmlformats.org/officeDocument/2006/relationships/hyperlink" Target="http://www.oecd.org/daf/competition/sectors/48837794.pdf" TargetMode="External"/><Relationship Id="rId15" Type="http://schemas.openxmlformats.org/officeDocument/2006/relationships/hyperlink" Target="http://www.visitbritain.org/insightsandstatistics/visitoreconomyfacts/" TargetMode="External"/><Relationship Id="rId10" Type="http://schemas.openxmlformats.org/officeDocument/2006/relationships/hyperlink" Target="https://www.gov.uk/government/uploads/system/uploads/attachment_data/file/243987/bis-13-1092-offshore-wind-industrial-strategy.pdf" TargetMode="External"/><Relationship Id="rId4" Type="http://schemas.openxmlformats.org/officeDocument/2006/relationships/hyperlink" Target="http://www.abports.co.uk/admin/content/files/Port%20of%20Immingham%20Master%20Plan%202010%20-2030.pdf" TargetMode="External"/><Relationship Id="rId9" Type="http://schemas.openxmlformats.org/officeDocument/2006/relationships/hyperlink" Target="http://www.marinemanagement.org.uk/fisheries/funding/index.htm" TargetMode="External"/><Relationship Id="rId14" Type="http://schemas.openxmlformats.org/officeDocument/2006/relationships/hyperlink" Target="http://www.telegraph.co.uk/earth/energy/windpower/10474562/Developers-pull-the-plug-on-one-of-the-worlds-largest-offshore-windfarm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3.gif"/></Relationships>
</file>

<file path=word/_rels/header11.xml.rels><?xml version="1.0" encoding="UTF-8" standalone="yes"?>
<Relationships xmlns="http://schemas.openxmlformats.org/package/2006/relationships"><Relationship Id="rId1" Type="http://schemas.openxmlformats.org/officeDocument/2006/relationships/image" Target="media/image3.gif"/></Relationships>
</file>

<file path=word/_rels/header13.xml.rels><?xml version="1.0" encoding="UTF-8" standalone="yes"?>
<Relationships xmlns="http://schemas.openxmlformats.org/package/2006/relationships"><Relationship Id="rId1" Type="http://schemas.openxmlformats.org/officeDocument/2006/relationships/image" Target="media/image3.gif"/></Relationships>
</file>

<file path=word/_rels/header14.xml.rels><?xml version="1.0" encoding="UTF-8" standalone="yes"?>
<Relationships xmlns="http://schemas.openxmlformats.org/package/2006/relationships"><Relationship Id="rId1" Type="http://schemas.openxmlformats.org/officeDocument/2006/relationships/image" Target="media/image3.gif"/></Relationships>
</file>

<file path=word/_rels/header16.xml.rels><?xml version="1.0" encoding="UTF-8" standalone="yes"?>
<Relationships xmlns="http://schemas.openxmlformats.org/package/2006/relationships"><Relationship Id="rId1" Type="http://schemas.openxmlformats.org/officeDocument/2006/relationships/image" Target="media/image3.gif"/></Relationships>
</file>

<file path=word/_rels/header17.xml.rels><?xml version="1.0" encoding="UTF-8" standalone="yes"?>
<Relationships xmlns="http://schemas.openxmlformats.org/package/2006/relationships"><Relationship Id="rId1" Type="http://schemas.openxmlformats.org/officeDocument/2006/relationships/image" Target="media/image3.gif"/></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gif"/></Relationships>
</file>

<file path=word/_rels/header21.xml.rels><?xml version="1.0" encoding="UTF-8" standalone="yes"?>
<Relationships xmlns="http://schemas.openxmlformats.org/package/2006/relationships"><Relationship Id="rId1" Type="http://schemas.openxmlformats.org/officeDocument/2006/relationships/image" Target="media/image3.gif"/></Relationships>
</file>

<file path=word/_rels/header23.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gif"/></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3.gif"/></Relationships>
</file>

<file path=word/_rels/header8.xml.rels><?xml version="1.0" encoding="UTF-8" standalone="yes"?>
<Relationships xmlns="http://schemas.openxmlformats.org/package/2006/relationships"><Relationship Id="rId1"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tkins%20Repor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wsatkins.com\Home\GBEMB\STEE4919\My%20Documents\NEL_GDP_discrepanc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wsatkins.com\project\GBLOW\LEGE\PLH\Planning\Projects\Economics%20projects\North%20East%20Lincolnshire\Survey\Analysis_files\Survey_analysis_book.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wsatkins.com\project\GBLOW\LEGE\PLH\Planning\Projects\Economics%20projects\North%20East%20Lincolnshire\Survey\Analysis_files\Survey_analysis_book.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wsatkins.com\project\GBLOW\LEGE\PLH\Planning\Projects\Economics%20projects\North%20East%20Lincolnshire\Survey\Analysis_files\Survey_analysis_book.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wsatkins.com\project\GBLOW\LEGE\PLH\Planning\Projects\Economics%20projects\North%20East%20Lincolnshire\Survey\Analysis_files\Survey_analysis_book.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wsatkins.com\project\GBLOW\LEGE\PLH\Planning\Projects\Economics%20projects\North%20East%20Lincolnshire\Survey\Analysis_files\Survey_analysis_book.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wsatkins.com\project\GBLOW\LEGE\PLH\Planning\Projects\Economics%20projects\North%20East%20Lincolnshire\Survey\Analysis_files\Survey_analysis_bo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79546246676697E-2"/>
          <c:y val="8.8875242795908513E-2"/>
          <c:w val="0.82856318007911933"/>
          <c:h val="0.8070552501692011"/>
        </c:manualLayout>
      </c:layout>
      <c:ofPieChart>
        <c:ofPieType val="pie"/>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explosion val="10"/>
            <c:spPr>
              <a:solidFill>
                <a:schemeClr val="accent1">
                  <a:lumMod val="60000"/>
                </a:schemeClr>
              </a:solidFill>
              <a:ln w="19050">
                <a:solidFill>
                  <a:schemeClr val="lt1"/>
                </a:solidFill>
              </a:ln>
              <a:effectLst/>
            </c:spPr>
          </c:dPt>
          <c:dLbls>
            <c:dLbl>
              <c:idx val="0"/>
              <c:layout>
                <c:manualLayout>
                  <c:x val="2.1936939171987918E-4"/>
                  <c:y val="0.19254733828127973"/>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4906565242117395"/>
                      <c:h val="0.13737799043062202"/>
                    </c:manualLayout>
                  </c15:layout>
                </c:ext>
              </c:extLst>
            </c:dLbl>
            <c:dLbl>
              <c:idx val="1"/>
              <c:layout>
                <c:manualLayout>
                  <c:x val="-4.0737439933435952E-3"/>
                  <c:y val="-7.2701955317786379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4646489898893514"/>
                      <c:h val="0.13129126323324417"/>
                    </c:manualLayout>
                  </c15:layout>
                </c:ext>
              </c:extLst>
            </c:dLbl>
            <c:dLbl>
              <c:idx val="2"/>
              <c:layout>
                <c:manualLayout>
                  <c:x val="0.18872351632245679"/>
                  <c:y val="-2.5887352597671755E-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1.0804920591906323E-2"/>
                  <c:y val="-6.1797686772407108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2980351220033512"/>
                      <c:h val="0.16502821836265683"/>
                    </c:manualLayout>
                  </c15:layout>
                </c:ext>
              </c:extLst>
            </c:dLbl>
            <c:dLbl>
              <c:idx val="4"/>
              <c:layout>
                <c:manualLayout>
                  <c:x val="-6.0610455685283706E-4"/>
                  <c:y val="-8.0833364728930528E-3"/>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3478154663531819"/>
                      <c:h val="0.20706506423539159"/>
                    </c:manualLayout>
                  </c15:layout>
                </c:ext>
              </c:extLst>
            </c:dLbl>
            <c:dLbl>
              <c:idx val="5"/>
              <c:layout>
                <c:manualLayout>
                  <c:x val="-1.6965584100824153E-2"/>
                  <c:y val="-6.1949289831594026E-3"/>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6"/>
              <c:layout>
                <c:manualLayout>
                  <c:x val="-5.3524795706886702E-2"/>
                  <c:y val="-0.16896160946388888"/>
                </c:manualLayout>
              </c:layout>
              <c:tx>
                <c:rich>
                  <a:bodyPr/>
                  <a:lstStyle/>
                  <a:p>
                    <a:r>
                      <a:rPr lang="en-US" baseline="0"/>
                      <a:t>Key sectors, </a:t>
                    </a:r>
                  </a:p>
                  <a:p>
                    <a:r>
                      <a:rPr lang="en-US" baseline="0"/>
                      <a:t>57.5%</a:t>
                    </a:r>
                  </a:p>
                </c:rich>
              </c:tx>
              <c:dLblPos val="bestFit"/>
              <c:showLegendKey val="0"/>
              <c:showVal val="1"/>
              <c:showCatName val="1"/>
              <c:showSerName val="0"/>
              <c:showPercent val="0"/>
              <c:showBubbleSize val="0"/>
              <c:extLst>
                <c:ext xmlns:c15="http://schemas.microsoft.com/office/drawing/2012/chart" uri="{CE6537A1-D6FC-4f65-9D91-7224C49458BB}">
                  <c15:layout>
                    <c:manualLayout>
                      <c:w val="0.11698619470918049"/>
                      <c:h val="0.15518185585653466"/>
                    </c:manualLayout>
                  </c15:layout>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Sheet1!$A$18:$A$23</c:f>
              <c:strCache>
                <c:ptCount val="6"/>
                <c:pt idx="0">
                  <c:v>Other sectors</c:v>
                </c:pt>
                <c:pt idx="1">
                  <c:v>Renewables &amp; Energy</c:v>
                </c:pt>
                <c:pt idx="2">
                  <c:v>Ports &amp; Logistics</c:v>
                </c:pt>
                <c:pt idx="3">
                  <c:v>Food Processing</c:v>
                </c:pt>
                <c:pt idx="4">
                  <c:v>Chemicals &amp; Process Industries</c:v>
                </c:pt>
                <c:pt idx="5">
                  <c:v>Visitor Economy</c:v>
                </c:pt>
              </c:strCache>
            </c:strRef>
          </c:cat>
          <c:val>
            <c:numRef>
              <c:f>Sheet1!$B$18:$B$23</c:f>
              <c:numCache>
                <c:formatCode>0.00%</c:formatCode>
                <c:ptCount val="6"/>
                <c:pt idx="0">
                  <c:v>0.42384375174500588</c:v>
                </c:pt>
                <c:pt idx="1">
                  <c:v>0.12440302710632786</c:v>
                </c:pt>
                <c:pt idx="2">
                  <c:v>0.20925638556315837</c:v>
                </c:pt>
                <c:pt idx="3">
                  <c:v>7.9367287189538047E-2</c:v>
                </c:pt>
                <c:pt idx="4">
                  <c:v>0.10288673364737701</c:v>
                </c:pt>
                <c:pt idx="5">
                  <c:v>6.0242814748593103E-2</c:v>
                </c:pt>
              </c:numCache>
            </c:numRef>
          </c:val>
        </c:ser>
        <c:dLbls>
          <c:showLegendKey val="0"/>
          <c:showVal val="1"/>
          <c:showCatName val="0"/>
          <c:showSerName val="0"/>
          <c:showPercent val="0"/>
          <c:showBubbleSize val="0"/>
          <c:showLeaderLines val="0"/>
        </c:dLbls>
        <c:gapWidth val="100"/>
        <c:splitType val="pos"/>
        <c:splitPos val="5"/>
        <c:secondPieSize val="180"/>
        <c:serLines>
          <c:spPr>
            <a:ln w="9525" cap="flat" cmpd="sng" algn="ctr">
              <a:solidFill>
                <a:schemeClr val="tx1">
                  <a:lumMod val="35000"/>
                  <a:lumOff val="65000"/>
                </a:schemeClr>
              </a:solidFill>
              <a:round/>
            </a:ln>
            <a:effectLst/>
          </c:spPr>
        </c:serLines>
      </c:of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054270827878527E-2"/>
          <c:y val="6.1275635354501312E-2"/>
          <c:w val="0.63721997128192398"/>
          <c:h val="0.84034221951755905"/>
        </c:manualLayout>
      </c:layout>
      <c:lineChart>
        <c:grouping val="standard"/>
        <c:varyColors val="0"/>
        <c:ser>
          <c:idx val="0"/>
          <c:order val="0"/>
          <c:tx>
            <c:strRef>
              <c:f>'Baseline - No Overlap'!$B$49</c:f>
              <c:strCache>
                <c:ptCount val="1"/>
                <c:pt idx="0">
                  <c:v>Ports &amp; Logistics</c:v>
                </c:pt>
              </c:strCache>
            </c:strRef>
          </c:tx>
          <c:marker>
            <c:symbol val="none"/>
          </c:marker>
          <c:cat>
            <c:numRef>
              <c:f>'Baseline - No Overlap'!$C$48:$G$48</c:f>
              <c:numCache>
                <c:formatCode>General</c:formatCode>
                <c:ptCount val="5"/>
                <c:pt idx="0">
                  <c:v>2009</c:v>
                </c:pt>
                <c:pt idx="1">
                  <c:v>2010</c:v>
                </c:pt>
                <c:pt idx="2">
                  <c:v>2011</c:v>
                </c:pt>
                <c:pt idx="3">
                  <c:v>2012</c:v>
                </c:pt>
                <c:pt idx="4">
                  <c:v>2013</c:v>
                </c:pt>
              </c:numCache>
            </c:numRef>
          </c:cat>
          <c:val>
            <c:numRef>
              <c:f>'Baseline - No Overlap'!$C$49:$G$49</c:f>
              <c:numCache>
                <c:formatCode>_-* #,##0_-;\-* #,##0_-;_-* "-"??_-;_-@_-</c:formatCode>
                <c:ptCount val="5"/>
                <c:pt idx="0">
                  <c:v>240</c:v>
                </c:pt>
                <c:pt idx="1">
                  <c:v>230</c:v>
                </c:pt>
                <c:pt idx="2">
                  <c:v>240</c:v>
                </c:pt>
                <c:pt idx="3">
                  <c:v>220</c:v>
                </c:pt>
                <c:pt idx="4">
                  <c:v>220</c:v>
                </c:pt>
              </c:numCache>
            </c:numRef>
          </c:val>
          <c:smooth val="0"/>
        </c:ser>
        <c:ser>
          <c:idx val="1"/>
          <c:order val="1"/>
          <c:tx>
            <c:strRef>
              <c:f>'Baseline - No Overlap'!$B$50</c:f>
              <c:strCache>
                <c:ptCount val="1"/>
                <c:pt idx="0">
                  <c:v>Renewables (&amp; Energy)</c:v>
                </c:pt>
              </c:strCache>
            </c:strRef>
          </c:tx>
          <c:marker>
            <c:symbol val="none"/>
          </c:marker>
          <c:cat>
            <c:numRef>
              <c:f>'Baseline - No Overlap'!$C$48:$G$48</c:f>
              <c:numCache>
                <c:formatCode>General</c:formatCode>
                <c:ptCount val="5"/>
                <c:pt idx="0">
                  <c:v>2009</c:v>
                </c:pt>
                <c:pt idx="1">
                  <c:v>2010</c:v>
                </c:pt>
                <c:pt idx="2">
                  <c:v>2011</c:v>
                </c:pt>
                <c:pt idx="3">
                  <c:v>2012</c:v>
                </c:pt>
                <c:pt idx="4">
                  <c:v>2013</c:v>
                </c:pt>
              </c:numCache>
            </c:numRef>
          </c:cat>
          <c:val>
            <c:numRef>
              <c:f>'Baseline - No Overlap'!$C$50:$G$50</c:f>
              <c:numCache>
                <c:formatCode>_-* #,##0_-;\-* #,##0_-;_-* "-"??_-;_-@_-</c:formatCode>
                <c:ptCount val="5"/>
                <c:pt idx="0">
                  <c:v>410</c:v>
                </c:pt>
                <c:pt idx="1">
                  <c:v>410</c:v>
                </c:pt>
                <c:pt idx="2">
                  <c:v>380</c:v>
                </c:pt>
                <c:pt idx="3">
                  <c:v>410</c:v>
                </c:pt>
                <c:pt idx="4">
                  <c:v>430</c:v>
                </c:pt>
              </c:numCache>
            </c:numRef>
          </c:val>
          <c:smooth val="0"/>
        </c:ser>
        <c:ser>
          <c:idx val="2"/>
          <c:order val="2"/>
          <c:tx>
            <c:strRef>
              <c:f>'Baseline - No Overlap'!$B$51</c:f>
              <c:strCache>
                <c:ptCount val="1"/>
                <c:pt idx="0">
                  <c:v>Chemicals &amp; Process Industries  </c:v>
                </c:pt>
              </c:strCache>
            </c:strRef>
          </c:tx>
          <c:marker>
            <c:symbol val="none"/>
          </c:marker>
          <c:cat>
            <c:numRef>
              <c:f>'Baseline - No Overlap'!$C$48:$G$48</c:f>
              <c:numCache>
                <c:formatCode>General</c:formatCode>
                <c:ptCount val="5"/>
                <c:pt idx="0">
                  <c:v>2009</c:v>
                </c:pt>
                <c:pt idx="1">
                  <c:v>2010</c:v>
                </c:pt>
                <c:pt idx="2">
                  <c:v>2011</c:v>
                </c:pt>
                <c:pt idx="3">
                  <c:v>2012</c:v>
                </c:pt>
                <c:pt idx="4">
                  <c:v>2013</c:v>
                </c:pt>
              </c:numCache>
            </c:numRef>
          </c:cat>
          <c:val>
            <c:numRef>
              <c:f>'Baseline - No Overlap'!$C$51:$G$51</c:f>
              <c:numCache>
                <c:formatCode>_-* #,##0_-;\-* #,##0_-;_-* "-"??_-;_-@_-</c:formatCode>
                <c:ptCount val="5"/>
                <c:pt idx="0">
                  <c:v>30</c:v>
                </c:pt>
                <c:pt idx="1">
                  <c:v>30</c:v>
                </c:pt>
                <c:pt idx="2">
                  <c:v>30</c:v>
                </c:pt>
                <c:pt idx="3">
                  <c:v>40</c:v>
                </c:pt>
                <c:pt idx="4">
                  <c:v>40</c:v>
                </c:pt>
              </c:numCache>
            </c:numRef>
          </c:val>
          <c:smooth val="0"/>
        </c:ser>
        <c:ser>
          <c:idx val="3"/>
          <c:order val="3"/>
          <c:tx>
            <c:strRef>
              <c:f>'Baseline - No Overlap'!$B$52</c:f>
              <c:strCache>
                <c:ptCount val="1"/>
                <c:pt idx="0">
                  <c:v>Tourism &amp; Retail  </c:v>
                </c:pt>
              </c:strCache>
            </c:strRef>
          </c:tx>
          <c:marker>
            <c:symbol val="none"/>
          </c:marker>
          <c:cat>
            <c:numRef>
              <c:f>'Baseline - No Overlap'!$C$48:$G$48</c:f>
              <c:numCache>
                <c:formatCode>General</c:formatCode>
                <c:ptCount val="5"/>
                <c:pt idx="0">
                  <c:v>2009</c:v>
                </c:pt>
                <c:pt idx="1">
                  <c:v>2010</c:v>
                </c:pt>
                <c:pt idx="2">
                  <c:v>2011</c:v>
                </c:pt>
                <c:pt idx="3">
                  <c:v>2012</c:v>
                </c:pt>
                <c:pt idx="4">
                  <c:v>2013</c:v>
                </c:pt>
              </c:numCache>
            </c:numRef>
          </c:cat>
          <c:val>
            <c:numRef>
              <c:f>'Baseline - No Overlap'!$C$52:$G$52</c:f>
              <c:numCache>
                <c:formatCode>_-* #,##0_-;\-* #,##0_-;_-* "-"??_-;_-@_-</c:formatCode>
                <c:ptCount val="5"/>
                <c:pt idx="0">
                  <c:v>440</c:v>
                </c:pt>
                <c:pt idx="1">
                  <c:v>440</c:v>
                </c:pt>
                <c:pt idx="2">
                  <c:v>420</c:v>
                </c:pt>
                <c:pt idx="3">
                  <c:v>410</c:v>
                </c:pt>
                <c:pt idx="4">
                  <c:v>400</c:v>
                </c:pt>
              </c:numCache>
            </c:numRef>
          </c:val>
          <c:smooth val="0"/>
        </c:ser>
        <c:ser>
          <c:idx val="4"/>
          <c:order val="4"/>
          <c:tx>
            <c:strRef>
              <c:f>'Baseline - No Overlap'!$B$53</c:f>
              <c:strCache>
                <c:ptCount val="1"/>
                <c:pt idx="0">
                  <c:v>Food Processing  </c:v>
                </c:pt>
              </c:strCache>
            </c:strRef>
          </c:tx>
          <c:marker>
            <c:symbol val="none"/>
          </c:marker>
          <c:cat>
            <c:numRef>
              <c:f>'Baseline - No Overlap'!$C$48:$G$48</c:f>
              <c:numCache>
                <c:formatCode>General</c:formatCode>
                <c:ptCount val="5"/>
                <c:pt idx="0">
                  <c:v>2009</c:v>
                </c:pt>
                <c:pt idx="1">
                  <c:v>2010</c:v>
                </c:pt>
                <c:pt idx="2">
                  <c:v>2011</c:v>
                </c:pt>
                <c:pt idx="3">
                  <c:v>2012</c:v>
                </c:pt>
                <c:pt idx="4">
                  <c:v>2013</c:v>
                </c:pt>
              </c:numCache>
            </c:numRef>
          </c:cat>
          <c:val>
            <c:numRef>
              <c:f>'Baseline - No Overlap'!$C$53:$G$53</c:f>
              <c:numCache>
                <c:formatCode>_-* #,##0_-;\-* #,##0_-;_-* "-"??_-;_-@_-</c:formatCode>
                <c:ptCount val="5"/>
                <c:pt idx="0">
                  <c:v>80</c:v>
                </c:pt>
                <c:pt idx="1">
                  <c:v>70</c:v>
                </c:pt>
                <c:pt idx="2">
                  <c:v>70</c:v>
                </c:pt>
                <c:pt idx="3">
                  <c:v>60</c:v>
                </c:pt>
                <c:pt idx="4">
                  <c:v>90</c:v>
                </c:pt>
              </c:numCache>
            </c:numRef>
          </c:val>
          <c:smooth val="0"/>
        </c:ser>
        <c:dLbls>
          <c:showLegendKey val="0"/>
          <c:showVal val="0"/>
          <c:showCatName val="0"/>
          <c:showSerName val="0"/>
          <c:showPercent val="0"/>
          <c:showBubbleSize val="0"/>
        </c:dLbls>
        <c:marker val="1"/>
        <c:smooth val="0"/>
        <c:axId val="98057216"/>
        <c:axId val="98071296"/>
      </c:lineChart>
      <c:catAx>
        <c:axId val="98057216"/>
        <c:scaling>
          <c:orientation val="minMax"/>
        </c:scaling>
        <c:delete val="0"/>
        <c:axPos val="b"/>
        <c:numFmt formatCode="General" sourceLinked="1"/>
        <c:majorTickMark val="out"/>
        <c:minorTickMark val="none"/>
        <c:tickLblPos val="nextTo"/>
        <c:crossAx val="98071296"/>
        <c:crosses val="autoZero"/>
        <c:auto val="1"/>
        <c:lblAlgn val="ctr"/>
        <c:lblOffset val="100"/>
        <c:noMultiLvlLbl val="0"/>
      </c:catAx>
      <c:valAx>
        <c:axId val="98071296"/>
        <c:scaling>
          <c:orientation val="minMax"/>
        </c:scaling>
        <c:delete val="0"/>
        <c:axPos val="l"/>
        <c:title>
          <c:tx>
            <c:rich>
              <a:bodyPr rot="-5400000" vert="horz"/>
              <a:lstStyle/>
              <a:p>
                <a:pPr>
                  <a:defRPr/>
                </a:pPr>
                <a:r>
                  <a:rPr lang="en-GB"/>
                  <a:t>Firms</a:t>
                </a:r>
              </a:p>
            </c:rich>
          </c:tx>
          <c:overlay val="0"/>
        </c:title>
        <c:numFmt formatCode="_-* #,##0_-;\-* #,##0_-;_-* &quot;-&quot;??_-;_-@_-" sourceLinked="1"/>
        <c:majorTickMark val="out"/>
        <c:minorTickMark val="none"/>
        <c:tickLblPos val="nextTo"/>
        <c:crossAx val="98057216"/>
        <c:crosses val="autoZero"/>
        <c:crossBetween val="between"/>
      </c:valAx>
    </c:plotArea>
    <c:legend>
      <c:legendPos val="r"/>
      <c:layout>
        <c:manualLayout>
          <c:xMode val="edge"/>
          <c:yMode val="edge"/>
          <c:x val="0.69301737631088933"/>
          <c:y val="5.0646306685008406E-2"/>
          <c:w val="0.30698262368911994"/>
          <c:h val="0.83370715650628435"/>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59901067618502E-2"/>
          <c:y val="2.3722032439623692E-2"/>
          <c:w val="0.8882862293673317"/>
          <c:h val="0.60449684109840374"/>
        </c:manualLayout>
      </c:layout>
      <c:barChart>
        <c:barDir val="col"/>
        <c:grouping val="stacked"/>
        <c:varyColors val="0"/>
        <c:ser>
          <c:idx val="0"/>
          <c:order val="0"/>
          <c:tx>
            <c:strRef>
              <c:f>'A19'!$A$8</c:f>
              <c:strCache>
                <c:ptCount val="1"/>
                <c:pt idx="0">
                  <c:v>Yes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'A19'!$B$7:$G$7</c:f>
              <c:strCache>
                <c:ptCount val="6"/>
                <c:pt idx="0">
                  <c:v>Total</c:v>
                </c:pt>
                <c:pt idx="1">
                  <c:v>Renewables</c:v>
                </c:pt>
                <c:pt idx="2">
                  <c:v>Ports &amp; Logistics</c:v>
                </c:pt>
                <c:pt idx="3">
                  <c:v>Food manufacturing</c:v>
                </c:pt>
                <c:pt idx="4">
                  <c:v>Chemicals &amp; process industries</c:v>
                </c:pt>
                <c:pt idx="5">
                  <c:v>Visitor Economy &amp; Retail</c:v>
                </c:pt>
              </c:strCache>
            </c:strRef>
          </c:cat>
          <c:val>
            <c:numRef>
              <c:f>'A19'!$B$8:$G$8</c:f>
              <c:numCache>
                <c:formatCode>0.0%</c:formatCode>
                <c:ptCount val="6"/>
                <c:pt idx="0">
                  <c:v>0.22404371584699459</c:v>
                </c:pt>
                <c:pt idx="1">
                  <c:v>0.3000000000000001</c:v>
                </c:pt>
                <c:pt idx="2">
                  <c:v>0.42028985507246391</c:v>
                </c:pt>
                <c:pt idx="3">
                  <c:v>0.12280701754385964</c:v>
                </c:pt>
                <c:pt idx="4">
                  <c:v>0.28571428571428586</c:v>
                </c:pt>
                <c:pt idx="5">
                  <c:v>0.13385826771653545</c:v>
                </c:pt>
              </c:numCache>
            </c:numRef>
          </c:val>
        </c:ser>
        <c:ser>
          <c:idx val="1"/>
          <c:order val="1"/>
          <c:tx>
            <c:strRef>
              <c:f>'A19'!$A$9</c:f>
              <c:strCache>
                <c:ptCount val="1"/>
                <c:pt idx="0">
                  <c:v>No</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'A19'!$B$7:$G$7</c:f>
              <c:strCache>
                <c:ptCount val="6"/>
                <c:pt idx="0">
                  <c:v>Total</c:v>
                </c:pt>
                <c:pt idx="1">
                  <c:v>Renewables</c:v>
                </c:pt>
                <c:pt idx="2">
                  <c:v>Ports &amp; Logistics</c:v>
                </c:pt>
                <c:pt idx="3">
                  <c:v>Food manufacturing</c:v>
                </c:pt>
                <c:pt idx="4">
                  <c:v>Chemicals &amp; process industries</c:v>
                </c:pt>
                <c:pt idx="5">
                  <c:v>Visitor Economy &amp; Retail</c:v>
                </c:pt>
              </c:strCache>
            </c:strRef>
          </c:cat>
          <c:val>
            <c:numRef>
              <c:f>'A19'!$B$9:$G$9</c:f>
              <c:numCache>
                <c:formatCode>0.0%</c:formatCode>
                <c:ptCount val="6"/>
                <c:pt idx="0">
                  <c:v>0.77595628415300566</c:v>
                </c:pt>
                <c:pt idx="1">
                  <c:v>0.70000000000000018</c:v>
                </c:pt>
                <c:pt idx="2">
                  <c:v>0.57971014492753603</c:v>
                </c:pt>
                <c:pt idx="3">
                  <c:v>0.87719298245614052</c:v>
                </c:pt>
                <c:pt idx="4">
                  <c:v>0.71428571428571452</c:v>
                </c:pt>
                <c:pt idx="5">
                  <c:v>0.86614173228346514</c:v>
                </c:pt>
              </c:numCache>
            </c:numRef>
          </c:val>
        </c:ser>
        <c:dLbls>
          <c:showLegendKey val="0"/>
          <c:showVal val="1"/>
          <c:showCatName val="0"/>
          <c:showSerName val="0"/>
          <c:showPercent val="0"/>
          <c:showBubbleSize val="0"/>
        </c:dLbls>
        <c:gapWidth val="49"/>
        <c:overlap val="100"/>
        <c:axId val="99236480"/>
        <c:axId val="99254656"/>
      </c:barChart>
      <c:catAx>
        <c:axId val="99236480"/>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99254656"/>
        <c:crosses val="autoZero"/>
        <c:auto val="1"/>
        <c:lblAlgn val="ctr"/>
        <c:lblOffset val="100"/>
        <c:noMultiLvlLbl val="0"/>
      </c:catAx>
      <c:valAx>
        <c:axId val="99254656"/>
        <c:scaling>
          <c:orientation val="minMax"/>
          <c:max val="1"/>
        </c:scaling>
        <c:delete val="0"/>
        <c:axPos val="l"/>
        <c:numFmt formatCode="0%" sourceLinked="0"/>
        <c:majorTickMark val="out"/>
        <c:minorTickMark val="none"/>
        <c:tickLblPos val="nextTo"/>
        <c:crossAx val="99236480"/>
        <c:crosses val="autoZero"/>
        <c:crossBetween val="between"/>
        <c:majorUnit val="0.25"/>
      </c:valAx>
    </c:plotArea>
    <c:legend>
      <c:legendPos val="r"/>
      <c:layout>
        <c:manualLayout>
          <c:xMode val="edge"/>
          <c:yMode val="edge"/>
          <c:x val="2.2832983349326891E-2"/>
          <c:y val="0.84686177943010565"/>
          <c:w val="0.34466339301129451"/>
          <c:h val="7.4663815729779259E-2"/>
        </c:manualLayout>
      </c:layout>
      <c:overlay val="0"/>
      <c:spPr>
        <a:ln>
          <a:noFill/>
        </a:ln>
      </c:sp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031159566592844"/>
          <c:y val="5.1972596267422629E-2"/>
          <c:w val="0.5601906252103106"/>
          <c:h val="0.83445928224244825"/>
        </c:manualLayout>
      </c:layout>
      <c:barChart>
        <c:barDir val="bar"/>
        <c:grouping val="stacked"/>
        <c:varyColors val="0"/>
        <c:ser>
          <c:idx val="0"/>
          <c:order val="0"/>
          <c:tx>
            <c:strRef>
              <c:f>'A21'!$J$5</c:f>
              <c:strCache>
                <c:ptCount val="1"/>
                <c:pt idx="0">
                  <c:v>Yes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'A21'!$K$4:$O$4</c:f>
              <c:strCache>
                <c:ptCount val="5"/>
                <c:pt idx="0">
                  <c:v>Renewables</c:v>
                </c:pt>
                <c:pt idx="1">
                  <c:v>Ports &amp; Logistics</c:v>
                </c:pt>
                <c:pt idx="2">
                  <c:v>Food manufacturing</c:v>
                </c:pt>
                <c:pt idx="3">
                  <c:v>Chemicals &amp; process industries</c:v>
                </c:pt>
                <c:pt idx="4">
                  <c:v>Visitor Economy &amp; Retail</c:v>
                </c:pt>
              </c:strCache>
            </c:strRef>
          </c:cat>
          <c:val>
            <c:numRef>
              <c:f>'A21'!$K$5:$O$5</c:f>
              <c:numCache>
                <c:formatCode>0.0%</c:formatCode>
                <c:ptCount val="5"/>
                <c:pt idx="0">
                  <c:v>0.5</c:v>
                </c:pt>
                <c:pt idx="1">
                  <c:v>0.60869565217391375</c:v>
                </c:pt>
                <c:pt idx="2">
                  <c:v>0.36842105263157893</c:v>
                </c:pt>
                <c:pt idx="3">
                  <c:v>0.57142857142857173</c:v>
                </c:pt>
                <c:pt idx="4">
                  <c:v>0.36220472440944895</c:v>
                </c:pt>
              </c:numCache>
            </c:numRef>
          </c:val>
        </c:ser>
        <c:ser>
          <c:idx val="1"/>
          <c:order val="1"/>
          <c:tx>
            <c:strRef>
              <c:f>'A21'!$J$6</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'A21'!$K$4:$O$4</c:f>
              <c:strCache>
                <c:ptCount val="5"/>
                <c:pt idx="0">
                  <c:v>Renewables</c:v>
                </c:pt>
                <c:pt idx="1">
                  <c:v>Ports &amp; Logistics</c:v>
                </c:pt>
                <c:pt idx="2">
                  <c:v>Food manufacturing</c:v>
                </c:pt>
                <c:pt idx="3">
                  <c:v>Chemicals &amp; process industries</c:v>
                </c:pt>
                <c:pt idx="4">
                  <c:v>Visitor Economy &amp; Retail</c:v>
                </c:pt>
              </c:strCache>
            </c:strRef>
          </c:cat>
          <c:val>
            <c:numRef>
              <c:f>'A21'!$K$6:$O$6</c:f>
              <c:numCache>
                <c:formatCode>0.0%</c:formatCode>
                <c:ptCount val="5"/>
                <c:pt idx="0">
                  <c:v>0.5</c:v>
                </c:pt>
                <c:pt idx="1">
                  <c:v>0.39130434782608714</c:v>
                </c:pt>
                <c:pt idx="2">
                  <c:v>0.63157894736842124</c:v>
                </c:pt>
                <c:pt idx="3">
                  <c:v>0.42857142857142855</c:v>
                </c:pt>
                <c:pt idx="4">
                  <c:v>0.63779527559055182</c:v>
                </c:pt>
              </c:numCache>
            </c:numRef>
          </c:val>
        </c:ser>
        <c:dLbls>
          <c:showLegendKey val="0"/>
          <c:showVal val="0"/>
          <c:showCatName val="0"/>
          <c:showSerName val="0"/>
          <c:showPercent val="0"/>
          <c:showBubbleSize val="0"/>
        </c:dLbls>
        <c:gapWidth val="20"/>
        <c:overlap val="100"/>
        <c:axId val="112010752"/>
        <c:axId val="112012288"/>
      </c:barChart>
      <c:catAx>
        <c:axId val="112010752"/>
        <c:scaling>
          <c:orientation val="minMax"/>
        </c:scaling>
        <c:delete val="0"/>
        <c:axPos val="l"/>
        <c:numFmt formatCode="General" sourceLinked="0"/>
        <c:majorTickMark val="out"/>
        <c:minorTickMark val="none"/>
        <c:tickLblPos val="nextTo"/>
        <c:crossAx val="112012288"/>
        <c:crosses val="autoZero"/>
        <c:auto val="1"/>
        <c:lblAlgn val="ctr"/>
        <c:lblOffset val="100"/>
        <c:noMultiLvlLbl val="0"/>
      </c:catAx>
      <c:valAx>
        <c:axId val="112012288"/>
        <c:scaling>
          <c:orientation val="minMax"/>
          <c:max val="1"/>
        </c:scaling>
        <c:delete val="0"/>
        <c:axPos val="b"/>
        <c:numFmt formatCode="0.0%" sourceLinked="1"/>
        <c:majorTickMark val="out"/>
        <c:minorTickMark val="none"/>
        <c:tickLblPos val="nextTo"/>
        <c:crossAx val="112010752"/>
        <c:crosses val="autoZero"/>
        <c:crossBetween val="between"/>
        <c:majorUnit val="0.25"/>
      </c:valAx>
      <c:spPr>
        <a:noFill/>
        <a:ln w="25400">
          <a:noFill/>
        </a:ln>
      </c:spPr>
    </c:plotArea>
    <c:legend>
      <c:legendPos val="r"/>
      <c:layout>
        <c:manualLayout>
          <c:xMode val="edge"/>
          <c:yMode val="edge"/>
          <c:x val="0.90750538394238944"/>
          <c:y val="0.23038852956987738"/>
          <c:w val="7.1127094690086823E-2"/>
          <c:h val="0.2604604615776722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142604983374949E-2"/>
          <c:y val="9.8346338852050241E-2"/>
          <c:w val="0.45465818316161088"/>
          <c:h val="0.90165366114794776"/>
        </c:manualLayout>
      </c:layout>
      <c:pieChart>
        <c:varyColors val="1"/>
        <c:ser>
          <c:idx val="0"/>
          <c:order val="0"/>
          <c:explosion val="4"/>
          <c:dPt>
            <c:idx val="3"/>
            <c:bubble3D val="0"/>
            <c:explosion val="3"/>
          </c:dPt>
          <c:dLbls>
            <c:dLbl>
              <c:idx val="1"/>
              <c:spPr/>
              <c:txPr>
                <a:bodyPr/>
                <a:lstStyle/>
                <a:p>
                  <a:pPr>
                    <a:defRPr>
                      <a:solidFill>
                        <a:schemeClr val="bg1"/>
                      </a:solidFill>
                    </a:defRPr>
                  </a:pPr>
                  <a:endParaRPr lang="en-US"/>
                </a:p>
              </c:txPr>
              <c:showLegendKey val="0"/>
              <c:showVal val="1"/>
              <c:showCatName val="0"/>
              <c:showSerName val="0"/>
              <c:showPercent val="0"/>
              <c:showBubbleSize val="0"/>
            </c:dLbl>
            <c:dLbl>
              <c:idx val="3"/>
              <c:layout>
                <c:manualLayout>
                  <c:x val="-1.2104939451719853E-2"/>
                  <c:y val="-1.776780492633679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779606748491438E-2"/>
                  <c:y val="1.033863843876465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'A23'!$K$16:$K$20</c:f>
              <c:strCache>
                <c:ptCount val="5"/>
                <c:pt idx="0">
                  <c:v>Relocation</c:v>
                </c:pt>
                <c:pt idx="1">
                  <c:v>Expansion on site</c:v>
                </c:pt>
                <c:pt idx="2">
                  <c:v>Upgrade of premises on site</c:v>
                </c:pt>
                <c:pt idx="3">
                  <c:v>Additional unit</c:v>
                </c:pt>
                <c:pt idx="4">
                  <c:v>Additional rental property</c:v>
                </c:pt>
              </c:strCache>
            </c:strRef>
          </c:cat>
          <c:val>
            <c:numRef>
              <c:f>'A23'!$L$16:$L$20</c:f>
              <c:numCache>
                <c:formatCode>0.0%</c:formatCode>
                <c:ptCount val="5"/>
                <c:pt idx="0">
                  <c:v>0.20833333333333343</c:v>
                </c:pt>
                <c:pt idx="1">
                  <c:v>0.31250000000000011</c:v>
                </c:pt>
                <c:pt idx="2">
                  <c:v>0.20833333333333343</c:v>
                </c:pt>
                <c:pt idx="3">
                  <c:v>0.25</c:v>
                </c:pt>
                <c:pt idx="4">
                  <c:v>2.0833333333333343E-2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647461105866388"/>
          <c:y val="2.5858486439195118E-2"/>
          <c:w val="0.33685858544395297"/>
          <c:h val="0.96217191601050989"/>
        </c:manualLayout>
      </c:layout>
      <c:overlay val="0"/>
    </c:legend>
    <c:plotVisOnly val="1"/>
    <c:dispBlanksAs val="zero"/>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'A25'!$A$8:$B$8</c:f>
              <c:strCache>
                <c:ptCount val="2"/>
                <c:pt idx="0">
                  <c:v>Yes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'A25'!$C$7:$G$7</c:f>
              <c:strCache>
                <c:ptCount val="5"/>
                <c:pt idx="0">
                  <c:v>Energy and renewable energy</c:v>
                </c:pt>
                <c:pt idx="1">
                  <c:v>Ports, freight and logistics (including other transport services, engineering &amp; marine engineers)</c:v>
                </c:pt>
                <c:pt idx="2">
                  <c:v>Food manufacturing</c:v>
                </c:pt>
                <c:pt idx="3">
                  <c:v>Chemicals / process industries</c:v>
                </c:pt>
                <c:pt idx="4">
                  <c:v>Tourism &amp; Visitor economy (including hotels, restaurants &amp; catering)</c:v>
                </c:pt>
              </c:strCache>
            </c:strRef>
          </c:cat>
          <c:val>
            <c:numRef>
              <c:f>'A25'!$C$8:$G$8</c:f>
              <c:numCache>
                <c:formatCode>0.0%</c:formatCode>
                <c:ptCount val="5"/>
                <c:pt idx="0">
                  <c:v>0.95000000000000018</c:v>
                </c:pt>
                <c:pt idx="1">
                  <c:v>0.91304347826086962</c:v>
                </c:pt>
                <c:pt idx="2">
                  <c:v>0.84210526315789491</c:v>
                </c:pt>
                <c:pt idx="3">
                  <c:v>0.90476190476190455</c:v>
                </c:pt>
                <c:pt idx="4">
                  <c:v>0.83464566929133865</c:v>
                </c:pt>
              </c:numCache>
            </c:numRef>
          </c:val>
        </c:ser>
        <c:ser>
          <c:idx val="1"/>
          <c:order val="1"/>
          <c:tx>
            <c:strRef>
              <c:f>'A25'!$A$9:$B$9</c:f>
              <c:strCache>
                <c:ptCount val="2"/>
                <c:pt idx="0">
                  <c:v>No</c:v>
                </c:pt>
              </c:strCache>
            </c:strRef>
          </c:tx>
          <c:spPr>
            <a:solidFill>
              <a:schemeClr val="bg2"/>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'A25'!$C$7:$G$7</c:f>
              <c:strCache>
                <c:ptCount val="5"/>
                <c:pt idx="0">
                  <c:v>Energy and renewable energy</c:v>
                </c:pt>
                <c:pt idx="1">
                  <c:v>Ports, freight and logistics (including other transport services, engineering &amp; marine engineers)</c:v>
                </c:pt>
                <c:pt idx="2">
                  <c:v>Food manufacturing</c:v>
                </c:pt>
                <c:pt idx="3">
                  <c:v>Chemicals / process industries</c:v>
                </c:pt>
                <c:pt idx="4">
                  <c:v>Tourism &amp; Visitor economy (including hotels, restaurants &amp; catering)</c:v>
                </c:pt>
              </c:strCache>
            </c:strRef>
          </c:cat>
          <c:val>
            <c:numRef>
              <c:f>'A25'!$C$9:$G$9</c:f>
              <c:numCache>
                <c:formatCode>0.0%</c:formatCode>
                <c:ptCount val="5"/>
                <c:pt idx="0">
                  <c:v>0.05</c:v>
                </c:pt>
                <c:pt idx="1">
                  <c:v>8.6956521739130474E-2</c:v>
                </c:pt>
                <c:pt idx="2">
                  <c:v>0.15789473684210537</c:v>
                </c:pt>
                <c:pt idx="3">
                  <c:v>9.5238095238095247E-2</c:v>
                </c:pt>
                <c:pt idx="4">
                  <c:v>0.16535433070866143</c:v>
                </c:pt>
              </c:numCache>
            </c:numRef>
          </c:val>
        </c:ser>
        <c:dLbls>
          <c:showLegendKey val="0"/>
          <c:showVal val="0"/>
          <c:showCatName val="0"/>
          <c:showSerName val="0"/>
          <c:showPercent val="0"/>
          <c:showBubbleSize val="0"/>
        </c:dLbls>
        <c:gapWidth val="20"/>
        <c:overlap val="100"/>
        <c:axId val="112712320"/>
        <c:axId val="112718208"/>
      </c:barChart>
      <c:catAx>
        <c:axId val="112712320"/>
        <c:scaling>
          <c:orientation val="minMax"/>
        </c:scaling>
        <c:delete val="0"/>
        <c:axPos val="l"/>
        <c:numFmt formatCode="General" sourceLinked="0"/>
        <c:majorTickMark val="out"/>
        <c:minorTickMark val="none"/>
        <c:tickLblPos val="nextTo"/>
        <c:crossAx val="112718208"/>
        <c:crosses val="autoZero"/>
        <c:auto val="1"/>
        <c:lblAlgn val="ctr"/>
        <c:lblOffset val="100"/>
        <c:noMultiLvlLbl val="0"/>
      </c:catAx>
      <c:valAx>
        <c:axId val="112718208"/>
        <c:scaling>
          <c:orientation val="minMax"/>
          <c:max val="1"/>
          <c:min val="0"/>
        </c:scaling>
        <c:delete val="0"/>
        <c:axPos val="b"/>
        <c:numFmt formatCode="0.0%" sourceLinked="1"/>
        <c:majorTickMark val="out"/>
        <c:minorTickMark val="none"/>
        <c:tickLblPos val="nextTo"/>
        <c:crossAx val="112712320"/>
        <c:crosses val="autoZero"/>
        <c:crossBetween val="between"/>
        <c:majorUnit val="0.25"/>
      </c:valAx>
    </c:plotArea>
    <c:legend>
      <c:legendPos val="r"/>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015616797900263E-2"/>
          <c:y val="2.3148148148148147E-3"/>
          <c:w val="0.59722222222221744"/>
          <c:h val="0.99537037037037035"/>
        </c:manualLayout>
      </c:layout>
      <c:pieChart>
        <c:varyColors val="1"/>
        <c:ser>
          <c:idx val="0"/>
          <c:order val="0"/>
          <c:explosion val="25"/>
          <c:dLbls>
            <c:dLbl>
              <c:idx val="1"/>
              <c:tx>
                <c:rich>
                  <a:bodyPr/>
                  <a:lstStyle/>
                  <a:p>
                    <a:r>
                      <a:rPr lang="en-US">
                        <a:solidFill>
                          <a:schemeClr val="bg1"/>
                        </a:solidFill>
                      </a:rPr>
                      <a:t>93%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'A26'!$A$8:$A$9</c:f>
              <c:strCache>
                <c:ptCount val="2"/>
                <c:pt idx="0">
                  <c:v>Yes</c:v>
                </c:pt>
                <c:pt idx="1">
                  <c:v>No</c:v>
                </c:pt>
              </c:strCache>
            </c:strRef>
          </c:cat>
          <c:val>
            <c:numRef>
              <c:f>'A26'!$B$8:$B$9</c:f>
              <c:numCache>
                <c:formatCode>0%</c:formatCode>
                <c:ptCount val="2"/>
                <c:pt idx="0">
                  <c:v>7.1038251366120214E-2</c:v>
                </c:pt>
                <c:pt idx="1">
                  <c:v>0.92896174863388004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0475699912510941"/>
          <c:y val="5.9892461358997874E-2"/>
          <c:w val="0.29802077865267368"/>
          <c:h val="0.24132618839311754"/>
        </c:manualLayout>
      </c:layout>
      <c:overlay val="0"/>
    </c:legend>
    <c:plotVisOnly val="1"/>
    <c:dispBlanksAs val="zero"/>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234176983760565E-2"/>
          <c:y val="6.9934938914394923E-2"/>
          <c:w val="0.87410858013148462"/>
          <c:h val="0.76240683269641185"/>
        </c:manualLayout>
      </c:layout>
      <c:lineChart>
        <c:grouping val="standard"/>
        <c:varyColors val="0"/>
        <c:ser>
          <c:idx val="0"/>
          <c:order val="0"/>
          <c:tx>
            <c:strRef>
              <c:f>'Baseline - No Overlap'!$B$49</c:f>
              <c:strCache>
                <c:ptCount val="1"/>
                <c:pt idx="0">
                  <c:v>Ports &amp; Logistics</c:v>
                </c:pt>
              </c:strCache>
            </c:strRef>
          </c:tx>
          <c:spPr>
            <a:ln w="41275"/>
          </c:spPr>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'Baseline - No Overlap'!$C$48:$G$48</c:f>
              <c:numCache>
                <c:formatCode>General</c:formatCode>
                <c:ptCount val="5"/>
                <c:pt idx="0">
                  <c:v>2009</c:v>
                </c:pt>
                <c:pt idx="1">
                  <c:v>2010</c:v>
                </c:pt>
                <c:pt idx="2">
                  <c:v>2011</c:v>
                </c:pt>
                <c:pt idx="3">
                  <c:v>2012</c:v>
                </c:pt>
                <c:pt idx="4">
                  <c:v>2013</c:v>
                </c:pt>
              </c:numCache>
            </c:numRef>
          </c:cat>
          <c:val>
            <c:numRef>
              <c:f>'Baseline - No Overlap'!$C$49:$G$49</c:f>
              <c:numCache>
                <c:formatCode>_-* #,##0_-;\-* #,##0_-;_-* "-"??_-;_-@_-</c:formatCode>
                <c:ptCount val="5"/>
                <c:pt idx="0">
                  <c:v>240</c:v>
                </c:pt>
                <c:pt idx="1">
                  <c:v>230</c:v>
                </c:pt>
                <c:pt idx="2">
                  <c:v>240</c:v>
                </c:pt>
                <c:pt idx="3">
                  <c:v>220</c:v>
                </c:pt>
                <c:pt idx="4">
                  <c:v>220</c:v>
                </c:pt>
              </c:numCache>
            </c:numRef>
          </c:val>
          <c:smooth val="0"/>
        </c:ser>
        <c:dLbls>
          <c:showLegendKey val="0"/>
          <c:showVal val="0"/>
          <c:showCatName val="0"/>
          <c:showSerName val="0"/>
          <c:showPercent val="0"/>
          <c:showBubbleSize val="0"/>
        </c:dLbls>
        <c:marker val="1"/>
        <c:smooth val="0"/>
        <c:axId val="112785280"/>
        <c:axId val="112786816"/>
      </c:lineChart>
      <c:catAx>
        <c:axId val="112785280"/>
        <c:scaling>
          <c:orientation val="minMax"/>
        </c:scaling>
        <c:delete val="0"/>
        <c:axPos val="b"/>
        <c:numFmt formatCode="General" sourceLinked="1"/>
        <c:majorTickMark val="out"/>
        <c:minorTickMark val="none"/>
        <c:tickLblPos val="nextTo"/>
        <c:crossAx val="112786816"/>
        <c:crosses val="autoZero"/>
        <c:auto val="1"/>
        <c:lblAlgn val="ctr"/>
        <c:lblOffset val="100"/>
        <c:noMultiLvlLbl val="0"/>
      </c:catAx>
      <c:valAx>
        <c:axId val="112786816"/>
        <c:scaling>
          <c:orientation val="minMax"/>
        </c:scaling>
        <c:delete val="0"/>
        <c:axPos val="l"/>
        <c:title>
          <c:tx>
            <c:rich>
              <a:bodyPr rot="-5400000" vert="horz"/>
              <a:lstStyle/>
              <a:p>
                <a:pPr>
                  <a:defRPr/>
                </a:pPr>
                <a:r>
                  <a:rPr lang="en-GB"/>
                  <a:t>Firms</a:t>
                </a:r>
              </a:p>
            </c:rich>
          </c:tx>
          <c:overlay val="0"/>
        </c:title>
        <c:numFmt formatCode="_-* #,##0_-;\-* #,##0_-;_-* &quot;-&quot;??_-;_-@_-" sourceLinked="1"/>
        <c:majorTickMark val="out"/>
        <c:minorTickMark val="none"/>
        <c:tickLblPos val="nextTo"/>
        <c:crossAx val="112785280"/>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054971701308545E-2"/>
          <c:y val="6.1168165945068811E-2"/>
          <c:w val="0.90002646072591741"/>
          <c:h val="0.86266220995879805"/>
        </c:manualLayout>
      </c:layout>
      <c:lineChart>
        <c:grouping val="standard"/>
        <c:varyColors val="0"/>
        <c:ser>
          <c:idx val="0"/>
          <c:order val="0"/>
          <c:tx>
            <c:strRef>
              <c:f>'Baseline - No Overlap'!$B$40</c:f>
              <c:strCache>
                <c:ptCount val="1"/>
                <c:pt idx="0">
                  <c:v>Ports &amp; Logistics</c:v>
                </c:pt>
              </c:strCache>
            </c:strRef>
          </c:tx>
          <c:spPr>
            <a:ln w="41275"/>
          </c:spPr>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'Baseline - No Overlap'!$C$39:$G$39</c:f>
              <c:numCache>
                <c:formatCode>General</c:formatCode>
                <c:ptCount val="5"/>
                <c:pt idx="0">
                  <c:v>2009</c:v>
                </c:pt>
                <c:pt idx="1">
                  <c:v>2010</c:v>
                </c:pt>
                <c:pt idx="2">
                  <c:v>2011</c:v>
                </c:pt>
                <c:pt idx="3">
                  <c:v>2012</c:v>
                </c:pt>
                <c:pt idx="4">
                  <c:v>2013</c:v>
                </c:pt>
              </c:numCache>
            </c:numRef>
          </c:cat>
          <c:val>
            <c:numRef>
              <c:f>'Baseline - No Overlap'!$C$40:$G$40</c:f>
              <c:numCache>
                <c:formatCode>_-* #,##0_-;\-* #,##0_-;_-* "-"??_-;_-@_-</c:formatCode>
                <c:ptCount val="5"/>
                <c:pt idx="0">
                  <c:v>4620</c:v>
                </c:pt>
                <c:pt idx="1">
                  <c:v>4600</c:v>
                </c:pt>
                <c:pt idx="2">
                  <c:v>4740</c:v>
                </c:pt>
                <c:pt idx="3">
                  <c:v>4540</c:v>
                </c:pt>
                <c:pt idx="4">
                  <c:v>4820</c:v>
                </c:pt>
              </c:numCache>
            </c:numRef>
          </c:val>
          <c:smooth val="0"/>
        </c:ser>
        <c:dLbls>
          <c:showLegendKey val="0"/>
          <c:showVal val="0"/>
          <c:showCatName val="0"/>
          <c:showSerName val="0"/>
          <c:showPercent val="0"/>
          <c:showBubbleSize val="0"/>
        </c:dLbls>
        <c:marker val="1"/>
        <c:smooth val="0"/>
        <c:axId val="112799104"/>
        <c:axId val="112809088"/>
      </c:lineChart>
      <c:catAx>
        <c:axId val="112799104"/>
        <c:scaling>
          <c:orientation val="minMax"/>
        </c:scaling>
        <c:delete val="0"/>
        <c:axPos val="b"/>
        <c:numFmt formatCode="General" sourceLinked="1"/>
        <c:majorTickMark val="out"/>
        <c:minorTickMark val="none"/>
        <c:tickLblPos val="nextTo"/>
        <c:crossAx val="112809088"/>
        <c:crosses val="autoZero"/>
        <c:auto val="1"/>
        <c:lblAlgn val="ctr"/>
        <c:lblOffset val="100"/>
        <c:noMultiLvlLbl val="0"/>
      </c:catAx>
      <c:valAx>
        <c:axId val="112809088"/>
        <c:scaling>
          <c:orientation val="minMax"/>
        </c:scaling>
        <c:delete val="0"/>
        <c:axPos val="l"/>
        <c:title>
          <c:tx>
            <c:rich>
              <a:bodyPr rot="-5400000" vert="horz"/>
              <a:lstStyle/>
              <a:p>
                <a:pPr>
                  <a:defRPr/>
                </a:pPr>
                <a:r>
                  <a:rPr lang="en-GB"/>
                  <a:t>Employees</a:t>
                </a:r>
              </a:p>
            </c:rich>
          </c:tx>
          <c:overlay val="0"/>
        </c:title>
        <c:numFmt formatCode="#,##0" sourceLinked="0"/>
        <c:majorTickMark val="out"/>
        <c:minorTickMark val="none"/>
        <c:tickLblPos val="nextTo"/>
        <c:crossAx val="112799104"/>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74861578698411E-2"/>
          <c:y val="6.9934938914394923E-2"/>
          <c:w val="0.88844495144820701"/>
          <c:h val="0.76240683269641185"/>
        </c:manualLayout>
      </c:layout>
      <c:lineChart>
        <c:grouping val="standard"/>
        <c:varyColors val="0"/>
        <c:ser>
          <c:idx val="4"/>
          <c:order val="0"/>
          <c:tx>
            <c:strRef>
              <c:f>'Baseline - No Overlap'!$B$53</c:f>
              <c:strCache>
                <c:ptCount val="1"/>
                <c:pt idx="0">
                  <c:v>Food Processing  </c:v>
                </c:pt>
              </c:strCache>
            </c:strRef>
          </c:tx>
          <c:spPr>
            <a:ln w="41275"/>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'Baseline - No Overlap'!$C$48:$G$48</c:f>
              <c:numCache>
                <c:formatCode>General</c:formatCode>
                <c:ptCount val="5"/>
                <c:pt idx="0">
                  <c:v>2009</c:v>
                </c:pt>
                <c:pt idx="1">
                  <c:v>2010</c:v>
                </c:pt>
                <c:pt idx="2">
                  <c:v>2011</c:v>
                </c:pt>
                <c:pt idx="3">
                  <c:v>2012</c:v>
                </c:pt>
                <c:pt idx="4">
                  <c:v>2013</c:v>
                </c:pt>
              </c:numCache>
            </c:numRef>
          </c:cat>
          <c:val>
            <c:numRef>
              <c:f>'Baseline - No Overlap'!$C$53:$G$53</c:f>
              <c:numCache>
                <c:formatCode>_-* #,##0_-;\-* #,##0_-;_-* "-"??_-;_-@_-</c:formatCode>
                <c:ptCount val="5"/>
                <c:pt idx="0">
                  <c:v>80</c:v>
                </c:pt>
                <c:pt idx="1">
                  <c:v>70</c:v>
                </c:pt>
                <c:pt idx="2">
                  <c:v>70</c:v>
                </c:pt>
                <c:pt idx="3">
                  <c:v>60</c:v>
                </c:pt>
                <c:pt idx="4">
                  <c:v>90</c:v>
                </c:pt>
              </c:numCache>
            </c:numRef>
          </c:val>
          <c:smooth val="0"/>
        </c:ser>
        <c:dLbls>
          <c:showLegendKey val="0"/>
          <c:showVal val="0"/>
          <c:showCatName val="0"/>
          <c:showSerName val="0"/>
          <c:showPercent val="0"/>
          <c:showBubbleSize val="0"/>
        </c:dLbls>
        <c:marker val="1"/>
        <c:smooth val="0"/>
        <c:axId val="112846720"/>
        <c:axId val="112848256"/>
      </c:lineChart>
      <c:catAx>
        <c:axId val="112846720"/>
        <c:scaling>
          <c:orientation val="minMax"/>
        </c:scaling>
        <c:delete val="0"/>
        <c:axPos val="b"/>
        <c:numFmt formatCode="General" sourceLinked="1"/>
        <c:majorTickMark val="out"/>
        <c:minorTickMark val="none"/>
        <c:tickLblPos val="nextTo"/>
        <c:crossAx val="112848256"/>
        <c:crosses val="autoZero"/>
        <c:auto val="1"/>
        <c:lblAlgn val="ctr"/>
        <c:lblOffset val="100"/>
        <c:noMultiLvlLbl val="0"/>
      </c:catAx>
      <c:valAx>
        <c:axId val="112848256"/>
        <c:scaling>
          <c:orientation val="minMax"/>
        </c:scaling>
        <c:delete val="0"/>
        <c:axPos val="l"/>
        <c:title>
          <c:tx>
            <c:rich>
              <a:bodyPr rot="-5400000" vert="horz"/>
              <a:lstStyle/>
              <a:p>
                <a:pPr>
                  <a:defRPr/>
                </a:pPr>
                <a:r>
                  <a:rPr lang="en-GB"/>
                  <a:t>Firms</a:t>
                </a:r>
              </a:p>
            </c:rich>
          </c:tx>
          <c:overlay val="0"/>
        </c:title>
        <c:numFmt formatCode="_-* #,##0_-;\-* #,##0_-;_-* &quot;-&quot;??_-;_-@_-" sourceLinked="1"/>
        <c:majorTickMark val="out"/>
        <c:minorTickMark val="none"/>
        <c:tickLblPos val="nextTo"/>
        <c:crossAx val="112846720"/>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995482584812333E-2"/>
          <c:y val="2.698013175703461E-2"/>
          <c:w val="0.86635902824261801"/>
          <c:h val="0.87785689182014703"/>
        </c:manualLayout>
      </c:layout>
      <c:lineChart>
        <c:grouping val="standard"/>
        <c:varyColors val="0"/>
        <c:ser>
          <c:idx val="4"/>
          <c:order val="0"/>
          <c:tx>
            <c:strRef>
              <c:f>'Baseline - No Overlap'!$B$44</c:f>
              <c:strCache>
                <c:ptCount val="1"/>
                <c:pt idx="0">
                  <c:v>Food Processing  </c:v>
                </c:pt>
              </c:strCache>
            </c:strRef>
          </c:tx>
          <c:spPr>
            <a:ln w="41275"/>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'Baseline - No Overlap'!$C$39:$G$39</c:f>
              <c:numCache>
                <c:formatCode>General</c:formatCode>
                <c:ptCount val="5"/>
                <c:pt idx="0">
                  <c:v>2009</c:v>
                </c:pt>
                <c:pt idx="1">
                  <c:v>2010</c:v>
                </c:pt>
                <c:pt idx="2">
                  <c:v>2011</c:v>
                </c:pt>
                <c:pt idx="3">
                  <c:v>2012</c:v>
                </c:pt>
                <c:pt idx="4">
                  <c:v>2013</c:v>
                </c:pt>
              </c:numCache>
            </c:numRef>
          </c:cat>
          <c:val>
            <c:numRef>
              <c:f>'Baseline - No Overlap'!$C$44:$G$44</c:f>
              <c:numCache>
                <c:formatCode>_-* #,##0_-;\-* #,##0_-;_-* "-"??_-;_-@_-</c:formatCode>
                <c:ptCount val="5"/>
                <c:pt idx="0">
                  <c:v>5830</c:v>
                </c:pt>
                <c:pt idx="1">
                  <c:v>4380</c:v>
                </c:pt>
                <c:pt idx="2">
                  <c:v>4100</c:v>
                </c:pt>
                <c:pt idx="3">
                  <c:v>4150</c:v>
                </c:pt>
                <c:pt idx="4">
                  <c:v>4100</c:v>
                </c:pt>
              </c:numCache>
            </c:numRef>
          </c:val>
          <c:smooth val="0"/>
        </c:ser>
        <c:dLbls>
          <c:showLegendKey val="0"/>
          <c:showVal val="0"/>
          <c:showCatName val="0"/>
          <c:showSerName val="0"/>
          <c:showPercent val="0"/>
          <c:showBubbleSize val="0"/>
        </c:dLbls>
        <c:marker val="1"/>
        <c:smooth val="0"/>
        <c:axId val="129125760"/>
        <c:axId val="129127552"/>
      </c:lineChart>
      <c:catAx>
        <c:axId val="129125760"/>
        <c:scaling>
          <c:orientation val="minMax"/>
        </c:scaling>
        <c:delete val="0"/>
        <c:axPos val="b"/>
        <c:numFmt formatCode="General" sourceLinked="1"/>
        <c:majorTickMark val="out"/>
        <c:minorTickMark val="none"/>
        <c:tickLblPos val="nextTo"/>
        <c:crossAx val="129127552"/>
        <c:crosses val="autoZero"/>
        <c:auto val="1"/>
        <c:lblAlgn val="ctr"/>
        <c:lblOffset val="100"/>
        <c:noMultiLvlLbl val="0"/>
      </c:catAx>
      <c:valAx>
        <c:axId val="129127552"/>
        <c:scaling>
          <c:orientation val="minMax"/>
        </c:scaling>
        <c:delete val="0"/>
        <c:axPos val="l"/>
        <c:title>
          <c:tx>
            <c:rich>
              <a:bodyPr rot="-5400000" vert="horz"/>
              <a:lstStyle/>
              <a:p>
                <a:pPr>
                  <a:defRPr/>
                </a:pPr>
                <a:r>
                  <a:rPr lang="en-GB"/>
                  <a:t>Employees</a:t>
                </a:r>
              </a:p>
            </c:rich>
          </c:tx>
          <c:overlay val="0"/>
        </c:title>
        <c:numFmt formatCode="#,##0" sourceLinked="0"/>
        <c:majorTickMark val="out"/>
        <c:minorTickMark val="none"/>
        <c:tickLblPos val="nextTo"/>
        <c:crossAx val="129125760"/>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040938151961774"/>
          <c:y val="4.5963650114011351E-2"/>
          <c:w val="0.76404721044485302"/>
          <c:h val="0.85032426732210165"/>
        </c:manualLayout>
      </c:layout>
      <c:lineChart>
        <c:grouping val="standard"/>
        <c:varyColors val="0"/>
        <c:ser>
          <c:idx val="0"/>
          <c:order val="0"/>
          <c:tx>
            <c:strRef>
              <c:f>Sheet1!$A$43</c:f>
              <c:strCache>
                <c:ptCount val="1"/>
                <c:pt idx="0">
                  <c:v>N E Lincs.</c:v>
                </c:pt>
              </c:strCache>
            </c:strRef>
          </c:tx>
          <c:marker>
            <c:symbol val="none"/>
          </c:marker>
          <c:cat>
            <c:numRef>
              <c:f>Sheet1!$B$42:$J$42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Sheet1!$B$43:$J$43</c:f>
              <c:numCache>
                <c:formatCode>General</c:formatCode>
                <c:ptCount val="9"/>
                <c:pt idx="0">
                  <c:v>0.13090551181102394</c:v>
                </c:pt>
                <c:pt idx="1">
                  <c:v>0.11365902293120658</c:v>
                </c:pt>
                <c:pt idx="2">
                  <c:v>0.11379657603222591</c:v>
                </c:pt>
                <c:pt idx="3">
                  <c:v>0.14313725490196091</c:v>
                </c:pt>
                <c:pt idx="4">
                  <c:v>0.20255474452554745</c:v>
                </c:pt>
                <c:pt idx="5">
                  <c:v>0.17264150943396225</c:v>
                </c:pt>
                <c:pt idx="6">
                  <c:v>0.15004935834155991</c:v>
                </c:pt>
                <c:pt idx="7">
                  <c:v>0.14891416752843931</c:v>
                </c:pt>
                <c:pt idx="8">
                  <c:v>0.1550468262226847</c:v>
                </c:pt>
              </c:numCache>
            </c:numRef>
          </c:val>
          <c:smooth val="0"/>
        </c:ser>
        <c:ser>
          <c:idx val="1"/>
          <c:order val="1"/>
          <c:tx>
            <c:strRef>
              <c:f>Sheet1!$A$44</c:f>
              <c:strCache>
                <c:ptCount val="1"/>
                <c:pt idx="0">
                  <c:v>Hull</c:v>
                </c:pt>
              </c:strCache>
            </c:strRef>
          </c:tx>
          <c:marker>
            <c:symbol val="none"/>
          </c:marker>
          <c:cat>
            <c:numRef>
              <c:f>Sheet1!$B$42:$J$42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Sheet1!$B$44:$J$44</c:f>
              <c:numCache>
                <c:formatCode>General</c:formatCode>
                <c:ptCount val="9"/>
                <c:pt idx="0">
                  <c:v>0.14093959731543679</c:v>
                </c:pt>
                <c:pt idx="1">
                  <c:v>0.13591433278418527</c:v>
                </c:pt>
                <c:pt idx="2">
                  <c:v>0.11591836734693851</c:v>
                </c:pt>
                <c:pt idx="3">
                  <c:v>0.12589073634204276</c:v>
                </c:pt>
                <c:pt idx="4">
                  <c:v>0.12087912087912089</c:v>
                </c:pt>
                <c:pt idx="5">
                  <c:v>0.10836653386454199</c:v>
                </c:pt>
                <c:pt idx="6">
                  <c:v>0.10048622366288502</c:v>
                </c:pt>
                <c:pt idx="7">
                  <c:v>0.11525704809286864</c:v>
                </c:pt>
                <c:pt idx="8">
                  <c:v>0.11452282157676349</c:v>
                </c:pt>
              </c:numCache>
            </c:numRef>
          </c:val>
          <c:smooth val="0"/>
        </c:ser>
        <c:ser>
          <c:idx val="2"/>
          <c:order val="2"/>
          <c:tx>
            <c:strRef>
              <c:f>Sheet1!$A$45</c:f>
              <c:strCache>
                <c:ptCount val="1"/>
                <c:pt idx="0">
                  <c:v>North Lincs.</c:v>
                </c:pt>
              </c:strCache>
            </c:strRef>
          </c:tx>
          <c:marker>
            <c:symbol val="none"/>
          </c:marker>
          <c:cat>
            <c:numRef>
              <c:f>Sheet1!$B$42:$J$42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Sheet1!$B$45:$J$45</c:f>
              <c:numCache>
                <c:formatCode>General</c:formatCode>
                <c:ptCount val="9"/>
                <c:pt idx="0">
                  <c:v>0.13658536585365855</c:v>
                </c:pt>
                <c:pt idx="1">
                  <c:v>0.11904761904761912</c:v>
                </c:pt>
                <c:pt idx="2">
                  <c:v>0.10511363636363667</c:v>
                </c:pt>
                <c:pt idx="3">
                  <c:v>0.11933395004625379</c:v>
                </c:pt>
                <c:pt idx="4">
                  <c:v>0.10280373831775701</c:v>
                </c:pt>
                <c:pt idx="5">
                  <c:v>8.4761904761904761E-2</c:v>
                </c:pt>
                <c:pt idx="6">
                  <c:v>8.5937500000000028E-2</c:v>
                </c:pt>
                <c:pt idx="7">
                  <c:v>9.2292089249492948E-2</c:v>
                </c:pt>
                <c:pt idx="8">
                  <c:v>0.10141987829614595</c:v>
                </c:pt>
              </c:numCache>
            </c:numRef>
          </c:val>
          <c:smooth val="0"/>
        </c:ser>
        <c:ser>
          <c:idx val="3"/>
          <c:order val="3"/>
          <c:tx>
            <c:strRef>
              <c:f>Sheet1!$A$46</c:f>
              <c:strCache>
                <c:ptCount val="1"/>
                <c:pt idx="0">
                  <c:v>York &amp; Humber</c:v>
                </c:pt>
              </c:strCache>
            </c:strRef>
          </c:tx>
          <c:marker>
            <c:symbol val="none"/>
          </c:marker>
          <c:cat>
            <c:numRef>
              <c:f>Sheet1!$B$42:$J$42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Sheet1!$B$46:$J$46</c:f>
              <c:numCache>
                <c:formatCode>General</c:formatCode>
                <c:ptCount val="9"/>
                <c:pt idx="0">
                  <c:v>0.13044032371120931</c:v>
                </c:pt>
                <c:pt idx="1">
                  <c:v>0.12487468671679212</c:v>
                </c:pt>
                <c:pt idx="2">
                  <c:v>0.11542409256321765</c:v>
                </c:pt>
                <c:pt idx="3">
                  <c:v>0.12309410947737123</c:v>
                </c:pt>
                <c:pt idx="4">
                  <c:v>0.11171262786385119</c:v>
                </c:pt>
                <c:pt idx="5">
                  <c:v>0.10193316349468012</c:v>
                </c:pt>
                <c:pt idx="6">
                  <c:v>9.9440906508804994E-2</c:v>
                </c:pt>
                <c:pt idx="7">
                  <c:v>0.10469566273842822</c:v>
                </c:pt>
                <c:pt idx="8">
                  <c:v>0.10847805113362277</c:v>
                </c:pt>
              </c:numCache>
            </c:numRef>
          </c:val>
          <c:smooth val="0"/>
        </c:ser>
        <c:ser>
          <c:idx val="4"/>
          <c:order val="4"/>
          <c:tx>
            <c:strRef>
              <c:f>Sheet1!$A$47</c:f>
              <c:strCache>
                <c:ptCount val="1"/>
                <c:pt idx="0">
                  <c:v>England</c:v>
                </c:pt>
              </c:strCache>
            </c:strRef>
          </c:tx>
          <c:marker>
            <c:symbol val="none"/>
          </c:marker>
          <c:cat>
            <c:numRef>
              <c:f>Sheet1!$B$42:$J$42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Sheet1!$B$47:$J$47</c:f>
              <c:numCache>
                <c:formatCode>General</c:formatCode>
                <c:ptCount val="9"/>
                <c:pt idx="0">
                  <c:v>0.13178518669789202</c:v>
                </c:pt>
                <c:pt idx="1">
                  <c:v>0.12675834475371359</c:v>
                </c:pt>
                <c:pt idx="2">
                  <c:v>0.11697674962392557</c:v>
                </c:pt>
                <c:pt idx="3">
                  <c:v>0.12412016562772002</c:v>
                </c:pt>
                <c:pt idx="4">
                  <c:v>0.11671415661311947</c:v>
                </c:pt>
                <c:pt idx="5">
                  <c:v>0.10246060338700592</c:v>
                </c:pt>
                <c:pt idx="6">
                  <c:v>0.10141180954987247</c:v>
                </c:pt>
                <c:pt idx="7">
                  <c:v>0.11389626551950539</c:v>
                </c:pt>
                <c:pt idx="8">
                  <c:v>0.11590755409582661</c:v>
                </c:pt>
              </c:numCache>
            </c:numRef>
          </c:val>
          <c:smooth val="0"/>
        </c:ser>
        <c:dLbls>
          <c:showLegendKey val="0"/>
          <c:showVal val="0"/>
          <c:showCatName val="0"/>
          <c:showSerName val="0"/>
          <c:showPercent val="0"/>
          <c:showBubbleSize val="0"/>
        </c:dLbls>
        <c:marker val="1"/>
        <c:smooth val="0"/>
        <c:axId val="129477632"/>
        <c:axId val="130913408"/>
      </c:lineChart>
      <c:catAx>
        <c:axId val="129477632"/>
        <c:scaling>
          <c:orientation val="minMax"/>
        </c:scaling>
        <c:delete val="0"/>
        <c:axPos val="b"/>
        <c:numFmt formatCode="General" sourceLinked="1"/>
        <c:majorTickMark val="out"/>
        <c:minorTickMark val="none"/>
        <c:tickLblPos val="nextTo"/>
        <c:txPr>
          <a:bodyPr rot="0" vert="horz"/>
          <a:lstStyle/>
          <a:p>
            <a:pPr>
              <a:defRPr/>
            </a:pPr>
            <a:endParaRPr lang="en-US"/>
          </a:p>
        </c:txPr>
        <c:crossAx val="130913408"/>
        <c:crosses val="autoZero"/>
        <c:auto val="1"/>
        <c:lblAlgn val="ctr"/>
        <c:lblOffset val="100"/>
        <c:noMultiLvlLbl val="0"/>
      </c:catAx>
      <c:valAx>
        <c:axId val="130913408"/>
        <c:scaling>
          <c:orientation val="minMax"/>
        </c:scaling>
        <c:delete val="0"/>
        <c:axPos val="l"/>
        <c:majorGridlines>
          <c:spPr>
            <a:ln>
              <a:noFill/>
            </a:ln>
          </c:spPr>
        </c:majorGridlines>
        <c:title>
          <c:tx>
            <c:rich>
              <a:bodyPr/>
              <a:lstStyle/>
              <a:p>
                <a:pPr>
                  <a:defRPr/>
                </a:pPr>
                <a:r>
                  <a:rPr lang="en-GB"/>
                  <a:t>Business birth rate</a:t>
                </a:r>
              </a:p>
            </c:rich>
          </c:tx>
          <c:layout>
            <c:manualLayout>
              <c:xMode val="edge"/>
              <c:yMode val="edge"/>
              <c:x val="6.4102564102564282E-3"/>
              <c:y val="0.29826302244200426"/>
            </c:manualLayout>
          </c:layout>
          <c:overlay val="0"/>
        </c:title>
        <c:numFmt formatCode="General" sourceLinked="1"/>
        <c:majorTickMark val="out"/>
        <c:minorTickMark val="none"/>
        <c:tickLblPos val="nextTo"/>
        <c:txPr>
          <a:bodyPr rot="0" vert="horz"/>
          <a:lstStyle/>
          <a:p>
            <a:pPr>
              <a:defRPr/>
            </a:pPr>
            <a:endParaRPr lang="en-US"/>
          </a:p>
        </c:txPr>
        <c:crossAx val="129477632"/>
        <c:crosses val="autoZero"/>
        <c:crossBetween val="between"/>
      </c:valAx>
    </c:plotArea>
    <c:legend>
      <c:legendPos val="r"/>
      <c:layout>
        <c:manualLayout>
          <c:xMode val="edge"/>
          <c:yMode val="edge"/>
          <c:x val="0.83745591897166649"/>
          <c:y val="0.20145875472872871"/>
          <c:w val="0.16149774547412427"/>
          <c:h val="0.5626121977973586"/>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74861578698411E-2"/>
          <c:y val="6.9934938914394923E-2"/>
          <c:w val="0.90579868249628837"/>
          <c:h val="0.84297216815728448"/>
        </c:manualLayout>
      </c:layout>
      <c:lineChart>
        <c:grouping val="standard"/>
        <c:varyColors val="0"/>
        <c:ser>
          <c:idx val="2"/>
          <c:order val="0"/>
          <c:tx>
            <c:strRef>
              <c:f>'Baseline - No Overlap'!$B$51</c:f>
              <c:strCache>
                <c:ptCount val="1"/>
                <c:pt idx="0">
                  <c:v>Chemicals &amp; Process Industries  </c:v>
                </c:pt>
              </c:strCache>
            </c:strRef>
          </c:tx>
          <c:spPr>
            <a:ln w="41275"/>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'Baseline - No Overlap'!$C$48:$G$48</c:f>
              <c:numCache>
                <c:formatCode>General</c:formatCode>
                <c:ptCount val="5"/>
                <c:pt idx="0">
                  <c:v>2009</c:v>
                </c:pt>
                <c:pt idx="1">
                  <c:v>2010</c:v>
                </c:pt>
                <c:pt idx="2">
                  <c:v>2011</c:v>
                </c:pt>
                <c:pt idx="3">
                  <c:v>2012</c:v>
                </c:pt>
                <c:pt idx="4">
                  <c:v>2013</c:v>
                </c:pt>
              </c:numCache>
            </c:numRef>
          </c:cat>
          <c:val>
            <c:numRef>
              <c:f>'Baseline - No Overlap'!$C$51:$G$51</c:f>
              <c:numCache>
                <c:formatCode>_-* #,##0_-;\-* #,##0_-;_-* "-"??_-;_-@_-</c:formatCode>
                <c:ptCount val="5"/>
                <c:pt idx="0">
                  <c:v>30</c:v>
                </c:pt>
                <c:pt idx="1">
                  <c:v>30</c:v>
                </c:pt>
                <c:pt idx="2">
                  <c:v>30</c:v>
                </c:pt>
                <c:pt idx="3">
                  <c:v>40</c:v>
                </c:pt>
                <c:pt idx="4">
                  <c:v>40</c:v>
                </c:pt>
              </c:numCache>
            </c:numRef>
          </c:val>
          <c:smooth val="0"/>
        </c:ser>
        <c:dLbls>
          <c:showLegendKey val="0"/>
          <c:showVal val="0"/>
          <c:showCatName val="0"/>
          <c:showSerName val="0"/>
          <c:showPercent val="0"/>
          <c:showBubbleSize val="0"/>
        </c:dLbls>
        <c:marker val="1"/>
        <c:smooth val="0"/>
        <c:axId val="130172416"/>
        <c:axId val="130173952"/>
      </c:lineChart>
      <c:catAx>
        <c:axId val="130172416"/>
        <c:scaling>
          <c:orientation val="minMax"/>
        </c:scaling>
        <c:delete val="0"/>
        <c:axPos val="b"/>
        <c:numFmt formatCode="General" sourceLinked="1"/>
        <c:majorTickMark val="out"/>
        <c:minorTickMark val="none"/>
        <c:tickLblPos val="nextTo"/>
        <c:crossAx val="130173952"/>
        <c:crosses val="autoZero"/>
        <c:auto val="1"/>
        <c:lblAlgn val="ctr"/>
        <c:lblOffset val="100"/>
        <c:noMultiLvlLbl val="0"/>
      </c:catAx>
      <c:valAx>
        <c:axId val="130173952"/>
        <c:scaling>
          <c:orientation val="minMax"/>
        </c:scaling>
        <c:delete val="0"/>
        <c:axPos val="l"/>
        <c:title>
          <c:tx>
            <c:rich>
              <a:bodyPr rot="-5400000" vert="horz"/>
              <a:lstStyle/>
              <a:p>
                <a:pPr>
                  <a:defRPr/>
                </a:pPr>
                <a:r>
                  <a:rPr lang="en-GB"/>
                  <a:t>Firms</a:t>
                </a:r>
              </a:p>
            </c:rich>
          </c:tx>
          <c:overlay val="0"/>
        </c:title>
        <c:numFmt formatCode="_-* #,##0_-;\-* #,##0_-;_-* &quot;-&quot;??_-;_-@_-" sourceLinked="1"/>
        <c:majorTickMark val="out"/>
        <c:minorTickMark val="none"/>
        <c:tickLblPos val="nextTo"/>
        <c:crossAx val="130172416"/>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91165984362602"/>
          <c:y val="5.3570773950642914E-2"/>
          <c:w val="0.87276589385774461"/>
          <c:h val="0.85126619856278596"/>
        </c:manualLayout>
      </c:layout>
      <c:lineChart>
        <c:grouping val="standard"/>
        <c:varyColors val="0"/>
        <c:ser>
          <c:idx val="2"/>
          <c:order val="0"/>
          <c:tx>
            <c:strRef>
              <c:f>'Baseline - No Overlap'!$B$42</c:f>
              <c:strCache>
                <c:ptCount val="1"/>
                <c:pt idx="0">
                  <c:v>Chemicals &amp; Process Industries  </c:v>
                </c:pt>
              </c:strCache>
            </c:strRef>
          </c:tx>
          <c:spPr>
            <a:ln w="41275"/>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'Baseline - No Overlap'!$C$39:$G$39</c:f>
              <c:numCache>
                <c:formatCode>General</c:formatCode>
                <c:ptCount val="5"/>
                <c:pt idx="0">
                  <c:v>2009</c:v>
                </c:pt>
                <c:pt idx="1">
                  <c:v>2010</c:v>
                </c:pt>
                <c:pt idx="2">
                  <c:v>2011</c:v>
                </c:pt>
                <c:pt idx="3">
                  <c:v>2012</c:v>
                </c:pt>
                <c:pt idx="4">
                  <c:v>2013</c:v>
                </c:pt>
              </c:numCache>
            </c:numRef>
          </c:cat>
          <c:val>
            <c:numRef>
              <c:f>'Baseline - No Overlap'!$C$42:$G$42</c:f>
              <c:numCache>
                <c:formatCode>_-* #,##0_-;\-* #,##0_-;_-* "-"??_-;_-@_-</c:formatCode>
                <c:ptCount val="5"/>
                <c:pt idx="0">
                  <c:v>2210</c:v>
                </c:pt>
                <c:pt idx="1">
                  <c:v>2080</c:v>
                </c:pt>
                <c:pt idx="2">
                  <c:v>2100</c:v>
                </c:pt>
                <c:pt idx="3">
                  <c:v>2240</c:v>
                </c:pt>
                <c:pt idx="4">
                  <c:v>2230</c:v>
                </c:pt>
              </c:numCache>
            </c:numRef>
          </c:val>
          <c:smooth val="0"/>
        </c:ser>
        <c:dLbls>
          <c:showLegendKey val="0"/>
          <c:showVal val="0"/>
          <c:showCatName val="0"/>
          <c:showSerName val="0"/>
          <c:showPercent val="0"/>
          <c:showBubbleSize val="0"/>
        </c:dLbls>
        <c:marker val="1"/>
        <c:smooth val="0"/>
        <c:axId val="130747392"/>
        <c:axId val="130753280"/>
      </c:lineChart>
      <c:catAx>
        <c:axId val="130747392"/>
        <c:scaling>
          <c:orientation val="minMax"/>
        </c:scaling>
        <c:delete val="0"/>
        <c:axPos val="b"/>
        <c:numFmt formatCode="General" sourceLinked="1"/>
        <c:majorTickMark val="out"/>
        <c:minorTickMark val="none"/>
        <c:tickLblPos val="nextTo"/>
        <c:crossAx val="130753280"/>
        <c:crosses val="autoZero"/>
        <c:auto val="1"/>
        <c:lblAlgn val="ctr"/>
        <c:lblOffset val="100"/>
        <c:noMultiLvlLbl val="0"/>
      </c:catAx>
      <c:valAx>
        <c:axId val="130753280"/>
        <c:scaling>
          <c:orientation val="minMax"/>
        </c:scaling>
        <c:delete val="0"/>
        <c:axPos val="l"/>
        <c:title>
          <c:tx>
            <c:rich>
              <a:bodyPr rot="-5400000" vert="horz"/>
              <a:lstStyle/>
              <a:p>
                <a:pPr>
                  <a:defRPr/>
                </a:pPr>
                <a:r>
                  <a:rPr lang="en-GB"/>
                  <a:t>Employees</a:t>
                </a:r>
              </a:p>
            </c:rich>
          </c:tx>
          <c:overlay val="0"/>
        </c:title>
        <c:numFmt formatCode="#,##0" sourceLinked="0"/>
        <c:majorTickMark val="out"/>
        <c:minorTickMark val="none"/>
        <c:tickLblPos val="nextTo"/>
        <c:crossAx val="13074739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000745082212992E-2"/>
          <c:y val="6.1275635354501312E-2"/>
          <c:w val="0.89843810507292687"/>
          <c:h val="0.84034221951755905"/>
        </c:manualLayout>
      </c:layout>
      <c:lineChart>
        <c:grouping val="standard"/>
        <c:varyColors val="0"/>
        <c:ser>
          <c:idx val="1"/>
          <c:order val="0"/>
          <c:tx>
            <c:strRef>
              <c:f>'Baseline - No Overlap'!$B$50</c:f>
              <c:strCache>
                <c:ptCount val="1"/>
                <c:pt idx="0">
                  <c:v>Renewables (&amp; Energy)</c:v>
                </c:pt>
              </c:strCache>
            </c:strRef>
          </c:tx>
          <c:spPr>
            <a:ln w="41275"/>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'Baseline - No Overlap'!$C$48:$G$48</c:f>
              <c:numCache>
                <c:formatCode>General</c:formatCode>
                <c:ptCount val="5"/>
                <c:pt idx="0">
                  <c:v>2009</c:v>
                </c:pt>
                <c:pt idx="1">
                  <c:v>2010</c:v>
                </c:pt>
                <c:pt idx="2">
                  <c:v>2011</c:v>
                </c:pt>
                <c:pt idx="3">
                  <c:v>2012</c:v>
                </c:pt>
                <c:pt idx="4">
                  <c:v>2013</c:v>
                </c:pt>
              </c:numCache>
            </c:numRef>
          </c:cat>
          <c:val>
            <c:numRef>
              <c:f>'Baseline - No Overlap'!$C$50:$G$50</c:f>
              <c:numCache>
                <c:formatCode>_-* #,##0_-;\-* #,##0_-;_-* "-"??_-;_-@_-</c:formatCode>
                <c:ptCount val="5"/>
                <c:pt idx="0">
                  <c:v>410</c:v>
                </c:pt>
                <c:pt idx="1">
                  <c:v>410</c:v>
                </c:pt>
                <c:pt idx="2">
                  <c:v>380</c:v>
                </c:pt>
                <c:pt idx="3">
                  <c:v>410</c:v>
                </c:pt>
                <c:pt idx="4">
                  <c:v>430</c:v>
                </c:pt>
              </c:numCache>
            </c:numRef>
          </c:val>
          <c:smooth val="0"/>
        </c:ser>
        <c:dLbls>
          <c:showLegendKey val="0"/>
          <c:showVal val="0"/>
          <c:showCatName val="0"/>
          <c:showSerName val="0"/>
          <c:showPercent val="0"/>
          <c:showBubbleSize val="0"/>
        </c:dLbls>
        <c:marker val="1"/>
        <c:smooth val="0"/>
        <c:axId val="130795008"/>
        <c:axId val="130796544"/>
      </c:lineChart>
      <c:catAx>
        <c:axId val="130795008"/>
        <c:scaling>
          <c:orientation val="minMax"/>
        </c:scaling>
        <c:delete val="0"/>
        <c:axPos val="b"/>
        <c:numFmt formatCode="General" sourceLinked="1"/>
        <c:majorTickMark val="out"/>
        <c:minorTickMark val="none"/>
        <c:tickLblPos val="nextTo"/>
        <c:crossAx val="130796544"/>
        <c:crosses val="autoZero"/>
        <c:auto val="1"/>
        <c:lblAlgn val="ctr"/>
        <c:lblOffset val="100"/>
        <c:noMultiLvlLbl val="0"/>
      </c:catAx>
      <c:valAx>
        <c:axId val="130796544"/>
        <c:scaling>
          <c:orientation val="minMax"/>
        </c:scaling>
        <c:delete val="0"/>
        <c:axPos val="l"/>
        <c:title>
          <c:tx>
            <c:rich>
              <a:bodyPr rot="-5400000" vert="horz"/>
              <a:lstStyle/>
              <a:p>
                <a:pPr>
                  <a:defRPr/>
                </a:pPr>
                <a:r>
                  <a:rPr lang="en-GB"/>
                  <a:t>Fims</a:t>
                </a:r>
              </a:p>
              <a:p>
                <a:pPr>
                  <a:defRPr/>
                </a:pPr>
                <a:endParaRPr lang="en-GB"/>
              </a:p>
            </c:rich>
          </c:tx>
          <c:overlay val="0"/>
        </c:title>
        <c:numFmt formatCode="_-* #,##0_-;\-* #,##0_-;_-* &quot;-&quot;??_-;_-@_-" sourceLinked="1"/>
        <c:majorTickMark val="out"/>
        <c:minorTickMark val="none"/>
        <c:tickLblPos val="nextTo"/>
        <c:crossAx val="130795008"/>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954079306697"/>
          <c:y val="6.1168165945068811E-2"/>
          <c:w val="0.84045535623392864"/>
          <c:h val="0.84366885763212085"/>
        </c:manualLayout>
      </c:layout>
      <c:lineChart>
        <c:grouping val="standard"/>
        <c:varyColors val="0"/>
        <c:ser>
          <c:idx val="1"/>
          <c:order val="0"/>
          <c:tx>
            <c:strRef>
              <c:f>'Baseline - No Overlap'!$B$41</c:f>
              <c:strCache>
                <c:ptCount val="1"/>
                <c:pt idx="0">
                  <c:v>Renewables (&amp; Energy)</c:v>
                </c:pt>
              </c:strCache>
            </c:strRef>
          </c:tx>
          <c:spPr>
            <a:ln w="41275"/>
          </c:spPr>
          <c:marker>
            <c:symbol val="none"/>
          </c:marker>
          <c:dLbls>
            <c:dLbl>
              <c:idx val="1"/>
              <c:layout>
                <c:manualLayout>
                  <c:x val="4.1221183918042938E-17"/>
                  <c:y val="3.41880341880341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'Baseline - No Overlap'!$C$39:$G$39</c:f>
              <c:numCache>
                <c:formatCode>General</c:formatCode>
                <c:ptCount val="5"/>
                <c:pt idx="0">
                  <c:v>2009</c:v>
                </c:pt>
                <c:pt idx="1">
                  <c:v>2010</c:v>
                </c:pt>
                <c:pt idx="2">
                  <c:v>2011</c:v>
                </c:pt>
                <c:pt idx="3">
                  <c:v>2012</c:v>
                </c:pt>
                <c:pt idx="4">
                  <c:v>2013</c:v>
                </c:pt>
              </c:numCache>
            </c:numRef>
          </c:cat>
          <c:val>
            <c:numRef>
              <c:f>'Baseline - No Overlap'!$C$41:$G$41</c:f>
              <c:numCache>
                <c:formatCode>_-* #,##0_-;\-* #,##0_-;_-* "-"??_-;_-@_-</c:formatCode>
                <c:ptCount val="5"/>
                <c:pt idx="0">
                  <c:v>2600</c:v>
                </c:pt>
                <c:pt idx="1">
                  <c:v>2390</c:v>
                </c:pt>
                <c:pt idx="2">
                  <c:v>2480</c:v>
                </c:pt>
                <c:pt idx="3">
                  <c:v>3430</c:v>
                </c:pt>
                <c:pt idx="4">
                  <c:v>3250</c:v>
                </c:pt>
              </c:numCache>
            </c:numRef>
          </c:val>
          <c:smooth val="0"/>
        </c:ser>
        <c:dLbls>
          <c:showLegendKey val="0"/>
          <c:showVal val="0"/>
          <c:showCatName val="0"/>
          <c:showSerName val="0"/>
          <c:showPercent val="0"/>
          <c:showBubbleSize val="0"/>
        </c:dLbls>
        <c:marker val="1"/>
        <c:smooth val="0"/>
        <c:axId val="130878464"/>
        <c:axId val="130904832"/>
      </c:lineChart>
      <c:catAx>
        <c:axId val="130878464"/>
        <c:scaling>
          <c:orientation val="minMax"/>
        </c:scaling>
        <c:delete val="0"/>
        <c:axPos val="b"/>
        <c:numFmt formatCode="General" sourceLinked="1"/>
        <c:majorTickMark val="out"/>
        <c:minorTickMark val="none"/>
        <c:tickLblPos val="nextTo"/>
        <c:crossAx val="130904832"/>
        <c:crosses val="autoZero"/>
        <c:auto val="1"/>
        <c:lblAlgn val="ctr"/>
        <c:lblOffset val="100"/>
        <c:noMultiLvlLbl val="0"/>
      </c:catAx>
      <c:valAx>
        <c:axId val="130904832"/>
        <c:scaling>
          <c:orientation val="minMax"/>
        </c:scaling>
        <c:delete val="0"/>
        <c:axPos val="l"/>
        <c:title>
          <c:tx>
            <c:rich>
              <a:bodyPr rot="-5400000" vert="horz"/>
              <a:lstStyle/>
              <a:p>
                <a:pPr>
                  <a:defRPr/>
                </a:pPr>
                <a:r>
                  <a:rPr lang="en-GB"/>
                  <a:t>Employees</a:t>
                </a:r>
              </a:p>
            </c:rich>
          </c:tx>
          <c:overlay val="0"/>
        </c:title>
        <c:numFmt formatCode="#,##0" sourceLinked="0"/>
        <c:majorTickMark val="out"/>
        <c:minorTickMark val="none"/>
        <c:tickLblPos val="nextTo"/>
        <c:crossAx val="130878464"/>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3772982388102"/>
          <c:y val="6.9934938914394923E-2"/>
          <c:w val="0.86489862492072112"/>
          <c:h val="0.82755341250096204"/>
        </c:manualLayout>
      </c:layout>
      <c:lineChart>
        <c:grouping val="standard"/>
        <c:varyColors val="0"/>
        <c:ser>
          <c:idx val="0"/>
          <c:order val="0"/>
          <c:tx>
            <c:strRef>
              <c:f>'Baseline - No Overlap'!$B$55</c:f>
              <c:strCache>
                <c:ptCount val="1"/>
                <c:pt idx="0">
                  <c:v>Revised Retail &amp; Tourism</c:v>
                </c:pt>
              </c:strCache>
            </c:strRef>
          </c:tx>
          <c:spPr>
            <a:ln w="41275">
              <a:solidFill>
                <a:schemeClr val="bg2">
                  <a:lumMod val="60000"/>
                  <a:lumOff val="40000"/>
                </a:schemeClr>
              </a:solidFill>
            </a:ln>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'Baseline - No Overlap'!$C$48:$G$48</c:f>
              <c:numCache>
                <c:formatCode>General</c:formatCode>
                <c:ptCount val="5"/>
                <c:pt idx="0">
                  <c:v>2009</c:v>
                </c:pt>
                <c:pt idx="1">
                  <c:v>2010</c:v>
                </c:pt>
                <c:pt idx="2">
                  <c:v>2011</c:v>
                </c:pt>
                <c:pt idx="3">
                  <c:v>2012</c:v>
                </c:pt>
                <c:pt idx="4">
                  <c:v>2013</c:v>
                </c:pt>
              </c:numCache>
            </c:numRef>
          </c:cat>
          <c:val>
            <c:numRef>
              <c:f>'Baseline - No Overlap'!$C$55:$G$55</c:f>
              <c:numCache>
                <c:formatCode>_-* #,##0_-;\-* #,##0_-;_-* "-"??_-;_-@_-</c:formatCode>
                <c:ptCount val="5"/>
                <c:pt idx="0">
                  <c:v>1460</c:v>
                </c:pt>
                <c:pt idx="1">
                  <c:v>1430</c:v>
                </c:pt>
                <c:pt idx="2">
                  <c:v>1400</c:v>
                </c:pt>
                <c:pt idx="3">
                  <c:v>1370</c:v>
                </c:pt>
                <c:pt idx="4">
                  <c:v>1360</c:v>
                </c:pt>
              </c:numCache>
            </c:numRef>
          </c:val>
          <c:smooth val="0"/>
        </c:ser>
        <c:dLbls>
          <c:showLegendKey val="0"/>
          <c:showVal val="0"/>
          <c:showCatName val="0"/>
          <c:showSerName val="0"/>
          <c:showPercent val="0"/>
          <c:showBubbleSize val="0"/>
        </c:dLbls>
        <c:marker val="1"/>
        <c:smooth val="0"/>
        <c:axId val="130933120"/>
        <c:axId val="130934656"/>
      </c:lineChart>
      <c:catAx>
        <c:axId val="130933120"/>
        <c:scaling>
          <c:orientation val="minMax"/>
        </c:scaling>
        <c:delete val="0"/>
        <c:axPos val="b"/>
        <c:numFmt formatCode="General" sourceLinked="1"/>
        <c:majorTickMark val="out"/>
        <c:minorTickMark val="none"/>
        <c:tickLblPos val="nextTo"/>
        <c:crossAx val="130934656"/>
        <c:crosses val="autoZero"/>
        <c:auto val="1"/>
        <c:lblAlgn val="ctr"/>
        <c:lblOffset val="100"/>
        <c:noMultiLvlLbl val="0"/>
      </c:catAx>
      <c:valAx>
        <c:axId val="130934656"/>
        <c:scaling>
          <c:orientation val="minMax"/>
        </c:scaling>
        <c:delete val="0"/>
        <c:axPos val="l"/>
        <c:title>
          <c:tx>
            <c:rich>
              <a:bodyPr rot="-5400000" vert="horz"/>
              <a:lstStyle/>
              <a:p>
                <a:pPr>
                  <a:defRPr/>
                </a:pPr>
                <a:r>
                  <a:rPr lang="en-GB"/>
                  <a:t>Firms</a:t>
                </a:r>
              </a:p>
            </c:rich>
          </c:tx>
          <c:overlay val="0"/>
        </c:title>
        <c:numFmt formatCode="_-* #,##0_-;\-* #,##0_-;_-* &quot;-&quot;??_-;_-@_-" sourceLinked="1"/>
        <c:majorTickMark val="out"/>
        <c:minorTickMark val="none"/>
        <c:tickLblPos val="nextTo"/>
        <c:crossAx val="130933120"/>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23611936148436"/>
          <c:y val="5.2562517633179033E-2"/>
          <c:w val="0.84798186743511383"/>
          <c:h val="0.84058272846187398"/>
        </c:manualLayout>
      </c:layout>
      <c:lineChart>
        <c:grouping val="standard"/>
        <c:varyColors val="0"/>
        <c:ser>
          <c:idx val="0"/>
          <c:order val="0"/>
          <c:tx>
            <c:strRef>
              <c:f>'Baseline - No Overlap'!$B$46</c:f>
              <c:strCache>
                <c:ptCount val="1"/>
                <c:pt idx="0">
                  <c:v>Revised Retail &amp; Tourism</c:v>
                </c:pt>
              </c:strCache>
            </c:strRef>
          </c:tx>
          <c:spPr>
            <a:ln w="41275">
              <a:solidFill>
                <a:schemeClr val="bg2">
                  <a:lumMod val="60000"/>
                  <a:lumOff val="40000"/>
                </a:schemeClr>
              </a:solidFill>
            </a:ln>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'Baseline - No Overlap'!$C$39:$G$39</c:f>
              <c:numCache>
                <c:formatCode>General</c:formatCode>
                <c:ptCount val="5"/>
                <c:pt idx="0">
                  <c:v>2009</c:v>
                </c:pt>
                <c:pt idx="1">
                  <c:v>2010</c:v>
                </c:pt>
                <c:pt idx="2">
                  <c:v>2011</c:v>
                </c:pt>
                <c:pt idx="3">
                  <c:v>2012</c:v>
                </c:pt>
                <c:pt idx="4">
                  <c:v>2013</c:v>
                </c:pt>
              </c:numCache>
            </c:numRef>
          </c:cat>
          <c:val>
            <c:numRef>
              <c:f>'Baseline - No Overlap'!$C$46:$G$46</c:f>
              <c:numCache>
                <c:formatCode>_-* #,##0_-;\-* #,##0_-;_-* "-"??_-;_-@_-</c:formatCode>
                <c:ptCount val="5"/>
                <c:pt idx="0">
                  <c:v>16660</c:v>
                </c:pt>
                <c:pt idx="1">
                  <c:v>15830</c:v>
                </c:pt>
                <c:pt idx="2">
                  <c:v>15940</c:v>
                </c:pt>
                <c:pt idx="3">
                  <c:v>15770</c:v>
                </c:pt>
                <c:pt idx="4">
                  <c:v>15710</c:v>
                </c:pt>
              </c:numCache>
            </c:numRef>
          </c:val>
          <c:smooth val="0"/>
        </c:ser>
        <c:dLbls>
          <c:showLegendKey val="0"/>
          <c:showVal val="0"/>
          <c:showCatName val="0"/>
          <c:showSerName val="0"/>
          <c:showPercent val="0"/>
          <c:showBubbleSize val="0"/>
        </c:dLbls>
        <c:marker val="1"/>
        <c:smooth val="0"/>
        <c:axId val="130963328"/>
        <c:axId val="130964864"/>
      </c:lineChart>
      <c:catAx>
        <c:axId val="130963328"/>
        <c:scaling>
          <c:orientation val="minMax"/>
        </c:scaling>
        <c:delete val="0"/>
        <c:axPos val="b"/>
        <c:numFmt formatCode="General" sourceLinked="1"/>
        <c:majorTickMark val="out"/>
        <c:minorTickMark val="none"/>
        <c:tickLblPos val="nextTo"/>
        <c:crossAx val="130964864"/>
        <c:crosses val="autoZero"/>
        <c:auto val="1"/>
        <c:lblAlgn val="ctr"/>
        <c:lblOffset val="100"/>
        <c:noMultiLvlLbl val="0"/>
      </c:catAx>
      <c:valAx>
        <c:axId val="130964864"/>
        <c:scaling>
          <c:orientation val="minMax"/>
        </c:scaling>
        <c:delete val="0"/>
        <c:axPos val="l"/>
        <c:title>
          <c:tx>
            <c:rich>
              <a:bodyPr rot="-5400000" vert="horz"/>
              <a:lstStyle/>
              <a:p>
                <a:pPr>
                  <a:defRPr/>
                </a:pPr>
                <a:r>
                  <a:rPr lang="en-GB"/>
                  <a:t>Employees</a:t>
                </a:r>
              </a:p>
            </c:rich>
          </c:tx>
          <c:overlay val="0"/>
        </c:title>
        <c:numFmt formatCode="_-* #,##0_-;\-* #,##0_-;_-* &quot;-&quot;??_-;_-@_-" sourceLinked="1"/>
        <c:majorTickMark val="out"/>
        <c:minorTickMark val="none"/>
        <c:tickLblPos val="nextTo"/>
        <c:crossAx val="130963328"/>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914159768490706E-2"/>
          <c:y val="3.8154699965313912E-2"/>
          <c:w val="0.56099720707989242"/>
          <c:h val="0.55790255666532962"/>
        </c:manualLayout>
      </c:layout>
      <c:barChart>
        <c:barDir val="col"/>
        <c:grouping val="stacked"/>
        <c:varyColors val="0"/>
        <c:ser>
          <c:idx val="0"/>
          <c:order val="0"/>
          <c:tx>
            <c:strRef>
              <c:f>'A13'!$K$12</c:f>
              <c:strCache>
                <c:ptCount val="1"/>
                <c:pt idx="0">
                  <c:v>A single site organisation with no other establishments</c:v>
                </c:pt>
              </c:strCache>
            </c:strRef>
          </c:tx>
          <c:invertIfNegative val="0"/>
          <c:cat>
            <c:strRef>
              <c:f>'A13'!$L$11:$P$11</c:f>
              <c:strCache>
                <c:ptCount val="5"/>
                <c:pt idx="0">
                  <c:v>Renewables (&amp; Energy)</c:v>
                </c:pt>
                <c:pt idx="1">
                  <c:v>Ports &amp; Logistics</c:v>
                </c:pt>
                <c:pt idx="2">
                  <c:v>Food manufacturing</c:v>
                </c:pt>
                <c:pt idx="3">
                  <c:v>Chemicals &amp; process industries</c:v>
                </c:pt>
                <c:pt idx="4">
                  <c:v>Visitor economy &amp; Retail</c:v>
                </c:pt>
              </c:strCache>
            </c:strRef>
          </c:cat>
          <c:val>
            <c:numRef>
              <c:f>'A13'!$L$12:$P$12</c:f>
              <c:numCache>
                <c:formatCode>0.0%</c:formatCode>
                <c:ptCount val="5"/>
                <c:pt idx="0">
                  <c:v>0.750000000000002</c:v>
                </c:pt>
                <c:pt idx="1">
                  <c:v>0.50724637681159401</c:v>
                </c:pt>
                <c:pt idx="2">
                  <c:v>0.84210526315789735</c:v>
                </c:pt>
                <c:pt idx="3">
                  <c:v>0.66666666666666763</c:v>
                </c:pt>
                <c:pt idx="4">
                  <c:v>0.71653543307086764</c:v>
                </c:pt>
              </c:numCache>
            </c:numRef>
          </c:val>
        </c:ser>
        <c:ser>
          <c:idx val="1"/>
          <c:order val="1"/>
          <c:tx>
            <c:strRef>
              <c:f>'A13'!$K$13</c:f>
              <c:strCache>
                <c:ptCount val="1"/>
                <c:pt idx="0">
                  <c:v>A headquarters (regional or divisional) with branches elsewhere</c:v>
                </c:pt>
              </c:strCache>
            </c:strRef>
          </c:tx>
          <c:invertIfNegative val="0"/>
          <c:cat>
            <c:strRef>
              <c:f>'A13'!$L$11:$P$11</c:f>
              <c:strCache>
                <c:ptCount val="5"/>
                <c:pt idx="0">
                  <c:v>Renewables (&amp; Energy)</c:v>
                </c:pt>
                <c:pt idx="1">
                  <c:v>Ports &amp; Logistics</c:v>
                </c:pt>
                <c:pt idx="2">
                  <c:v>Food manufacturing</c:v>
                </c:pt>
                <c:pt idx="3">
                  <c:v>Chemicals &amp; process industries</c:v>
                </c:pt>
                <c:pt idx="4">
                  <c:v>Visitor economy &amp; Retail</c:v>
                </c:pt>
              </c:strCache>
            </c:strRef>
          </c:cat>
          <c:val>
            <c:numRef>
              <c:f>'A13'!$L$13:$P$13</c:f>
              <c:numCache>
                <c:formatCode>0.0%</c:formatCode>
                <c:ptCount val="5"/>
                <c:pt idx="0">
                  <c:v>0.1</c:v>
                </c:pt>
                <c:pt idx="1">
                  <c:v>0.13043478260869601</c:v>
                </c:pt>
                <c:pt idx="2">
                  <c:v>5.2631578947368432E-2</c:v>
                </c:pt>
                <c:pt idx="3">
                  <c:v>9.5238095238095247E-2</c:v>
                </c:pt>
                <c:pt idx="4">
                  <c:v>3.1496062992126005E-2</c:v>
                </c:pt>
              </c:numCache>
            </c:numRef>
          </c:val>
        </c:ser>
        <c:ser>
          <c:idx val="2"/>
          <c:order val="2"/>
          <c:tx>
            <c:strRef>
              <c:f>'A13'!$K$14</c:f>
              <c:strCache>
                <c:ptCount val="1"/>
                <c:pt idx="0">
                  <c:v>A branch or subsidiary or division with headquarters elsewhere</c:v>
                </c:pt>
              </c:strCache>
            </c:strRef>
          </c:tx>
          <c:invertIfNegative val="0"/>
          <c:cat>
            <c:strRef>
              <c:f>'A13'!$L$11:$P$11</c:f>
              <c:strCache>
                <c:ptCount val="5"/>
                <c:pt idx="0">
                  <c:v>Renewables (&amp; Energy)</c:v>
                </c:pt>
                <c:pt idx="1">
                  <c:v>Ports &amp; Logistics</c:v>
                </c:pt>
                <c:pt idx="2">
                  <c:v>Food manufacturing</c:v>
                </c:pt>
                <c:pt idx="3">
                  <c:v>Chemicals &amp; process industries</c:v>
                </c:pt>
                <c:pt idx="4">
                  <c:v>Visitor economy &amp; Retail</c:v>
                </c:pt>
              </c:strCache>
            </c:strRef>
          </c:cat>
          <c:val>
            <c:numRef>
              <c:f>'A13'!$L$14:$P$14</c:f>
              <c:numCache>
                <c:formatCode>0.0%</c:formatCode>
                <c:ptCount val="5"/>
                <c:pt idx="0">
                  <c:v>0.05</c:v>
                </c:pt>
                <c:pt idx="1">
                  <c:v>0.21739130434782691</c:v>
                </c:pt>
                <c:pt idx="2">
                  <c:v>0.105263157894737</c:v>
                </c:pt>
                <c:pt idx="3">
                  <c:v>0.14285714285714377</c:v>
                </c:pt>
                <c:pt idx="4">
                  <c:v>0.1574803149606305</c:v>
                </c:pt>
              </c:numCache>
            </c:numRef>
          </c:val>
        </c:ser>
        <c:ser>
          <c:idx val="3"/>
          <c:order val="3"/>
          <c:tx>
            <c:strRef>
              <c:f>'A13'!$K$15</c:f>
              <c:strCache>
                <c:ptCount val="1"/>
                <c:pt idx="0">
                  <c:v>A multiple site organisation</c:v>
                </c:pt>
              </c:strCache>
            </c:strRef>
          </c:tx>
          <c:invertIfNegative val="0"/>
          <c:cat>
            <c:strRef>
              <c:f>'A13'!$L$11:$P$11</c:f>
              <c:strCache>
                <c:ptCount val="5"/>
                <c:pt idx="0">
                  <c:v>Renewables (&amp; Energy)</c:v>
                </c:pt>
                <c:pt idx="1">
                  <c:v>Ports &amp; Logistics</c:v>
                </c:pt>
                <c:pt idx="2">
                  <c:v>Food manufacturing</c:v>
                </c:pt>
                <c:pt idx="3">
                  <c:v>Chemicals &amp; process industries</c:v>
                </c:pt>
                <c:pt idx="4">
                  <c:v>Visitor economy &amp; Retail</c:v>
                </c:pt>
              </c:strCache>
            </c:strRef>
          </c:cat>
          <c:val>
            <c:numRef>
              <c:f>'A13'!$L$15:$P$15</c:f>
              <c:numCache>
                <c:formatCode>0.0%</c:formatCode>
                <c:ptCount val="5"/>
                <c:pt idx="0">
                  <c:v>0.1</c:v>
                </c:pt>
                <c:pt idx="1">
                  <c:v>0.14492753623188401</c:v>
                </c:pt>
                <c:pt idx="2">
                  <c:v>0</c:v>
                </c:pt>
                <c:pt idx="3">
                  <c:v>9.5238095238095247E-2</c:v>
                </c:pt>
                <c:pt idx="4">
                  <c:v>9.4488188976377924E-2</c:v>
                </c:pt>
              </c:numCache>
            </c:numRef>
          </c:val>
        </c:ser>
        <c:dLbls>
          <c:showLegendKey val="0"/>
          <c:showVal val="0"/>
          <c:showCatName val="0"/>
          <c:showSerName val="0"/>
          <c:showPercent val="0"/>
          <c:showBubbleSize val="0"/>
        </c:dLbls>
        <c:gapWidth val="48"/>
        <c:overlap val="100"/>
        <c:axId val="131163648"/>
        <c:axId val="131165184"/>
      </c:barChart>
      <c:catAx>
        <c:axId val="131163648"/>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131165184"/>
        <c:crosses val="autoZero"/>
        <c:auto val="1"/>
        <c:lblAlgn val="ctr"/>
        <c:lblOffset val="100"/>
        <c:noMultiLvlLbl val="0"/>
      </c:catAx>
      <c:valAx>
        <c:axId val="131165184"/>
        <c:scaling>
          <c:orientation val="minMax"/>
          <c:max val="1"/>
        </c:scaling>
        <c:delete val="0"/>
        <c:axPos val="l"/>
        <c:numFmt formatCode="0%" sourceLinked="0"/>
        <c:majorTickMark val="out"/>
        <c:minorTickMark val="none"/>
        <c:tickLblPos val="nextTo"/>
        <c:crossAx val="131163648"/>
        <c:crosses val="autoZero"/>
        <c:crossBetween val="between"/>
        <c:majorUnit val="0.25"/>
      </c:valAx>
    </c:plotArea>
    <c:legend>
      <c:legendPos val="r"/>
      <c:layout>
        <c:manualLayout>
          <c:xMode val="edge"/>
          <c:yMode val="edge"/>
          <c:x val="0.671415640352648"/>
          <c:y val="1.654745029920188E-2"/>
          <c:w val="0.315763846826839"/>
          <c:h val="0.74144550869747283"/>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59901067618502E-2"/>
          <c:y val="2.3722032439623699E-2"/>
          <c:w val="0.88828622936733126"/>
          <c:h val="0.50050329394278059"/>
        </c:manualLayout>
      </c:layout>
      <c:barChart>
        <c:barDir val="col"/>
        <c:grouping val="stacked"/>
        <c:varyColors val="0"/>
        <c:ser>
          <c:idx val="0"/>
          <c:order val="0"/>
          <c:tx>
            <c:strRef>
              <c:f>'A19'!$A$8</c:f>
              <c:strCache>
                <c:ptCount val="1"/>
                <c:pt idx="0">
                  <c:v>Yes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'A19'!$B$7:$G$7</c:f>
              <c:strCache>
                <c:ptCount val="6"/>
                <c:pt idx="0">
                  <c:v>Total</c:v>
                </c:pt>
                <c:pt idx="1">
                  <c:v>Renewables</c:v>
                </c:pt>
                <c:pt idx="2">
                  <c:v>Ports &amp; Logistics</c:v>
                </c:pt>
                <c:pt idx="3">
                  <c:v>Food manufacturing</c:v>
                </c:pt>
                <c:pt idx="4">
                  <c:v>Chemicals &amp; process industries</c:v>
                </c:pt>
                <c:pt idx="5">
                  <c:v>Visitor Economy &amp; Retail</c:v>
                </c:pt>
              </c:strCache>
            </c:strRef>
          </c:cat>
          <c:val>
            <c:numRef>
              <c:f>'A19'!$B$8:$G$8</c:f>
              <c:numCache>
                <c:formatCode>0.0%</c:formatCode>
                <c:ptCount val="6"/>
                <c:pt idx="0">
                  <c:v>0.22404371584699556</c:v>
                </c:pt>
                <c:pt idx="1">
                  <c:v>0.30000000000000032</c:v>
                </c:pt>
                <c:pt idx="2">
                  <c:v>0.42028985507246525</c:v>
                </c:pt>
                <c:pt idx="3">
                  <c:v>0.12280701754385999</c:v>
                </c:pt>
                <c:pt idx="4">
                  <c:v>0.28571428571428742</c:v>
                </c:pt>
                <c:pt idx="5">
                  <c:v>0.133858267716535</c:v>
                </c:pt>
              </c:numCache>
            </c:numRef>
          </c:val>
        </c:ser>
        <c:ser>
          <c:idx val="1"/>
          <c:order val="1"/>
          <c:tx>
            <c:strRef>
              <c:f>'A19'!$A$9</c:f>
              <c:strCache>
                <c:ptCount val="1"/>
                <c:pt idx="0">
                  <c:v>No</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'A19'!$B$7:$G$7</c:f>
              <c:strCache>
                <c:ptCount val="6"/>
                <c:pt idx="0">
                  <c:v>Total</c:v>
                </c:pt>
                <c:pt idx="1">
                  <c:v>Renewables</c:v>
                </c:pt>
                <c:pt idx="2">
                  <c:v>Ports &amp; Logistics</c:v>
                </c:pt>
                <c:pt idx="3">
                  <c:v>Food manufacturing</c:v>
                </c:pt>
                <c:pt idx="4">
                  <c:v>Chemicals &amp; process industries</c:v>
                </c:pt>
                <c:pt idx="5">
                  <c:v>Visitor Economy &amp; Retail</c:v>
                </c:pt>
              </c:strCache>
            </c:strRef>
          </c:cat>
          <c:val>
            <c:numRef>
              <c:f>'A19'!$B$9:$G$9</c:f>
              <c:numCache>
                <c:formatCode>0.0%</c:formatCode>
                <c:ptCount val="6"/>
                <c:pt idx="0">
                  <c:v>0.77595628415300788</c:v>
                </c:pt>
                <c:pt idx="1">
                  <c:v>0.70000000000000062</c:v>
                </c:pt>
                <c:pt idx="2">
                  <c:v>0.57971014492753559</c:v>
                </c:pt>
                <c:pt idx="3">
                  <c:v>0.87719298245614163</c:v>
                </c:pt>
                <c:pt idx="4">
                  <c:v>0.71428571428571563</c:v>
                </c:pt>
                <c:pt idx="5">
                  <c:v>0.86614173228347036</c:v>
                </c:pt>
              </c:numCache>
            </c:numRef>
          </c:val>
        </c:ser>
        <c:dLbls>
          <c:showLegendKey val="0"/>
          <c:showVal val="1"/>
          <c:showCatName val="0"/>
          <c:showSerName val="0"/>
          <c:showPercent val="0"/>
          <c:showBubbleSize val="0"/>
        </c:dLbls>
        <c:gapWidth val="49"/>
        <c:overlap val="100"/>
        <c:axId val="131277184"/>
        <c:axId val="131278720"/>
      </c:barChart>
      <c:catAx>
        <c:axId val="131277184"/>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131278720"/>
        <c:crosses val="autoZero"/>
        <c:auto val="1"/>
        <c:lblAlgn val="ctr"/>
        <c:lblOffset val="100"/>
        <c:noMultiLvlLbl val="0"/>
      </c:catAx>
      <c:valAx>
        <c:axId val="131278720"/>
        <c:scaling>
          <c:orientation val="minMax"/>
          <c:max val="1"/>
        </c:scaling>
        <c:delete val="0"/>
        <c:axPos val="l"/>
        <c:numFmt formatCode="0%" sourceLinked="0"/>
        <c:majorTickMark val="out"/>
        <c:minorTickMark val="none"/>
        <c:tickLblPos val="nextTo"/>
        <c:crossAx val="131277184"/>
        <c:crosses val="autoZero"/>
        <c:crossBetween val="between"/>
        <c:majorUnit val="0.25"/>
      </c:valAx>
    </c:plotArea>
    <c:legend>
      <c:legendPos val="r"/>
      <c:layout>
        <c:manualLayout>
          <c:xMode val="edge"/>
          <c:yMode val="edge"/>
          <c:x val="2.2832983349326989E-2"/>
          <c:y val="0.84686177943010565"/>
          <c:w val="0.34466339301129501"/>
          <c:h val="7.4663815729779315E-2"/>
        </c:manualLayout>
      </c:layout>
      <c:overlay val="0"/>
      <c:spPr>
        <a:ln>
          <a:noFill/>
        </a:ln>
      </c:sp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'A21'!$J$5</c:f>
              <c:strCache>
                <c:ptCount val="1"/>
                <c:pt idx="0">
                  <c:v>Yes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'A21'!$K$4:$O$4</c:f>
              <c:strCache>
                <c:ptCount val="5"/>
                <c:pt idx="0">
                  <c:v>Renewables</c:v>
                </c:pt>
                <c:pt idx="1">
                  <c:v>Ports &amp; Logistics</c:v>
                </c:pt>
                <c:pt idx="2">
                  <c:v>Food manufacturing</c:v>
                </c:pt>
                <c:pt idx="3">
                  <c:v>Chemicals &amp; process industries</c:v>
                </c:pt>
                <c:pt idx="4">
                  <c:v>Visitor Economy &amp; Retail</c:v>
                </c:pt>
              </c:strCache>
            </c:strRef>
          </c:cat>
          <c:val>
            <c:numRef>
              <c:f>'A21'!$K$5:$O$5</c:f>
              <c:numCache>
                <c:formatCode>0.0%</c:formatCode>
                <c:ptCount val="5"/>
                <c:pt idx="0">
                  <c:v>0.5</c:v>
                </c:pt>
                <c:pt idx="1">
                  <c:v>0.60869565217391952</c:v>
                </c:pt>
                <c:pt idx="2">
                  <c:v>0.36842105263157893</c:v>
                </c:pt>
                <c:pt idx="3">
                  <c:v>0.57142857142857484</c:v>
                </c:pt>
                <c:pt idx="4">
                  <c:v>0.36220472440945006</c:v>
                </c:pt>
              </c:numCache>
            </c:numRef>
          </c:val>
        </c:ser>
        <c:ser>
          <c:idx val="1"/>
          <c:order val="1"/>
          <c:tx>
            <c:strRef>
              <c:f>'A21'!$J$6</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'A21'!$K$4:$O$4</c:f>
              <c:strCache>
                <c:ptCount val="5"/>
                <c:pt idx="0">
                  <c:v>Renewables</c:v>
                </c:pt>
                <c:pt idx="1">
                  <c:v>Ports &amp; Logistics</c:v>
                </c:pt>
                <c:pt idx="2">
                  <c:v>Food manufacturing</c:v>
                </c:pt>
                <c:pt idx="3">
                  <c:v>Chemicals &amp; process industries</c:v>
                </c:pt>
                <c:pt idx="4">
                  <c:v>Visitor Economy &amp; Retail</c:v>
                </c:pt>
              </c:strCache>
            </c:strRef>
          </c:cat>
          <c:val>
            <c:numRef>
              <c:f>'A21'!$K$6:$O$6</c:f>
              <c:numCache>
                <c:formatCode>0.0%</c:formatCode>
                <c:ptCount val="5"/>
                <c:pt idx="0">
                  <c:v>0.5</c:v>
                </c:pt>
                <c:pt idx="1">
                  <c:v>0.39130434782608842</c:v>
                </c:pt>
                <c:pt idx="2">
                  <c:v>0.63157894736842313</c:v>
                </c:pt>
                <c:pt idx="3">
                  <c:v>0.42857142857142899</c:v>
                </c:pt>
                <c:pt idx="4">
                  <c:v>0.63779527559055627</c:v>
                </c:pt>
              </c:numCache>
            </c:numRef>
          </c:val>
        </c:ser>
        <c:dLbls>
          <c:showLegendKey val="0"/>
          <c:showVal val="0"/>
          <c:showCatName val="0"/>
          <c:showSerName val="0"/>
          <c:showPercent val="0"/>
          <c:showBubbleSize val="0"/>
        </c:dLbls>
        <c:gapWidth val="20"/>
        <c:overlap val="100"/>
        <c:axId val="131292160"/>
        <c:axId val="131310336"/>
      </c:barChart>
      <c:catAx>
        <c:axId val="131292160"/>
        <c:scaling>
          <c:orientation val="minMax"/>
        </c:scaling>
        <c:delete val="0"/>
        <c:axPos val="l"/>
        <c:numFmt formatCode="General" sourceLinked="0"/>
        <c:majorTickMark val="out"/>
        <c:minorTickMark val="none"/>
        <c:tickLblPos val="nextTo"/>
        <c:crossAx val="131310336"/>
        <c:crosses val="autoZero"/>
        <c:auto val="1"/>
        <c:lblAlgn val="ctr"/>
        <c:lblOffset val="100"/>
        <c:noMultiLvlLbl val="0"/>
      </c:catAx>
      <c:valAx>
        <c:axId val="131310336"/>
        <c:scaling>
          <c:orientation val="minMax"/>
          <c:max val="1"/>
        </c:scaling>
        <c:delete val="0"/>
        <c:axPos val="b"/>
        <c:numFmt formatCode="0.0%" sourceLinked="1"/>
        <c:majorTickMark val="out"/>
        <c:minorTickMark val="none"/>
        <c:tickLblPos val="nextTo"/>
        <c:crossAx val="131292160"/>
        <c:crosses val="autoZero"/>
        <c:crossBetween val="between"/>
        <c:majorUnit val="0.25"/>
      </c:valAx>
      <c:spPr>
        <a:noFill/>
        <a:ln w="25400">
          <a:noFill/>
        </a:ln>
      </c:spPr>
    </c:plotArea>
    <c:legend>
      <c:legendPos val="r"/>
      <c:layout>
        <c:manualLayout>
          <c:xMode val="edge"/>
          <c:yMode val="edge"/>
          <c:x val="0.91605239248940162"/>
          <c:y val="0.32015937766815494"/>
          <c:w val="7.1127094690086809E-2"/>
          <c:h val="0.26046046157767289"/>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777777777777812E-2"/>
          <c:y val="3.2179052843956016E-2"/>
          <c:w val="0.50750905135257263"/>
          <c:h val="0.96782094715604405"/>
        </c:manualLayout>
      </c:layout>
      <c:pieChart>
        <c:varyColors val="1"/>
        <c:ser>
          <c:idx val="0"/>
          <c:order val="0"/>
          <c:explosion val="25"/>
          <c:dLbls>
            <c:dLbl>
              <c:idx val="1"/>
              <c:spPr/>
              <c:txPr>
                <a:bodyPr/>
                <a:lstStyle/>
                <a:p>
                  <a:pPr>
                    <a:defRPr>
                      <a:solidFill>
                        <a:schemeClr val="bg1"/>
                      </a:solidFill>
                    </a:defRPr>
                  </a:pPr>
                  <a:endParaRPr lang="en-US"/>
                </a:p>
              </c:txPr>
              <c:showLegendKey val="0"/>
              <c:showVal val="1"/>
              <c:showCatName val="0"/>
              <c:showSerName val="0"/>
              <c:showPercent val="0"/>
              <c:showBubbleSize val="0"/>
            </c:dLbl>
            <c:dLbl>
              <c:idx val="3"/>
              <c:layout>
                <c:manualLayout>
                  <c:x val="-1.2104939451719905E-2"/>
                  <c:y val="-1.776780492633680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3717958715480919E-2"/>
                  <c:y val="1.033863843876460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'A23'!$K$16:$K$20</c:f>
              <c:strCache>
                <c:ptCount val="5"/>
                <c:pt idx="0">
                  <c:v>Relocation</c:v>
                </c:pt>
                <c:pt idx="1">
                  <c:v>Expansion on site</c:v>
                </c:pt>
                <c:pt idx="2">
                  <c:v>Upgrade of premises on site</c:v>
                </c:pt>
                <c:pt idx="3">
                  <c:v>Additional unit</c:v>
                </c:pt>
                <c:pt idx="4">
                  <c:v>Additional rental property</c:v>
                </c:pt>
              </c:strCache>
            </c:strRef>
          </c:cat>
          <c:val>
            <c:numRef>
              <c:f>'A23'!$L$16:$L$20</c:f>
              <c:numCache>
                <c:formatCode>0.0%</c:formatCode>
                <c:ptCount val="5"/>
                <c:pt idx="0">
                  <c:v>0.20833333333333359</c:v>
                </c:pt>
                <c:pt idx="1">
                  <c:v>0.31250000000000094</c:v>
                </c:pt>
                <c:pt idx="2">
                  <c:v>0.20833333333333359</c:v>
                </c:pt>
                <c:pt idx="3">
                  <c:v>0.25</c:v>
                </c:pt>
                <c:pt idx="4">
                  <c:v>2.0833333333333412E-2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647461105866388"/>
          <c:y val="2.5858486439195104E-2"/>
          <c:w val="0.33685858544395336"/>
          <c:h val="0.96217191601050989"/>
        </c:manualLayout>
      </c:layout>
      <c:overlay val="0"/>
    </c:legend>
    <c:plotVisOnly val="1"/>
    <c:dispBlanksAs val="zero"/>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270475805908923"/>
          <c:y val="4.6015477933486995E-2"/>
          <c:w val="0.75979524194091164"/>
          <c:h val="0.85343362094379493"/>
        </c:manualLayout>
      </c:layout>
      <c:lineChart>
        <c:grouping val="standard"/>
        <c:varyColors val="0"/>
        <c:ser>
          <c:idx val="0"/>
          <c:order val="0"/>
          <c:tx>
            <c:strRef>
              <c:f>Sheet1!$A$51</c:f>
              <c:strCache>
                <c:ptCount val="1"/>
                <c:pt idx="0">
                  <c:v>N E Lincs.</c:v>
                </c:pt>
              </c:strCache>
            </c:strRef>
          </c:tx>
          <c:marker>
            <c:symbol val="none"/>
          </c:marker>
          <c:cat>
            <c:numRef>
              <c:f>Sheet1!$B$50:$J$50</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Sheet1!$B$51:$J$51</c:f>
              <c:numCache>
                <c:formatCode>General</c:formatCode>
                <c:ptCount val="9"/>
                <c:pt idx="0">
                  <c:v>0.125</c:v>
                </c:pt>
                <c:pt idx="1">
                  <c:v>0.12462612163509507</c:v>
                </c:pt>
                <c:pt idx="2">
                  <c:v>0.11782477341389763</c:v>
                </c:pt>
                <c:pt idx="3">
                  <c:v>0.14019607843137274</c:v>
                </c:pt>
                <c:pt idx="4">
                  <c:v>0.20985401459854014</c:v>
                </c:pt>
                <c:pt idx="5">
                  <c:v>0.20094339622641588</c:v>
                </c:pt>
                <c:pt idx="6">
                  <c:v>0.17472852912142203</c:v>
                </c:pt>
                <c:pt idx="7">
                  <c:v>0.14994829369183149</c:v>
                </c:pt>
                <c:pt idx="8">
                  <c:v>0.1685744016649324</c:v>
                </c:pt>
              </c:numCache>
            </c:numRef>
          </c:val>
          <c:smooth val="0"/>
        </c:ser>
        <c:ser>
          <c:idx val="1"/>
          <c:order val="1"/>
          <c:tx>
            <c:strRef>
              <c:f>Sheet1!$A$52</c:f>
              <c:strCache>
                <c:ptCount val="1"/>
                <c:pt idx="0">
                  <c:v>Hull</c:v>
                </c:pt>
              </c:strCache>
            </c:strRef>
          </c:tx>
          <c:marker>
            <c:symbol val="none"/>
          </c:marker>
          <c:cat>
            <c:numRef>
              <c:f>Sheet1!$B$50:$J$50</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Sheet1!$B$52:$J$52</c:f>
              <c:numCache>
                <c:formatCode>General</c:formatCode>
                <c:ptCount val="9"/>
                <c:pt idx="0">
                  <c:v>0.11241610738255042</c:v>
                </c:pt>
                <c:pt idx="1">
                  <c:v>0.11202635914332784</c:v>
                </c:pt>
                <c:pt idx="2">
                  <c:v>9.6326530612244943E-2</c:v>
                </c:pt>
                <c:pt idx="3">
                  <c:v>9.9762470308788598E-2</c:v>
                </c:pt>
                <c:pt idx="4">
                  <c:v>0.11067503924646782</c:v>
                </c:pt>
                <c:pt idx="5">
                  <c:v>0.12988047808764938</c:v>
                </c:pt>
                <c:pt idx="6">
                  <c:v>0.11102106969205802</c:v>
                </c:pt>
                <c:pt idx="7">
                  <c:v>0.10364842454394693</c:v>
                </c:pt>
                <c:pt idx="8">
                  <c:v>0.11037344398340262</c:v>
                </c:pt>
              </c:numCache>
            </c:numRef>
          </c:val>
          <c:smooth val="0"/>
        </c:ser>
        <c:ser>
          <c:idx val="2"/>
          <c:order val="2"/>
          <c:tx>
            <c:strRef>
              <c:f>Sheet1!$A$53</c:f>
              <c:strCache>
                <c:ptCount val="1"/>
                <c:pt idx="0">
                  <c:v>North Lincs.</c:v>
                </c:pt>
              </c:strCache>
            </c:strRef>
          </c:tx>
          <c:marker>
            <c:symbol val="none"/>
          </c:marker>
          <c:cat>
            <c:numRef>
              <c:f>Sheet1!$B$50:$J$50</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Sheet1!$B$53:$J$53</c:f>
              <c:numCache>
                <c:formatCode>General</c:formatCode>
                <c:ptCount val="9"/>
                <c:pt idx="0">
                  <c:v>0.10048780487804845</c:v>
                </c:pt>
                <c:pt idx="1">
                  <c:v>9.8095238095238471E-2</c:v>
                </c:pt>
                <c:pt idx="2">
                  <c:v>9.7537878787879437E-2</c:v>
                </c:pt>
                <c:pt idx="3">
                  <c:v>9.990749306198006E-2</c:v>
                </c:pt>
                <c:pt idx="4">
                  <c:v>0.1</c:v>
                </c:pt>
                <c:pt idx="5">
                  <c:v>0.12095238095238096</c:v>
                </c:pt>
                <c:pt idx="6">
                  <c:v>0.1123046875</c:v>
                </c:pt>
                <c:pt idx="7">
                  <c:v>9.5334685598377544E-2</c:v>
                </c:pt>
                <c:pt idx="8">
                  <c:v>0.11257606490872211</c:v>
                </c:pt>
              </c:numCache>
            </c:numRef>
          </c:val>
          <c:smooth val="0"/>
        </c:ser>
        <c:ser>
          <c:idx val="3"/>
          <c:order val="3"/>
          <c:tx>
            <c:strRef>
              <c:f>Sheet1!$A$54</c:f>
              <c:strCache>
                <c:ptCount val="1"/>
                <c:pt idx="0">
                  <c:v>York &amp; Humber</c:v>
                </c:pt>
              </c:strCache>
            </c:strRef>
          </c:tx>
          <c:marker>
            <c:symbol val="none"/>
          </c:marker>
          <c:cat>
            <c:numRef>
              <c:f>Sheet1!$B$50:$J$50</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Sheet1!$B$54:$J$54</c:f>
              <c:numCache>
                <c:formatCode>General</c:formatCode>
                <c:ptCount val="9"/>
                <c:pt idx="0">
                  <c:v>0.10797807939845791</c:v>
                </c:pt>
                <c:pt idx="1">
                  <c:v>0.10720551378446116</c:v>
                </c:pt>
                <c:pt idx="2">
                  <c:v>9.6015676028739394E-2</c:v>
                </c:pt>
                <c:pt idx="3">
                  <c:v>0.10135563539748195</c:v>
                </c:pt>
                <c:pt idx="4">
                  <c:v>0.10366692588383127</c:v>
                </c:pt>
                <c:pt idx="5">
                  <c:v>0.12126479844148119</c:v>
                </c:pt>
                <c:pt idx="6">
                  <c:v>0.11083206266630788</c:v>
                </c:pt>
                <c:pt idx="7">
                  <c:v>0.10026120762969262</c:v>
                </c:pt>
                <c:pt idx="8">
                  <c:v>0.1097443318861557</c:v>
                </c:pt>
              </c:numCache>
            </c:numRef>
          </c:val>
          <c:smooth val="0"/>
        </c:ser>
        <c:ser>
          <c:idx val="4"/>
          <c:order val="4"/>
          <c:tx>
            <c:strRef>
              <c:f>Sheet1!$A$55</c:f>
              <c:strCache>
                <c:ptCount val="1"/>
                <c:pt idx="0">
                  <c:v>England</c:v>
                </c:pt>
              </c:strCache>
            </c:strRef>
          </c:tx>
          <c:marker>
            <c:symbol val="none"/>
          </c:marker>
          <c:cat>
            <c:numRef>
              <c:f>Sheet1!$B$50:$J$50</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Sheet1!$B$55:$J$55</c:f>
              <c:numCache>
                <c:formatCode>General</c:formatCode>
                <c:ptCount val="9"/>
                <c:pt idx="0">
                  <c:v>0.11457010022463707</c:v>
                </c:pt>
                <c:pt idx="1">
                  <c:v>0.10617540653928376</c:v>
                </c:pt>
                <c:pt idx="2">
                  <c:v>9.4986450920635943E-2</c:v>
                </c:pt>
                <c:pt idx="3">
                  <c:v>0.10027218893232509</c:v>
                </c:pt>
                <c:pt idx="4">
                  <c:v>9.7133813006483993E-2</c:v>
                </c:pt>
                <c:pt idx="5">
                  <c:v>0.12114305320687228</c:v>
                </c:pt>
                <c:pt idx="6">
                  <c:v>0.10703656826189611</c:v>
                </c:pt>
                <c:pt idx="7">
                  <c:v>9.9106801634508926E-2</c:v>
                </c:pt>
                <c:pt idx="8">
                  <c:v>0.10809505409582702</c:v>
                </c:pt>
              </c:numCache>
            </c:numRef>
          </c:val>
          <c:smooth val="0"/>
        </c:ser>
        <c:dLbls>
          <c:showLegendKey val="0"/>
          <c:showVal val="0"/>
          <c:showCatName val="0"/>
          <c:showSerName val="0"/>
          <c:showPercent val="0"/>
          <c:showBubbleSize val="0"/>
        </c:dLbls>
        <c:marker val="1"/>
        <c:smooth val="0"/>
        <c:axId val="58458496"/>
        <c:axId val="58460032"/>
      </c:lineChart>
      <c:catAx>
        <c:axId val="58458496"/>
        <c:scaling>
          <c:orientation val="minMax"/>
        </c:scaling>
        <c:delete val="0"/>
        <c:axPos val="b"/>
        <c:numFmt formatCode="General" sourceLinked="1"/>
        <c:majorTickMark val="out"/>
        <c:minorTickMark val="none"/>
        <c:tickLblPos val="nextTo"/>
        <c:txPr>
          <a:bodyPr rot="0" vert="horz"/>
          <a:lstStyle/>
          <a:p>
            <a:pPr>
              <a:defRPr/>
            </a:pPr>
            <a:endParaRPr lang="en-US"/>
          </a:p>
        </c:txPr>
        <c:crossAx val="58460032"/>
        <c:crosses val="autoZero"/>
        <c:auto val="1"/>
        <c:lblAlgn val="ctr"/>
        <c:lblOffset val="100"/>
        <c:noMultiLvlLbl val="0"/>
      </c:catAx>
      <c:valAx>
        <c:axId val="58460032"/>
        <c:scaling>
          <c:orientation val="minMax"/>
        </c:scaling>
        <c:delete val="0"/>
        <c:axPos val="l"/>
        <c:majorGridlines>
          <c:spPr>
            <a:ln>
              <a:noFill/>
            </a:ln>
          </c:spPr>
        </c:majorGridlines>
        <c:title>
          <c:tx>
            <c:rich>
              <a:bodyPr/>
              <a:lstStyle/>
              <a:p>
                <a:pPr>
                  <a:defRPr/>
                </a:pPr>
                <a:r>
                  <a:rPr lang="en-GB"/>
                  <a:t>Business death rate</a:t>
                </a:r>
              </a:p>
            </c:rich>
          </c:tx>
          <c:layout>
            <c:manualLayout>
              <c:xMode val="edge"/>
              <c:yMode val="edge"/>
              <c:x val="6.4102564102564282E-3"/>
              <c:y val="0.25305021352565188"/>
            </c:manualLayout>
          </c:layout>
          <c:overlay val="0"/>
        </c:title>
        <c:numFmt formatCode="General" sourceLinked="1"/>
        <c:majorTickMark val="out"/>
        <c:minorTickMark val="none"/>
        <c:tickLblPos val="nextTo"/>
        <c:txPr>
          <a:bodyPr rot="0" vert="horz"/>
          <a:lstStyle/>
          <a:p>
            <a:pPr>
              <a:defRPr/>
            </a:pPr>
            <a:endParaRPr lang="en-US"/>
          </a:p>
        </c:txPr>
        <c:crossAx val="58458496"/>
        <c:crosses val="autoZero"/>
        <c:crossBetween val="between"/>
      </c:valAx>
    </c:plotArea>
    <c:legend>
      <c:legendPos val="r"/>
      <c:layout>
        <c:manualLayout>
          <c:xMode val="edge"/>
          <c:yMode val="edge"/>
          <c:x val="0.83226613500235236"/>
          <c:y val="0.24285302550943944"/>
          <c:w val="0.16607342351436841"/>
          <c:h val="0.53567648846236826"/>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'A25'!$A$8:$B$8</c:f>
              <c:strCache>
                <c:ptCount val="1"/>
                <c:pt idx="0">
                  <c:v>Yes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'A25'!$C$7:$G$7</c:f>
              <c:strCache>
                <c:ptCount val="5"/>
                <c:pt idx="0">
                  <c:v>Energy and renewable energy</c:v>
                </c:pt>
                <c:pt idx="1">
                  <c:v>Ports, freight and logistics (including other transport services, engineering &amp; marine engineers)</c:v>
                </c:pt>
                <c:pt idx="2">
                  <c:v>Food manufacturing</c:v>
                </c:pt>
                <c:pt idx="3">
                  <c:v>Chemicals / process industries</c:v>
                </c:pt>
                <c:pt idx="4">
                  <c:v>Tourism &amp; Visitor economy (including hotels, restaurants &amp; catering)</c:v>
                </c:pt>
              </c:strCache>
            </c:strRef>
          </c:cat>
          <c:val>
            <c:numRef>
              <c:f>'A25'!$C$8:$G$8</c:f>
              <c:numCache>
                <c:formatCode>0.0%</c:formatCode>
                <c:ptCount val="5"/>
                <c:pt idx="0">
                  <c:v>0.95000000000000062</c:v>
                </c:pt>
                <c:pt idx="1">
                  <c:v>0.91304347826087284</c:v>
                </c:pt>
                <c:pt idx="2">
                  <c:v>0.84210526315789735</c:v>
                </c:pt>
                <c:pt idx="3">
                  <c:v>0.9047619047619021</c:v>
                </c:pt>
                <c:pt idx="4">
                  <c:v>0.83464566929133965</c:v>
                </c:pt>
              </c:numCache>
            </c:numRef>
          </c:val>
        </c:ser>
        <c:ser>
          <c:idx val="1"/>
          <c:order val="1"/>
          <c:tx>
            <c:strRef>
              <c:f>'A25'!$A$9:$B$9</c:f>
              <c:strCache>
                <c:ptCount val="1"/>
                <c:pt idx="0">
                  <c:v>No</c:v>
                </c:pt>
              </c:strCache>
            </c:strRef>
          </c:tx>
          <c:spPr>
            <a:solidFill>
              <a:schemeClr val="bg2"/>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'A25'!$C$7:$G$7</c:f>
              <c:strCache>
                <c:ptCount val="5"/>
                <c:pt idx="0">
                  <c:v>Energy and renewable energy</c:v>
                </c:pt>
                <c:pt idx="1">
                  <c:v>Ports, freight and logistics (including other transport services, engineering &amp; marine engineers)</c:v>
                </c:pt>
                <c:pt idx="2">
                  <c:v>Food manufacturing</c:v>
                </c:pt>
                <c:pt idx="3">
                  <c:v>Chemicals / process industries</c:v>
                </c:pt>
                <c:pt idx="4">
                  <c:v>Tourism &amp; Visitor economy (including hotels, restaurants &amp; catering)</c:v>
                </c:pt>
              </c:strCache>
            </c:strRef>
          </c:cat>
          <c:val>
            <c:numRef>
              <c:f>'A25'!$C$9:$G$9</c:f>
              <c:numCache>
                <c:formatCode>0.0%</c:formatCode>
                <c:ptCount val="5"/>
                <c:pt idx="0">
                  <c:v>0.05</c:v>
                </c:pt>
                <c:pt idx="1">
                  <c:v>8.6956521739130543E-2</c:v>
                </c:pt>
                <c:pt idx="2">
                  <c:v>0.15789473684210606</c:v>
                </c:pt>
                <c:pt idx="3">
                  <c:v>9.5238095238095247E-2</c:v>
                </c:pt>
                <c:pt idx="4">
                  <c:v>0.16535433070866101</c:v>
                </c:pt>
              </c:numCache>
            </c:numRef>
          </c:val>
        </c:ser>
        <c:dLbls>
          <c:showLegendKey val="0"/>
          <c:showVal val="0"/>
          <c:showCatName val="0"/>
          <c:showSerName val="0"/>
          <c:showPercent val="0"/>
          <c:showBubbleSize val="0"/>
        </c:dLbls>
        <c:gapWidth val="20"/>
        <c:overlap val="100"/>
        <c:axId val="131376256"/>
        <c:axId val="131377792"/>
      </c:barChart>
      <c:catAx>
        <c:axId val="131376256"/>
        <c:scaling>
          <c:orientation val="minMax"/>
        </c:scaling>
        <c:delete val="0"/>
        <c:axPos val="l"/>
        <c:numFmt formatCode="General" sourceLinked="0"/>
        <c:majorTickMark val="out"/>
        <c:minorTickMark val="none"/>
        <c:tickLblPos val="nextTo"/>
        <c:crossAx val="131377792"/>
        <c:crosses val="autoZero"/>
        <c:auto val="1"/>
        <c:lblAlgn val="ctr"/>
        <c:lblOffset val="100"/>
        <c:noMultiLvlLbl val="0"/>
      </c:catAx>
      <c:valAx>
        <c:axId val="131377792"/>
        <c:scaling>
          <c:orientation val="minMax"/>
          <c:max val="1"/>
          <c:min val="0"/>
        </c:scaling>
        <c:delete val="0"/>
        <c:axPos val="b"/>
        <c:numFmt formatCode="0.0%" sourceLinked="1"/>
        <c:majorTickMark val="out"/>
        <c:minorTickMark val="none"/>
        <c:tickLblPos val="nextTo"/>
        <c:crossAx val="131376256"/>
        <c:crosses val="autoZero"/>
        <c:crossBetween val="between"/>
        <c:majorUnit val="0.25"/>
      </c:valAx>
    </c:plotArea>
    <c:legend>
      <c:legendPos val="r"/>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0156167979002599E-2"/>
          <c:y val="2.3148148148148077E-3"/>
          <c:w val="0.5972222222222171"/>
          <c:h val="0.99537037037037002"/>
        </c:manualLayout>
      </c:layout>
      <c:pieChart>
        <c:varyColors val="1"/>
        <c:ser>
          <c:idx val="0"/>
          <c:order val="0"/>
          <c:explosion val="25"/>
          <c:dLbls>
            <c:dLbl>
              <c:idx val="1"/>
              <c:tx>
                <c:rich>
                  <a:bodyPr/>
                  <a:lstStyle/>
                  <a:p>
                    <a:r>
                      <a:rPr lang="en-US">
                        <a:solidFill>
                          <a:schemeClr val="bg1"/>
                        </a:solidFill>
                      </a:rPr>
                      <a:t>93%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'A26'!$A$8:$A$9</c:f>
              <c:strCache>
                <c:ptCount val="2"/>
                <c:pt idx="0">
                  <c:v>Yes</c:v>
                </c:pt>
                <c:pt idx="1">
                  <c:v>No</c:v>
                </c:pt>
              </c:strCache>
            </c:strRef>
          </c:cat>
          <c:val>
            <c:numRef>
              <c:f>'A26'!$B$8:$B$9</c:f>
              <c:numCache>
                <c:formatCode>0%</c:formatCode>
                <c:ptCount val="2"/>
                <c:pt idx="0">
                  <c:v>7.1038251366120214E-2</c:v>
                </c:pt>
                <c:pt idx="1">
                  <c:v>0.92896174863388248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0475699912510896"/>
          <c:y val="5.9892461358997895E-2"/>
          <c:w val="0.29802077865267412"/>
          <c:h val="0.24132618839311801"/>
        </c:manualLayout>
      </c:layout>
      <c:overlay val="0"/>
    </c:legend>
    <c:plotVisOnly val="1"/>
    <c:dispBlanksAs val="zero"/>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3168530465363687"/>
          <c:y val="6.2836624775583716E-2"/>
          <c:w val="0.85001539916544699"/>
          <c:h val="0.84274374814459063"/>
        </c:manualLayout>
      </c:layout>
      <c:lineChart>
        <c:grouping val="standard"/>
        <c:varyColors val="0"/>
        <c:ser>
          <c:idx val="0"/>
          <c:order val="0"/>
          <c:tx>
            <c:strRef>
              <c:f>Sheet1!$A$13</c:f>
              <c:strCache>
                <c:ptCount val="1"/>
                <c:pt idx="0">
                  <c:v>North East Lincs.</c:v>
                </c:pt>
              </c:strCache>
            </c:strRef>
          </c:tx>
          <c:marker>
            <c:symbol val="none"/>
          </c:marker>
          <c:cat>
            <c:numRef>
              <c:f>Sheet1!$B$12:$J$12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Sheet1!$B$13:$J$13</c:f>
              <c:numCache>
                <c:formatCode>#,##0.0</c:formatCode>
                <c:ptCount val="9"/>
                <c:pt idx="0">
                  <c:v>5.8</c:v>
                </c:pt>
                <c:pt idx="1">
                  <c:v>6.2</c:v>
                </c:pt>
                <c:pt idx="2">
                  <c:v>7.1</c:v>
                </c:pt>
                <c:pt idx="3">
                  <c:v>8.4</c:v>
                </c:pt>
                <c:pt idx="4">
                  <c:v>11.4</c:v>
                </c:pt>
                <c:pt idx="5">
                  <c:v>11.4</c:v>
                </c:pt>
                <c:pt idx="6">
                  <c:v>12.1</c:v>
                </c:pt>
                <c:pt idx="7">
                  <c:v>12.2</c:v>
                </c:pt>
                <c:pt idx="8">
                  <c:v>11</c:v>
                </c:pt>
              </c:numCache>
            </c:numRef>
          </c:val>
          <c:smooth val="0"/>
        </c:ser>
        <c:ser>
          <c:idx val="1"/>
          <c:order val="1"/>
          <c:tx>
            <c:strRef>
              <c:f>Sheet1!$A$15</c:f>
              <c:strCache>
                <c:ptCount val="1"/>
                <c:pt idx="0">
                  <c:v>Kingston upon Hull</c:v>
                </c:pt>
              </c:strCache>
            </c:strRef>
          </c:tx>
          <c:marker>
            <c:symbol val="none"/>
          </c:marker>
          <c:cat>
            <c:numRef>
              <c:f>Sheet1!$B$12:$J$12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Sheet1!$B$15:$J$15</c:f>
              <c:numCache>
                <c:formatCode>#,##0.0</c:formatCode>
                <c:ptCount val="9"/>
                <c:pt idx="0">
                  <c:v>6.6</c:v>
                </c:pt>
                <c:pt idx="1">
                  <c:v>8</c:v>
                </c:pt>
                <c:pt idx="2">
                  <c:v>9</c:v>
                </c:pt>
                <c:pt idx="3">
                  <c:v>8.9</c:v>
                </c:pt>
                <c:pt idx="4">
                  <c:v>15.3</c:v>
                </c:pt>
                <c:pt idx="5">
                  <c:v>13.2</c:v>
                </c:pt>
                <c:pt idx="6">
                  <c:v>14.3</c:v>
                </c:pt>
                <c:pt idx="7">
                  <c:v>16.100000000000001</c:v>
                </c:pt>
                <c:pt idx="8">
                  <c:v>14.2</c:v>
                </c:pt>
              </c:numCache>
            </c:numRef>
          </c:val>
          <c:smooth val="0"/>
        </c:ser>
        <c:ser>
          <c:idx val="2"/>
          <c:order val="2"/>
          <c:tx>
            <c:strRef>
              <c:f>Sheet1!$A$16</c:f>
              <c:strCache>
                <c:ptCount val="1"/>
                <c:pt idx="0">
                  <c:v>North Lincs.</c:v>
                </c:pt>
              </c:strCache>
            </c:strRef>
          </c:tx>
          <c:marker>
            <c:symbol val="none"/>
          </c:marker>
          <c:cat>
            <c:numRef>
              <c:f>Sheet1!$B$12:$J$12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Sheet1!$B$16:$J$16</c:f>
              <c:numCache>
                <c:formatCode>#,##0.0</c:formatCode>
                <c:ptCount val="9"/>
                <c:pt idx="0">
                  <c:v>4.4000000000000004</c:v>
                </c:pt>
                <c:pt idx="1">
                  <c:v>5.7</c:v>
                </c:pt>
                <c:pt idx="2">
                  <c:v>5.5</c:v>
                </c:pt>
                <c:pt idx="3">
                  <c:v>6</c:v>
                </c:pt>
                <c:pt idx="4">
                  <c:v>9</c:v>
                </c:pt>
                <c:pt idx="5">
                  <c:v>7.3</c:v>
                </c:pt>
                <c:pt idx="6">
                  <c:v>6.2</c:v>
                </c:pt>
                <c:pt idx="7">
                  <c:v>7.9</c:v>
                </c:pt>
                <c:pt idx="8">
                  <c:v>6.2</c:v>
                </c:pt>
              </c:numCache>
            </c:numRef>
          </c:val>
          <c:smooth val="0"/>
        </c:ser>
        <c:ser>
          <c:idx val="3"/>
          <c:order val="3"/>
          <c:tx>
            <c:strRef>
              <c:f>Sheet1!$A$17</c:f>
              <c:strCache>
                <c:ptCount val="1"/>
                <c:pt idx="0">
                  <c:v>UK</c:v>
                </c:pt>
              </c:strCache>
            </c:strRef>
          </c:tx>
          <c:spPr>
            <a:ln>
              <a:solidFill>
                <a:srgbClr val="830051"/>
              </a:solidFill>
            </a:ln>
          </c:spPr>
          <c:marker>
            <c:symbol val="none"/>
          </c:marker>
          <c:cat>
            <c:numRef>
              <c:f>Sheet1!$B$12:$J$12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Sheet1!$B$17:$J$17</c:f>
              <c:numCache>
                <c:formatCode>#,##0.0</c:formatCode>
                <c:ptCount val="9"/>
                <c:pt idx="0">
                  <c:v>5</c:v>
                </c:pt>
                <c:pt idx="1">
                  <c:v>5.4</c:v>
                </c:pt>
                <c:pt idx="2">
                  <c:v>5.3</c:v>
                </c:pt>
                <c:pt idx="3">
                  <c:v>5.8</c:v>
                </c:pt>
                <c:pt idx="4">
                  <c:v>7.8</c:v>
                </c:pt>
                <c:pt idx="5">
                  <c:v>7.8</c:v>
                </c:pt>
                <c:pt idx="6">
                  <c:v>8.1</c:v>
                </c:pt>
                <c:pt idx="7">
                  <c:v>8</c:v>
                </c:pt>
                <c:pt idx="8">
                  <c:v>7.7</c:v>
                </c:pt>
              </c:numCache>
            </c:numRef>
          </c:val>
          <c:smooth val="0"/>
        </c:ser>
        <c:dLbls>
          <c:showLegendKey val="0"/>
          <c:showVal val="0"/>
          <c:showCatName val="0"/>
          <c:showSerName val="0"/>
          <c:showPercent val="0"/>
          <c:showBubbleSize val="0"/>
        </c:dLbls>
        <c:marker val="1"/>
        <c:smooth val="0"/>
        <c:axId val="58479360"/>
        <c:axId val="58480896"/>
      </c:lineChart>
      <c:catAx>
        <c:axId val="58479360"/>
        <c:scaling>
          <c:orientation val="minMax"/>
        </c:scaling>
        <c:delete val="0"/>
        <c:axPos val="b"/>
        <c:numFmt formatCode="General" sourceLinked="1"/>
        <c:majorTickMark val="out"/>
        <c:minorTickMark val="none"/>
        <c:tickLblPos val="nextTo"/>
        <c:crossAx val="58480896"/>
        <c:crosses val="autoZero"/>
        <c:auto val="1"/>
        <c:lblAlgn val="ctr"/>
        <c:lblOffset val="100"/>
        <c:noMultiLvlLbl val="0"/>
      </c:catAx>
      <c:valAx>
        <c:axId val="58480896"/>
        <c:scaling>
          <c:orientation val="minMax"/>
        </c:scaling>
        <c:delete val="0"/>
        <c:axPos val="l"/>
        <c:title>
          <c:tx>
            <c:rich>
              <a:bodyPr rot="-5400000" vert="horz"/>
              <a:lstStyle/>
              <a:p>
                <a:pPr>
                  <a:defRPr/>
                </a:pPr>
                <a:r>
                  <a:rPr lang="en-US"/>
                  <a:t>% aged 16-64</a:t>
                </a:r>
              </a:p>
            </c:rich>
          </c:tx>
          <c:overlay val="0"/>
        </c:title>
        <c:numFmt formatCode="#,##0.0" sourceLinked="1"/>
        <c:majorTickMark val="out"/>
        <c:minorTickMark val="none"/>
        <c:tickLblPos val="nextTo"/>
        <c:crossAx val="58479360"/>
        <c:crosses val="autoZero"/>
        <c:crossBetween val="between"/>
      </c:valAx>
    </c:plotArea>
    <c:legend>
      <c:legendPos val="r"/>
      <c:layout>
        <c:manualLayout>
          <c:xMode val="edge"/>
          <c:yMode val="edge"/>
          <c:x val="0.45095188646590517"/>
          <c:y val="0.66998897355065978"/>
          <c:w val="0.53520249221183802"/>
          <c:h val="0.16271505110335191"/>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93131266747185"/>
          <c:y val="5.0023826127382612E-2"/>
          <c:w val="0.87652893629345341"/>
          <c:h val="0.87972803347280792"/>
        </c:manualLayout>
      </c:layout>
      <c:lineChart>
        <c:grouping val="standard"/>
        <c:varyColors val="0"/>
        <c:ser>
          <c:idx val="0"/>
          <c:order val="0"/>
          <c:tx>
            <c:strRef>
              <c:f>Sheet1!$A$8</c:f>
              <c:strCache>
                <c:ptCount val="1"/>
                <c:pt idx="0">
                  <c:v>North and North East Lincs. </c:v>
                </c:pt>
              </c:strCache>
            </c:strRef>
          </c:tx>
          <c:marker>
            <c:symbol val="none"/>
          </c:marker>
          <c:cat>
            <c:strRef>
              <c:f>Sheet1!$B$7:$Q$7</c:f>
              <c:strCach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strCache>
            </c:strRef>
          </c:cat>
          <c:val>
            <c:numRef>
              <c:f>Sheet1!$B$8:$Q$8</c:f>
              <c:numCache>
                <c:formatCode>#,##0</c:formatCode>
                <c:ptCount val="16"/>
                <c:pt idx="0">
                  <c:v>12760</c:v>
                </c:pt>
                <c:pt idx="1">
                  <c:v>13200</c:v>
                </c:pt>
                <c:pt idx="2">
                  <c:v>12264</c:v>
                </c:pt>
                <c:pt idx="3">
                  <c:v>11923</c:v>
                </c:pt>
                <c:pt idx="4">
                  <c:v>12436</c:v>
                </c:pt>
                <c:pt idx="5">
                  <c:v>13540</c:v>
                </c:pt>
                <c:pt idx="6">
                  <c:v>14315</c:v>
                </c:pt>
                <c:pt idx="7">
                  <c:v>15047</c:v>
                </c:pt>
                <c:pt idx="8">
                  <c:v>16061</c:v>
                </c:pt>
                <c:pt idx="9">
                  <c:v>16654</c:v>
                </c:pt>
                <c:pt idx="10">
                  <c:v>18938</c:v>
                </c:pt>
                <c:pt idx="11">
                  <c:v>18566</c:v>
                </c:pt>
                <c:pt idx="12">
                  <c:v>18283</c:v>
                </c:pt>
                <c:pt idx="13">
                  <c:v>18131</c:v>
                </c:pt>
                <c:pt idx="14">
                  <c:v>17841</c:v>
                </c:pt>
                <c:pt idx="15">
                  <c:v>18237</c:v>
                </c:pt>
              </c:numCache>
            </c:numRef>
          </c:val>
          <c:smooth val="0"/>
        </c:ser>
        <c:ser>
          <c:idx val="1"/>
          <c:order val="1"/>
          <c:tx>
            <c:strRef>
              <c:f>Sheet1!$A$9</c:f>
              <c:strCache>
                <c:ptCount val="1"/>
                <c:pt idx="0">
                  <c:v>Kingston upon Hull</c:v>
                </c:pt>
              </c:strCache>
            </c:strRef>
          </c:tx>
          <c:marker>
            <c:symbol val="none"/>
          </c:marker>
          <c:cat>
            <c:strRef>
              <c:f>Sheet1!$B$7:$Q$7</c:f>
              <c:strCach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strCache>
            </c:strRef>
          </c:cat>
          <c:val>
            <c:numRef>
              <c:f>Sheet1!$B$9:$Q$9</c:f>
              <c:numCache>
                <c:formatCode>#,##0</c:formatCode>
                <c:ptCount val="16"/>
                <c:pt idx="0">
                  <c:v>10414</c:v>
                </c:pt>
                <c:pt idx="1">
                  <c:v>10507</c:v>
                </c:pt>
                <c:pt idx="2">
                  <c:v>10485</c:v>
                </c:pt>
                <c:pt idx="3">
                  <c:v>11942</c:v>
                </c:pt>
                <c:pt idx="4">
                  <c:v>12012</c:v>
                </c:pt>
                <c:pt idx="5">
                  <c:v>12947</c:v>
                </c:pt>
                <c:pt idx="6">
                  <c:v>14420</c:v>
                </c:pt>
                <c:pt idx="7">
                  <c:v>15237</c:v>
                </c:pt>
                <c:pt idx="8">
                  <c:v>15370</c:v>
                </c:pt>
                <c:pt idx="9">
                  <c:v>16231</c:v>
                </c:pt>
                <c:pt idx="10">
                  <c:v>17685</c:v>
                </c:pt>
                <c:pt idx="11">
                  <c:v>17144</c:v>
                </c:pt>
                <c:pt idx="12">
                  <c:v>16934</c:v>
                </c:pt>
                <c:pt idx="13">
                  <c:v>17103</c:v>
                </c:pt>
                <c:pt idx="14">
                  <c:v>17305</c:v>
                </c:pt>
                <c:pt idx="15">
                  <c:v>18045</c:v>
                </c:pt>
              </c:numCache>
            </c:numRef>
          </c:val>
          <c:smooth val="0"/>
        </c:ser>
        <c:ser>
          <c:idx val="2"/>
          <c:order val="2"/>
          <c:tx>
            <c:strRef>
              <c:f>Sheet1!$A$10</c:f>
              <c:strCache>
                <c:ptCount val="1"/>
                <c:pt idx="0">
                  <c:v>East Riding of Yorks. </c:v>
                </c:pt>
              </c:strCache>
            </c:strRef>
          </c:tx>
          <c:marker>
            <c:symbol val="none"/>
          </c:marker>
          <c:cat>
            <c:strRef>
              <c:f>Sheet1!$B$7:$Q$7</c:f>
              <c:strCach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strCache>
            </c:strRef>
          </c:cat>
          <c:val>
            <c:numRef>
              <c:f>Sheet1!$B$10:$Q$10</c:f>
              <c:numCache>
                <c:formatCode>#,##0</c:formatCode>
                <c:ptCount val="16"/>
                <c:pt idx="0">
                  <c:v>9500</c:v>
                </c:pt>
                <c:pt idx="1">
                  <c:v>9716</c:v>
                </c:pt>
                <c:pt idx="2">
                  <c:v>9159</c:v>
                </c:pt>
                <c:pt idx="3">
                  <c:v>9571</c:v>
                </c:pt>
                <c:pt idx="4">
                  <c:v>10389</c:v>
                </c:pt>
                <c:pt idx="5">
                  <c:v>11326</c:v>
                </c:pt>
                <c:pt idx="6">
                  <c:v>12027</c:v>
                </c:pt>
                <c:pt idx="7">
                  <c:v>12933</c:v>
                </c:pt>
                <c:pt idx="8">
                  <c:v>12821</c:v>
                </c:pt>
                <c:pt idx="9">
                  <c:v>13559</c:v>
                </c:pt>
                <c:pt idx="10">
                  <c:v>14115</c:v>
                </c:pt>
                <c:pt idx="11">
                  <c:v>14217</c:v>
                </c:pt>
                <c:pt idx="12">
                  <c:v>14510</c:v>
                </c:pt>
                <c:pt idx="13">
                  <c:v>14816</c:v>
                </c:pt>
                <c:pt idx="14">
                  <c:v>14228</c:v>
                </c:pt>
                <c:pt idx="15">
                  <c:v>13633</c:v>
                </c:pt>
              </c:numCache>
            </c:numRef>
          </c:val>
          <c:smooth val="0"/>
        </c:ser>
        <c:ser>
          <c:idx val="3"/>
          <c:order val="3"/>
          <c:tx>
            <c:strRef>
              <c:f>Sheet1!$A$11</c:f>
              <c:strCache>
                <c:ptCount val="1"/>
                <c:pt idx="0">
                  <c:v>Yorkshire &amp; Humber</c:v>
                </c:pt>
              </c:strCache>
            </c:strRef>
          </c:tx>
          <c:marker>
            <c:symbol val="none"/>
          </c:marker>
          <c:cat>
            <c:strRef>
              <c:f>Sheet1!$B$7:$Q$7</c:f>
              <c:strCach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strCache>
            </c:strRef>
          </c:cat>
          <c:val>
            <c:numRef>
              <c:f>Sheet1!$B$11:$Q$11</c:f>
              <c:numCache>
                <c:formatCode>#,##0</c:formatCode>
                <c:ptCount val="16"/>
                <c:pt idx="0">
                  <c:v>10814</c:v>
                </c:pt>
                <c:pt idx="1">
                  <c:v>11372</c:v>
                </c:pt>
                <c:pt idx="2">
                  <c:v>11658</c:v>
                </c:pt>
                <c:pt idx="3">
                  <c:v>11946</c:v>
                </c:pt>
                <c:pt idx="4">
                  <c:v>12457</c:v>
                </c:pt>
                <c:pt idx="5">
                  <c:v>13420</c:v>
                </c:pt>
                <c:pt idx="6">
                  <c:v>14333</c:v>
                </c:pt>
                <c:pt idx="7">
                  <c:v>15236</c:v>
                </c:pt>
                <c:pt idx="8">
                  <c:v>15662</c:v>
                </c:pt>
                <c:pt idx="9">
                  <c:v>16437</c:v>
                </c:pt>
                <c:pt idx="10">
                  <c:v>17617</c:v>
                </c:pt>
                <c:pt idx="11">
                  <c:v>17482</c:v>
                </c:pt>
                <c:pt idx="12">
                  <c:v>17100</c:v>
                </c:pt>
                <c:pt idx="13">
                  <c:v>17318</c:v>
                </c:pt>
                <c:pt idx="14">
                  <c:v>17484</c:v>
                </c:pt>
                <c:pt idx="15">
                  <c:v>17556</c:v>
                </c:pt>
              </c:numCache>
            </c:numRef>
          </c:val>
          <c:smooth val="0"/>
        </c:ser>
        <c:ser>
          <c:idx val="4"/>
          <c:order val="4"/>
          <c:tx>
            <c:strRef>
              <c:f>Sheet1!$A$12</c:f>
              <c:strCache>
                <c:ptCount val="1"/>
                <c:pt idx="0">
                  <c:v>UK</c:v>
                </c:pt>
              </c:strCache>
            </c:strRef>
          </c:tx>
          <c:marker>
            <c:symbol val="none"/>
          </c:marker>
          <c:cat>
            <c:strRef>
              <c:f>Sheet1!$B$7:$Q$7</c:f>
              <c:strCach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strCache>
            </c:strRef>
          </c:cat>
          <c:val>
            <c:numRef>
              <c:f>Sheet1!$B$12:$Q$12</c:f>
              <c:numCache>
                <c:formatCode>#,##0</c:formatCode>
                <c:ptCount val="16"/>
                <c:pt idx="0">
                  <c:v>12930</c:v>
                </c:pt>
                <c:pt idx="1">
                  <c:v>13582</c:v>
                </c:pt>
                <c:pt idx="2">
                  <c:v>14179</c:v>
                </c:pt>
                <c:pt idx="3">
                  <c:v>14855</c:v>
                </c:pt>
                <c:pt idx="4">
                  <c:v>15524</c:v>
                </c:pt>
                <c:pt idx="5">
                  <c:v>16227</c:v>
                </c:pt>
                <c:pt idx="6">
                  <c:v>17175</c:v>
                </c:pt>
                <c:pt idx="7">
                  <c:v>18032</c:v>
                </c:pt>
                <c:pt idx="8">
                  <c:v>18858</c:v>
                </c:pt>
                <c:pt idx="9">
                  <c:v>19808</c:v>
                </c:pt>
                <c:pt idx="10">
                  <c:v>20791</c:v>
                </c:pt>
                <c:pt idx="11">
                  <c:v>21223</c:v>
                </c:pt>
                <c:pt idx="12">
                  <c:v>20563</c:v>
                </c:pt>
                <c:pt idx="13">
                  <c:v>21159</c:v>
                </c:pt>
                <c:pt idx="14">
                  <c:v>21505</c:v>
                </c:pt>
                <c:pt idx="15">
                  <c:v>21674</c:v>
                </c:pt>
              </c:numCache>
            </c:numRef>
          </c:val>
          <c:smooth val="0"/>
        </c:ser>
        <c:dLbls>
          <c:showLegendKey val="0"/>
          <c:showVal val="0"/>
          <c:showCatName val="0"/>
          <c:showSerName val="0"/>
          <c:showPercent val="0"/>
          <c:showBubbleSize val="0"/>
        </c:dLbls>
        <c:marker val="1"/>
        <c:smooth val="0"/>
        <c:axId val="58496512"/>
        <c:axId val="58498048"/>
      </c:lineChart>
      <c:catAx>
        <c:axId val="58496512"/>
        <c:scaling>
          <c:orientation val="minMax"/>
        </c:scaling>
        <c:delete val="0"/>
        <c:axPos val="b"/>
        <c:numFmt formatCode="General" sourceLinked="0"/>
        <c:majorTickMark val="out"/>
        <c:minorTickMark val="none"/>
        <c:tickLblPos val="nextTo"/>
        <c:crossAx val="58498048"/>
        <c:crosses val="autoZero"/>
        <c:auto val="1"/>
        <c:lblAlgn val="ctr"/>
        <c:lblOffset val="100"/>
        <c:noMultiLvlLbl val="0"/>
      </c:catAx>
      <c:valAx>
        <c:axId val="58498048"/>
        <c:scaling>
          <c:orientation val="minMax"/>
        </c:scaling>
        <c:delete val="0"/>
        <c:axPos val="l"/>
        <c:majorGridlines>
          <c:spPr>
            <a:ln>
              <a:noFill/>
            </a:ln>
          </c:spPr>
        </c:majorGridlines>
        <c:title>
          <c:tx>
            <c:rich>
              <a:bodyPr rot="-5400000" vert="horz"/>
              <a:lstStyle/>
              <a:p>
                <a:pPr>
                  <a:defRPr/>
                </a:pPr>
                <a:r>
                  <a:rPr lang="en-GB"/>
                  <a:t>£ </a:t>
                </a:r>
              </a:p>
            </c:rich>
          </c:tx>
          <c:overlay val="0"/>
        </c:title>
        <c:numFmt formatCode="#,##0" sourceLinked="1"/>
        <c:majorTickMark val="out"/>
        <c:minorTickMark val="none"/>
        <c:tickLblPos val="nextTo"/>
        <c:crossAx val="58496512"/>
        <c:crosses val="autoZero"/>
        <c:crossBetween val="between"/>
      </c:valAx>
    </c:plotArea>
    <c:legend>
      <c:legendPos val="r"/>
      <c:layout>
        <c:manualLayout>
          <c:xMode val="edge"/>
          <c:yMode val="edge"/>
          <c:x val="0.60225251787364398"/>
          <c:y val="0.52111750348674957"/>
          <c:w val="0.33687502237313832"/>
          <c:h val="0.37592486052998836"/>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752606172984911E-2"/>
          <c:y val="3.6871534402909703E-2"/>
          <c:w val="0.90124739382701458"/>
          <c:h val="0.87188089543414815"/>
        </c:manualLayout>
      </c:layout>
      <c:lineChart>
        <c:grouping val="standard"/>
        <c:varyColors val="0"/>
        <c:ser>
          <c:idx val="0"/>
          <c:order val="0"/>
          <c:tx>
            <c:strRef>
              <c:f>'Data (2)'!$A$9</c:f>
              <c:strCache>
                <c:ptCount val="1"/>
                <c:pt idx="0">
                  <c:v>Kingston upon Hull, City of</c:v>
                </c:pt>
              </c:strCache>
            </c:strRef>
          </c:tx>
          <c:marker>
            <c:symbol val="none"/>
          </c:marker>
          <c:cat>
            <c:numRef>
              <c:f>'Data (2)'!$B$8:$F$8</c:f>
              <c:numCache>
                <c:formatCode>General</c:formatCode>
                <c:ptCount val="5"/>
                <c:pt idx="0">
                  <c:v>2009</c:v>
                </c:pt>
                <c:pt idx="1">
                  <c:v>2010</c:v>
                </c:pt>
                <c:pt idx="2">
                  <c:v>2011</c:v>
                </c:pt>
                <c:pt idx="3">
                  <c:v>2012</c:v>
                </c:pt>
                <c:pt idx="4">
                  <c:v>2013</c:v>
                </c:pt>
              </c:numCache>
            </c:numRef>
          </c:cat>
          <c:val>
            <c:numRef>
              <c:f>'Data (2)'!$B$9:$F$9</c:f>
              <c:numCache>
                <c:formatCode>0.0%</c:formatCode>
                <c:ptCount val="5"/>
                <c:pt idx="0">
                  <c:v>0.19800000000000001</c:v>
                </c:pt>
                <c:pt idx="1">
                  <c:v>0.2</c:v>
                </c:pt>
                <c:pt idx="2">
                  <c:v>0.21700000000000039</c:v>
                </c:pt>
                <c:pt idx="3">
                  <c:v>0.22900000000000001</c:v>
                </c:pt>
                <c:pt idx="4">
                  <c:v>0.223</c:v>
                </c:pt>
              </c:numCache>
            </c:numRef>
          </c:val>
          <c:smooth val="0"/>
        </c:ser>
        <c:ser>
          <c:idx val="1"/>
          <c:order val="1"/>
          <c:tx>
            <c:strRef>
              <c:f>'Data (2)'!$A$10</c:f>
              <c:strCache>
                <c:ptCount val="1"/>
                <c:pt idx="0">
                  <c:v>North East Lincolnshire</c:v>
                </c:pt>
              </c:strCache>
            </c:strRef>
          </c:tx>
          <c:spPr>
            <a:ln>
              <a:solidFill>
                <a:schemeClr val="accent5"/>
              </a:solidFill>
            </a:ln>
          </c:spPr>
          <c:marker>
            <c:symbol val="none"/>
          </c:marker>
          <c:cat>
            <c:numRef>
              <c:f>'Data (2)'!$B$8:$F$8</c:f>
              <c:numCache>
                <c:formatCode>General</c:formatCode>
                <c:ptCount val="5"/>
                <c:pt idx="0">
                  <c:v>2009</c:v>
                </c:pt>
                <c:pt idx="1">
                  <c:v>2010</c:v>
                </c:pt>
                <c:pt idx="2">
                  <c:v>2011</c:v>
                </c:pt>
                <c:pt idx="3">
                  <c:v>2012</c:v>
                </c:pt>
                <c:pt idx="4">
                  <c:v>2013</c:v>
                </c:pt>
              </c:numCache>
            </c:numRef>
          </c:cat>
          <c:val>
            <c:numRef>
              <c:f>'Data (2)'!$B$10:$F$10</c:f>
              <c:numCache>
                <c:formatCode>0.0%</c:formatCode>
                <c:ptCount val="5"/>
                <c:pt idx="0">
                  <c:v>0.17300000000000001</c:v>
                </c:pt>
                <c:pt idx="1">
                  <c:v>0.18500000000000039</c:v>
                </c:pt>
                <c:pt idx="2">
                  <c:v>0.18900000000000042</c:v>
                </c:pt>
                <c:pt idx="3">
                  <c:v>0.20200000000000001</c:v>
                </c:pt>
                <c:pt idx="4">
                  <c:v>0.19900000000000001</c:v>
                </c:pt>
              </c:numCache>
            </c:numRef>
          </c:val>
          <c:smooth val="0"/>
        </c:ser>
        <c:ser>
          <c:idx val="2"/>
          <c:order val="2"/>
          <c:tx>
            <c:strRef>
              <c:f>'Data (2)'!$A$11</c:f>
              <c:strCache>
                <c:ptCount val="1"/>
                <c:pt idx="0">
                  <c:v>North Lincolnshire</c:v>
                </c:pt>
              </c:strCache>
            </c:strRef>
          </c:tx>
          <c:marker>
            <c:symbol val="none"/>
          </c:marker>
          <c:cat>
            <c:numRef>
              <c:f>'Data (2)'!$B$8:$F$8</c:f>
              <c:numCache>
                <c:formatCode>General</c:formatCode>
                <c:ptCount val="5"/>
                <c:pt idx="0">
                  <c:v>2009</c:v>
                </c:pt>
                <c:pt idx="1">
                  <c:v>2010</c:v>
                </c:pt>
                <c:pt idx="2">
                  <c:v>2011</c:v>
                </c:pt>
                <c:pt idx="3">
                  <c:v>2012</c:v>
                </c:pt>
                <c:pt idx="4">
                  <c:v>2013</c:v>
                </c:pt>
              </c:numCache>
            </c:numRef>
          </c:cat>
          <c:val>
            <c:numRef>
              <c:f>'Data (2)'!$B$11:$F$11</c:f>
              <c:numCache>
                <c:formatCode>0.0%</c:formatCode>
                <c:ptCount val="5"/>
                <c:pt idx="0">
                  <c:v>0.22700000000000001</c:v>
                </c:pt>
                <c:pt idx="1">
                  <c:v>0.24300000000000024</c:v>
                </c:pt>
                <c:pt idx="2">
                  <c:v>0.21100000000000024</c:v>
                </c:pt>
                <c:pt idx="3">
                  <c:v>0.24200000000000021</c:v>
                </c:pt>
                <c:pt idx="4">
                  <c:v>0.23500000000000001</c:v>
                </c:pt>
              </c:numCache>
            </c:numRef>
          </c:val>
          <c:smooth val="0"/>
        </c:ser>
        <c:ser>
          <c:idx val="3"/>
          <c:order val="3"/>
          <c:tx>
            <c:strRef>
              <c:f>'Data (2)'!$A$12</c:f>
              <c:strCache>
                <c:ptCount val="1"/>
                <c:pt idx="0">
                  <c:v>England</c:v>
                </c:pt>
              </c:strCache>
            </c:strRef>
          </c:tx>
          <c:marker>
            <c:symbol val="none"/>
          </c:marker>
          <c:cat>
            <c:numRef>
              <c:f>'Data (2)'!$B$8:$F$8</c:f>
              <c:numCache>
                <c:formatCode>General</c:formatCode>
                <c:ptCount val="5"/>
                <c:pt idx="0">
                  <c:v>2009</c:v>
                </c:pt>
                <c:pt idx="1">
                  <c:v>2010</c:v>
                </c:pt>
                <c:pt idx="2">
                  <c:v>2011</c:v>
                </c:pt>
                <c:pt idx="3">
                  <c:v>2012</c:v>
                </c:pt>
                <c:pt idx="4">
                  <c:v>2013</c:v>
                </c:pt>
              </c:numCache>
            </c:numRef>
          </c:cat>
          <c:val>
            <c:numRef>
              <c:f>'Data (2)'!$B$12:$F$12</c:f>
              <c:numCache>
                <c:formatCode>0.0%</c:formatCode>
                <c:ptCount val="5"/>
                <c:pt idx="0">
                  <c:v>0.29600000000000032</c:v>
                </c:pt>
                <c:pt idx="1">
                  <c:v>0.31100000000000078</c:v>
                </c:pt>
                <c:pt idx="2">
                  <c:v>0.3270000000000009</c:v>
                </c:pt>
                <c:pt idx="3">
                  <c:v>0.34200000000000008</c:v>
                </c:pt>
                <c:pt idx="4">
                  <c:v>0.35000000000000031</c:v>
                </c:pt>
              </c:numCache>
            </c:numRef>
          </c:val>
          <c:smooth val="0"/>
        </c:ser>
        <c:dLbls>
          <c:showLegendKey val="0"/>
          <c:showVal val="0"/>
          <c:showCatName val="0"/>
          <c:showSerName val="0"/>
          <c:showPercent val="0"/>
          <c:showBubbleSize val="0"/>
        </c:dLbls>
        <c:marker val="1"/>
        <c:smooth val="0"/>
        <c:axId val="58668928"/>
        <c:axId val="58670464"/>
      </c:lineChart>
      <c:catAx>
        <c:axId val="58668928"/>
        <c:scaling>
          <c:orientation val="minMax"/>
        </c:scaling>
        <c:delete val="0"/>
        <c:axPos val="b"/>
        <c:numFmt formatCode="General" sourceLinked="1"/>
        <c:majorTickMark val="out"/>
        <c:minorTickMark val="none"/>
        <c:tickLblPos val="nextTo"/>
        <c:crossAx val="58670464"/>
        <c:crosses val="autoZero"/>
        <c:auto val="1"/>
        <c:lblAlgn val="ctr"/>
        <c:lblOffset val="100"/>
        <c:noMultiLvlLbl val="0"/>
      </c:catAx>
      <c:valAx>
        <c:axId val="58670464"/>
        <c:scaling>
          <c:orientation val="minMax"/>
        </c:scaling>
        <c:delete val="0"/>
        <c:axPos val="l"/>
        <c:title>
          <c:tx>
            <c:rich>
              <a:bodyPr rot="-5400000" vert="horz"/>
              <a:lstStyle/>
              <a:p>
                <a:pPr>
                  <a:defRPr/>
                </a:pPr>
                <a:r>
                  <a:rPr lang="en-GB"/>
                  <a:t>% of Working Age Population</a:t>
                </a:r>
              </a:p>
            </c:rich>
          </c:tx>
          <c:overlay val="0"/>
        </c:title>
        <c:numFmt formatCode="0%" sourceLinked="0"/>
        <c:majorTickMark val="out"/>
        <c:minorTickMark val="none"/>
        <c:tickLblPos val="nextTo"/>
        <c:crossAx val="58668928"/>
        <c:crosses val="autoZero"/>
        <c:crossBetween val="between"/>
      </c:valAx>
    </c:plotArea>
    <c:legend>
      <c:legendPos val="r"/>
      <c:layout>
        <c:manualLayout>
          <c:xMode val="edge"/>
          <c:yMode val="edge"/>
          <c:x val="0.4677389953121544"/>
          <c:y val="0.54930208809222802"/>
          <c:w val="0.39074635571051131"/>
          <c:h val="0.30640115378069238"/>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014084363727644E-2"/>
          <c:y val="2.8252405949256338E-2"/>
          <c:w val="0.9035536705151338"/>
          <c:h val="0.87891586468358607"/>
        </c:manualLayout>
      </c:layout>
      <c:lineChart>
        <c:grouping val="standard"/>
        <c:varyColors val="0"/>
        <c:ser>
          <c:idx val="0"/>
          <c:order val="0"/>
          <c:tx>
            <c:strRef>
              <c:f>'Data (2)'!$A$30</c:f>
              <c:strCache>
                <c:ptCount val="1"/>
                <c:pt idx="0">
                  <c:v>Kingston upon Hull, City of</c:v>
                </c:pt>
              </c:strCache>
            </c:strRef>
          </c:tx>
          <c:marker>
            <c:symbol val="none"/>
          </c:marker>
          <c:cat>
            <c:numRef>
              <c:f>'Data (2)'!$B$29:$F$29</c:f>
              <c:numCache>
                <c:formatCode>General</c:formatCode>
                <c:ptCount val="5"/>
                <c:pt idx="0">
                  <c:v>2009</c:v>
                </c:pt>
                <c:pt idx="1">
                  <c:v>2010</c:v>
                </c:pt>
                <c:pt idx="2">
                  <c:v>2011</c:v>
                </c:pt>
                <c:pt idx="3">
                  <c:v>2012</c:v>
                </c:pt>
                <c:pt idx="4">
                  <c:v>2013</c:v>
                </c:pt>
              </c:numCache>
            </c:numRef>
          </c:cat>
          <c:val>
            <c:numRef>
              <c:f>'Data (2)'!$B$30:$F$30</c:f>
              <c:numCache>
                <c:formatCode>0.0%</c:formatCode>
                <c:ptCount val="5"/>
                <c:pt idx="0">
                  <c:v>0.18200000000000024</c:v>
                </c:pt>
                <c:pt idx="1">
                  <c:v>0.17500000000000004</c:v>
                </c:pt>
                <c:pt idx="2">
                  <c:v>0.14900000000000024</c:v>
                </c:pt>
                <c:pt idx="3">
                  <c:v>0.16200000000000001</c:v>
                </c:pt>
                <c:pt idx="4">
                  <c:v>0.13700000000000001</c:v>
                </c:pt>
              </c:numCache>
            </c:numRef>
          </c:val>
          <c:smooth val="0"/>
        </c:ser>
        <c:ser>
          <c:idx val="1"/>
          <c:order val="1"/>
          <c:tx>
            <c:strRef>
              <c:f>'Data (2)'!$A$31</c:f>
              <c:strCache>
                <c:ptCount val="1"/>
                <c:pt idx="0">
                  <c:v>North East Lincolnshire</c:v>
                </c:pt>
              </c:strCache>
            </c:strRef>
          </c:tx>
          <c:spPr>
            <a:ln>
              <a:solidFill>
                <a:schemeClr val="accent5"/>
              </a:solidFill>
            </a:ln>
          </c:spPr>
          <c:marker>
            <c:symbol val="none"/>
          </c:marker>
          <c:cat>
            <c:numRef>
              <c:f>'Data (2)'!$B$29:$F$29</c:f>
              <c:numCache>
                <c:formatCode>General</c:formatCode>
                <c:ptCount val="5"/>
                <c:pt idx="0">
                  <c:v>2009</c:v>
                </c:pt>
                <c:pt idx="1">
                  <c:v>2010</c:v>
                </c:pt>
                <c:pt idx="2">
                  <c:v>2011</c:v>
                </c:pt>
                <c:pt idx="3">
                  <c:v>2012</c:v>
                </c:pt>
                <c:pt idx="4">
                  <c:v>2013</c:v>
                </c:pt>
              </c:numCache>
            </c:numRef>
          </c:cat>
          <c:val>
            <c:numRef>
              <c:f>'Data (2)'!$B$31:$F$31</c:f>
              <c:numCache>
                <c:formatCode>0.0%</c:formatCode>
                <c:ptCount val="5"/>
                <c:pt idx="0">
                  <c:v>0.129</c:v>
                </c:pt>
                <c:pt idx="1">
                  <c:v>0.115</c:v>
                </c:pt>
                <c:pt idx="2">
                  <c:v>0.10700000000000012</c:v>
                </c:pt>
                <c:pt idx="3">
                  <c:v>0.113</c:v>
                </c:pt>
                <c:pt idx="4">
                  <c:v>0.10300000000000002</c:v>
                </c:pt>
              </c:numCache>
            </c:numRef>
          </c:val>
          <c:smooth val="0"/>
        </c:ser>
        <c:ser>
          <c:idx val="2"/>
          <c:order val="2"/>
          <c:tx>
            <c:strRef>
              <c:f>'Data (2)'!$A$32</c:f>
              <c:strCache>
                <c:ptCount val="1"/>
                <c:pt idx="0">
                  <c:v>North Lincolnshire</c:v>
                </c:pt>
              </c:strCache>
            </c:strRef>
          </c:tx>
          <c:marker>
            <c:symbol val="none"/>
          </c:marker>
          <c:cat>
            <c:numRef>
              <c:f>'Data (2)'!$B$29:$F$29</c:f>
              <c:numCache>
                <c:formatCode>General</c:formatCode>
                <c:ptCount val="5"/>
                <c:pt idx="0">
                  <c:v>2009</c:v>
                </c:pt>
                <c:pt idx="1">
                  <c:v>2010</c:v>
                </c:pt>
                <c:pt idx="2">
                  <c:v>2011</c:v>
                </c:pt>
                <c:pt idx="3">
                  <c:v>2012</c:v>
                </c:pt>
                <c:pt idx="4">
                  <c:v>2013</c:v>
                </c:pt>
              </c:numCache>
            </c:numRef>
          </c:cat>
          <c:val>
            <c:numRef>
              <c:f>'Data (2)'!$B$32:$F$32</c:f>
              <c:numCache>
                <c:formatCode>0.0%</c:formatCode>
                <c:ptCount val="5"/>
                <c:pt idx="0">
                  <c:v>0.10199999999999998</c:v>
                </c:pt>
                <c:pt idx="1">
                  <c:v>0.10199999999999998</c:v>
                </c:pt>
                <c:pt idx="2">
                  <c:v>9.2000000000000026E-2</c:v>
                </c:pt>
                <c:pt idx="3">
                  <c:v>8.8000000000000064E-2</c:v>
                </c:pt>
                <c:pt idx="4">
                  <c:v>8.6000000000000021E-2</c:v>
                </c:pt>
              </c:numCache>
            </c:numRef>
          </c:val>
          <c:smooth val="0"/>
        </c:ser>
        <c:ser>
          <c:idx val="3"/>
          <c:order val="3"/>
          <c:tx>
            <c:strRef>
              <c:f>'Data (2)'!$A$33</c:f>
              <c:strCache>
                <c:ptCount val="1"/>
                <c:pt idx="0">
                  <c:v>England</c:v>
                </c:pt>
              </c:strCache>
            </c:strRef>
          </c:tx>
          <c:marker>
            <c:symbol val="none"/>
          </c:marker>
          <c:cat>
            <c:numRef>
              <c:f>'Data (2)'!$B$29:$F$29</c:f>
              <c:numCache>
                <c:formatCode>General</c:formatCode>
                <c:ptCount val="5"/>
                <c:pt idx="0">
                  <c:v>2009</c:v>
                </c:pt>
                <c:pt idx="1">
                  <c:v>2010</c:v>
                </c:pt>
                <c:pt idx="2">
                  <c:v>2011</c:v>
                </c:pt>
                <c:pt idx="3">
                  <c:v>2012</c:v>
                </c:pt>
                <c:pt idx="4">
                  <c:v>2013</c:v>
                </c:pt>
              </c:numCache>
            </c:numRef>
          </c:cat>
          <c:val>
            <c:numRef>
              <c:f>'Data (2)'!$B$33:$F$33</c:f>
              <c:numCache>
                <c:formatCode>0.0%</c:formatCode>
                <c:ptCount val="5"/>
                <c:pt idx="0">
                  <c:v>0.12100000000000002</c:v>
                </c:pt>
                <c:pt idx="1">
                  <c:v>0.111</c:v>
                </c:pt>
                <c:pt idx="2">
                  <c:v>0.10400000000000002</c:v>
                </c:pt>
                <c:pt idx="3">
                  <c:v>9.5000000000000043E-2</c:v>
                </c:pt>
                <c:pt idx="4">
                  <c:v>9.1000000000000025E-2</c:v>
                </c:pt>
              </c:numCache>
            </c:numRef>
          </c:val>
          <c:smooth val="0"/>
        </c:ser>
        <c:dLbls>
          <c:showLegendKey val="0"/>
          <c:showVal val="0"/>
          <c:showCatName val="0"/>
          <c:showSerName val="0"/>
          <c:showPercent val="0"/>
          <c:showBubbleSize val="0"/>
        </c:dLbls>
        <c:marker val="1"/>
        <c:smooth val="0"/>
        <c:axId val="58685312"/>
        <c:axId val="58686848"/>
      </c:lineChart>
      <c:catAx>
        <c:axId val="58685312"/>
        <c:scaling>
          <c:orientation val="minMax"/>
        </c:scaling>
        <c:delete val="0"/>
        <c:axPos val="b"/>
        <c:numFmt formatCode="General" sourceLinked="1"/>
        <c:majorTickMark val="out"/>
        <c:minorTickMark val="none"/>
        <c:tickLblPos val="nextTo"/>
        <c:crossAx val="58686848"/>
        <c:crosses val="autoZero"/>
        <c:auto val="1"/>
        <c:lblAlgn val="ctr"/>
        <c:lblOffset val="100"/>
        <c:noMultiLvlLbl val="0"/>
      </c:catAx>
      <c:valAx>
        <c:axId val="58686848"/>
        <c:scaling>
          <c:orientation val="minMax"/>
        </c:scaling>
        <c:delete val="0"/>
        <c:axPos val="l"/>
        <c:title>
          <c:tx>
            <c:rich>
              <a:bodyPr rot="-5400000" vert="horz"/>
              <a:lstStyle/>
              <a:p>
                <a:pPr>
                  <a:defRPr/>
                </a:pPr>
                <a:r>
                  <a:rPr lang="en-GB"/>
                  <a:t>% of</a:t>
                </a:r>
                <a:r>
                  <a:rPr lang="en-GB" baseline="0"/>
                  <a:t> Working Age Population</a:t>
                </a:r>
                <a:endParaRPr lang="en-GB"/>
              </a:p>
            </c:rich>
          </c:tx>
          <c:overlay val="0"/>
        </c:title>
        <c:numFmt formatCode="0%" sourceLinked="0"/>
        <c:majorTickMark val="out"/>
        <c:minorTickMark val="none"/>
        <c:tickLblPos val="nextTo"/>
        <c:crossAx val="58685312"/>
        <c:crosses val="autoZero"/>
        <c:crossBetween val="between"/>
      </c:valAx>
    </c:plotArea>
    <c:legend>
      <c:legendPos val="r"/>
      <c:layout>
        <c:manualLayout>
          <c:xMode val="edge"/>
          <c:yMode val="edge"/>
          <c:x val="0.47079376331248662"/>
          <c:y val="0.54089895013123368"/>
          <c:w val="0.38921315578830262"/>
          <c:h val="0.33486876640420177"/>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11066665672902"/>
          <c:y val="5.816673122188195E-2"/>
          <c:w val="0.64172747547978892"/>
          <c:h val="0.84667019237454821"/>
        </c:manualLayout>
      </c:layout>
      <c:lineChart>
        <c:grouping val="standard"/>
        <c:varyColors val="0"/>
        <c:ser>
          <c:idx val="0"/>
          <c:order val="0"/>
          <c:tx>
            <c:strRef>
              <c:f>'Baseline - No Overlap'!$B$40</c:f>
              <c:strCache>
                <c:ptCount val="1"/>
                <c:pt idx="0">
                  <c:v>Ports &amp; Logistics</c:v>
                </c:pt>
              </c:strCache>
            </c:strRef>
          </c:tx>
          <c:marker>
            <c:symbol val="none"/>
          </c:marker>
          <c:cat>
            <c:numRef>
              <c:f>'Baseline - No Overlap'!$C$39:$G$39</c:f>
              <c:numCache>
                <c:formatCode>General</c:formatCode>
                <c:ptCount val="5"/>
                <c:pt idx="0">
                  <c:v>2009</c:v>
                </c:pt>
                <c:pt idx="1">
                  <c:v>2010</c:v>
                </c:pt>
                <c:pt idx="2">
                  <c:v>2011</c:v>
                </c:pt>
                <c:pt idx="3">
                  <c:v>2012</c:v>
                </c:pt>
                <c:pt idx="4">
                  <c:v>2013</c:v>
                </c:pt>
              </c:numCache>
            </c:numRef>
          </c:cat>
          <c:val>
            <c:numRef>
              <c:f>'Baseline - No Overlap'!$C$40:$G$40</c:f>
              <c:numCache>
                <c:formatCode>_-* #,##0_-;\-* #,##0_-;_-* "-"??_-;_-@_-</c:formatCode>
                <c:ptCount val="5"/>
                <c:pt idx="0">
                  <c:v>4620</c:v>
                </c:pt>
                <c:pt idx="1">
                  <c:v>4600</c:v>
                </c:pt>
                <c:pt idx="2">
                  <c:v>4740</c:v>
                </c:pt>
                <c:pt idx="3">
                  <c:v>4540</c:v>
                </c:pt>
                <c:pt idx="4">
                  <c:v>4820</c:v>
                </c:pt>
              </c:numCache>
            </c:numRef>
          </c:val>
          <c:smooth val="0"/>
        </c:ser>
        <c:ser>
          <c:idx val="1"/>
          <c:order val="1"/>
          <c:tx>
            <c:strRef>
              <c:f>'Baseline - No Overlap'!$B$41</c:f>
              <c:strCache>
                <c:ptCount val="1"/>
                <c:pt idx="0">
                  <c:v>Renewables (&amp; Energy)</c:v>
                </c:pt>
              </c:strCache>
            </c:strRef>
          </c:tx>
          <c:marker>
            <c:symbol val="none"/>
          </c:marker>
          <c:cat>
            <c:numRef>
              <c:f>'Baseline - No Overlap'!$C$39:$G$39</c:f>
              <c:numCache>
                <c:formatCode>General</c:formatCode>
                <c:ptCount val="5"/>
                <c:pt idx="0">
                  <c:v>2009</c:v>
                </c:pt>
                <c:pt idx="1">
                  <c:v>2010</c:v>
                </c:pt>
                <c:pt idx="2">
                  <c:v>2011</c:v>
                </c:pt>
                <c:pt idx="3">
                  <c:v>2012</c:v>
                </c:pt>
                <c:pt idx="4">
                  <c:v>2013</c:v>
                </c:pt>
              </c:numCache>
            </c:numRef>
          </c:cat>
          <c:val>
            <c:numRef>
              <c:f>'Baseline - No Overlap'!$C$41:$G$41</c:f>
              <c:numCache>
                <c:formatCode>_-* #,##0_-;\-* #,##0_-;_-* "-"??_-;_-@_-</c:formatCode>
                <c:ptCount val="5"/>
                <c:pt idx="0">
                  <c:v>2600</c:v>
                </c:pt>
                <c:pt idx="1">
                  <c:v>2390</c:v>
                </c:pt>
                <c:pt idx="2">
                  <c:v>2480</c:v>
                </c:pt>
                <c:pt idx="3">
                  <c:v>3430</c:v>
                </c:pt>
                <c:pt idx="4">
                  <c:v>3250</c:v>
                </c:pt>
              </c:numCache>
            </c:numRef>
          </c:val>
          <c:smooth val="0"/>
        </c:ser>
        <c:ser>
          <c:idx val="2"/>
          <c:order val="2"/>
          <c:tx>
            <c:strRef>
              <c:f>'Baseline - No Overlap'!$B$42</c:f>
              <c:strCache>
                <c:ptCount val="1"/>
                <c:pt idx="0">
                  <c:v>Chemicals &amp; Process Industries  </c:v>
                </c:pt>
              </c:strCache>
            </c:strRef>
          </c:tx>
          <c:marker>
            <c:symbol val="none"/>
          </c:marker>
          <c:cat>
            <c:numRef>
              <c:f>'Baseline - No Overlap'!$C$39:$G$39</c:f>
              <c:numCache>
                <c:formatCode>General</c:formatCode>
                <c:ptCount val="5"/>
                <c:pt idx="0">
                  <c:v>2009</c:v>
                </c:pt>
                <c:pt idx="1">
                  <c:v>2010</c:v>
                </c:pt>
                <c:pt idx="2">
                  <c:v>2011</c:v>
                </c:pt>
                <c:pt idx="3">
                  <c:v>2012</c:v>
                </c:pt>
                <c:pt idx="4">
                  <c:v>2013</c:v>
                </c:pt>
              </c:numCache>
            </c:numRef>
          </c:cat>
          <c:val>
            <c:numRef>
              <c:f>'Baseline - No Overlap'!$C$42:$G$42</c:f>
              <c:numCache>
                <c:formatCode>_-* #,##0_-;\-* #,##0_-;_-* "-"??_-;_-@_-</c:formatCode>
                <c:ptCount val="5"/>
                <c:pt idx="0">
                  <c:v>2210</c:v>
                </c:pt>
                <c:pt idx="1">
                  <c:v>2080</c:v>
                </c:pt>
                <c:pt idx="2">
                  <c:v>2100</c:v>
                </c:pt>
                <c:pt idx="3">
                  <c:v>2240</c:v>
                </c:pt>
                <c:pt idx="4">
                  <c:v>2230</c:v>
                </c:pt>
              </c:numCache>
            </c:numRef>
          </c:val>
          <c:smooth val="0"/>
        </c:ser>
        <c:ser>
          <c:idx val="3"/>
          <c:order val="3"/>
          <c:tx>
            <c:strRef>
              <c:f>'Baseline - No Overlap'!$B$43</c:f>
              <c:strCache>
                <c:ptCount val="1"/>
                <c:pt idx="0">
                  <c:v>Tourism &amp; Retail  </c:v>
                </c:pt>
              </c:strCache>
            </c:strRef>
          </c:tx>
          <c:marker>
            <c:symbol val="none"/>
          </c:marker>
          <c:cat>
            <c:numRef>
              <c:f>'Baseline - No Overlap'!$C$39:$G$39</c:f>
              <c:numCache>
                <c:formatCode>General</c:formatCode>
                <c:ptCount val="5"/>
                <c:pt idx="0">
                  <c:v>2009</c:v>
                </c:pt>
                <c:pt idx="1">
                  <c:v>2010</c:v>
                </c:pt>
                <c:pt idx="2">
                  <c:v>2011</c:v>
                </c:pt>
                <c:pt idx="3">
                  <c:v>2012</c:v>
                </c:pt>
                <c:pt idx="4">
                  <c:v>2013</c:v>
                </c:pt>
              </c:numCache>
            </c:numRef>
          </c:cat>
          <c:val>
            <c:numRef>
              <c:f>'Baseline - No Overlap'!$C$43:$G$43</c:f>
              <c:numCache>
                <c:formatCode>_-* #,##0_-;\-* #,##0_-;_-* "-"??_-;_-@_-</c:formatCode>
                <c:ptCount val="5"/>
                <c:pt idx="0">
                  <c:v>4810</c:v>
                </c:pt>
                <c:pt idx="1">
                  <c:v>4820</c:v>
                </c:pt>
                <c:pt idx="2">
                  <c:v>4590</c:v>
                </c:pt>
                <c:pt idx="3">
                  <c:v>4850</c:v>
                </c:pt>
                <c:pt idx="4">
                  <c:v>4830</c:v>
                </c:pt>
              </c:numCache>
            </c:numRef>
          </c:val>
          <c:smooth val="0"/>
        </c:ser>
        <c:ser>
          <c:idx val="4"/>
          <c:order val="4"/>
          <c:tx>
            <c:strRef>
              <c:f>'Baseline - No Overlap'!$B$44</c:f>
              <c:strCache>
                <c:ptCount val="1"/>
                <c:pt idx="0">
                  <c:v>Food Processing  </c:v>
                </c:pt>
              </c:strCache>
            </c:strRef>
          </c:tx>
          <c:marker>
            <c:symbol val="none"/>
          </c:marker>
          <c:cat>
            <c:numRef>
              <c:f>'Baseline - No Overlap'!$C$39:$G$39</c:f>
              <c:numCache>
                <c:formatCode>General</c:formatCode>
                <c:ptCount val="5"/>
                <c:pt idx="0">
                  <c:v>2009</c:v>
                </c:pt>
                <c:pt idx="1">
                  <c:v>2010</c:v>
                </c:pt>
                <c:pt idx="2">
                  <c:v>2011</c:v>
                </c:pt>
                <c:pt idx="3">
                  <c:v>2012</c:v>
                </c:pt>
                <c:pt idx="4">
                  <c:v>2013</c:v>
                </c:pt>
              </c:numCache>
            </c:numRef>
          </c:cat>
          <c:val>
            <c:numRef>
              <c:f>'Baseline - No Overlap'!$C$44:$G$44</c:f>
              <c:numCache>
                <c:formatCode>_-* #,##0_-;\-* #,##0_-;_-* "-"??_-;_-@_-</c:formatCode>
                <c:ptCount val="5"/>
                <c:pt idx="0">
                  <c:v>5830</c:v>
                </c:pt>
                <c:pt idx="1">
                  <c:v>4380</c:v>
                </c:pt>
                <c:pt idx="2">
                  <c:v>4100</c:v>
                </c:pt>
                <c:pt idx="3">
                  <c:v>4150</c:v>
                </c:pt>
                <c:pt idx="4">
                  <c:v>4100</c:v>
                </c:pt>
              </c:numCache>
            </c:numRef>
          </c:val>
          <c:smooth val="0"/>
        </c:ser>
        <c:dLbls>
          <c:showLegendKey val="0"/>
          <c:showVal val="0"/>
          <c:showCatName val="0"/>
          <c:showSerName val="0"/>
          <c:showPercent val="0"/>
          <c:showBubbleSize val="0"/>
        </c:dLbls>
        <c:marker val="1"/>
        <c:smooth val="0"/>
        <c:axId val="61209216"/>
        <c:axId val="77021568"/>
      </c:lineChart>
      <c:catAx>
        <c:axId val="61209216"/>
        <c:scaling>
          <c:orientation val="minMax"/>
        </c:scaling>
        <c:delete val="0"/>
        <c:axPos val="b"/>
        <c:numFmt formatCode="General" sourceLinked="1"/>
        <c:majorTickMark val="out"/>
        <c:minorTickMark val="none"/>
        <c:tickLblPos val="nextTo"/>
        <c:crossAx val="77021568"/>
        <c:crosses val="autoZero"/>
        <c:auto val="1"/>
        <c:lblAlgn val="ctr"/>
        <c:lblOffset val="100"/>
        <c:noMultiLvlLbl val="0"/>
      </c:catAx>
      <c:valAx>
        <c:axId val="77021568"/>
        <c:scaling>
          <c:orientation val="minMax"/>
        </c:scaling>
        <c:delete val="0"/>
        <c:axPos val="l"/>
        <c:title>
          <c:tx>
            <c:rich>
              <a:bodyPr rot="-5400000" vert="horz"/>
              <a:lstStyle/>
              <a:p>
                <a:pPr>
                  <a:defRPr/>
                </a:pPr>
                <a:r>
                  <a:rPr lang="en-GB"/>
                  <a:t>Employees</a:t>
                </a:r>
              </a:p>
            </c:rich>
          </c:tx>
          <c:overlay val="0"/>
        </c:title>
        <c:numFmt formatCode="#,##0" sourceLinked="0"/>
        <c:majorTickMark val="out"/>
        <c:minorTickMark val="none"/>
        <c:tickLblPos val="nextTo"/>
        <c:crossAx val="61209216"/>
        <c:crosses val="autoZero"/>
        <c:crossBetween val="between"/>
      </c:valAx>
    </c:plotArea>
    <c:legend>
      <c:legendPos val="r"/>
      <c:layout>
        <c:manualLayout>
          <c:xMode val="edge"/>
          <c:yMode val="edge"/>
          <c:x val="0.68007860737475834"/>
          <c:y val="5.8937669457438007E-4"/>
          <c:w val="0.30867912168651801"/>
          <c:h val="0.99892614883452957"/>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914159768490568E-2"/>
          <c:y val="3.8154699965313912E-2"/>
          <c:w val="0.5609972070798922"/>
          <c:h val="0.55790255666532862"/>
        </c:manualLayout>
      </c:layout>
      <c:barChart>
        <c:barDir val="col"/>
        <c:grouping val="stacked"/>
        <c:varyColors val="0"/>
        <c:ser>
          <c:idx val="0"/>
          <c:order val="0"/>
          <c:tx>
            <c:strRef>
              <c:f>'A13'!$K$12</c:f>
              <c:strCache>
                <c:ptCount val="1"/>
                <c:pt idx="0">
                  <c:v>A single site organisation with no other establishments</c:v>
                </c:pt>
              </c:strCache>
            </c:strRef>
          </c:tx>
          <c:invertIfNegative val="0"/>
          <c:cat>
            <c:strRef>
              <c:f>'A13'!$L$11:$P$11</c:f>
              <c:strCache>
                <c:ptCount val="5"/>
                <c:pt idx="0">
                  <c:v>Renewables (&amp; Energy)</c:v>
                </c:pt>
                <c:pt idx="1">
                  <c:v>Ports &amp; Logistics</c:v>
                </c:pt>
                <c:pt idx="2">
                  <c:v>Food manufacturing</c:v>
                </c:pt>
                <c:pt idx="3">
                  <c:v>Chemicals &amp; process industries</c:v>
                </c:pt>
                <c:pt idx="4">
                  <c:v>Visitor economy &amp; Retail</c:v>
                </c:pt>
              </c:strCache>
            </c:strRef>
          </c:cat>
          <c:val>
            <c:numRef>
              <c:f>'A13'!$L$12:$P$12</c:f>
              <c:numCache>
                <c:formatCode>0.0%</c:formatCode>
                <c:ptCount val="5"/>
                <c:pt idx="0">
                  <c:v>0.75000000000000022</c:v>
                </c:pt>
                <c:pt idx="1">
                  <c:v>0.50724637681159412</c:v>
                </c:pt>
                <c:pt idx="2">
                  <c:v>0.84210526315789502</c:v>
                </c:pt>
                <c:pt idx="3">
                  <c:v>0.66666666666666663</c:v>
                </c:pt>
                <c:pt idx="4">
                  <c:v>0.71653543307086642</c:v>
                </c:pt>
              </c:numCache>
            </c:numRef>
          </c:val>
        </c:ser>
        <c:ser>
          <c:idx val="1"/>
          <c:order val="1"/>
          <c:tx>
            <c:strRef>
              <c:f>'A13'!$K$13</c:f>
              <c:strCache>
                <c:ptCount val="1"/>
                <c:pt idx="0">
                  <c:v>A headquarters (regional or divisional) with branches elsewhere</c:v>
                </c:pt>
              </c:strCache>
            </c:strRef>
          </c:tx>
          <c:invertIfNegative val="0"/>
          <c:cat>
            <c:strRef>
              <c:f>'A13'!$L$11:$P$11</c:f>
              <c:strCache>
                <c:ptCount val="5"/>
                <c:pt idx="0">
                  <c:v>Renewables (&amp; Energy)</c:v>
                </c:pt>
                <c:pt idx="1">
                  <c:v>Ports &amp; Logistics</c:v>
                </c:pt>
                <c:pt idx="2">
                  <c:v>Food manufacturing</c:v>
                </c:pt>
                <c:pt idx="3">
                  <c:v>Chemicals &amp; process industries</c:v>
                </c:pt>
                <c:pt idx="4">
                  <c:v>Visitor economy &amp; Retail</c:v>
                </c:pt>
              </c:strCache>
            </c:strRef>
          </c:cat>
          <c:val>
            <c:numRef>
              <c:f>'A13'!$L$13:$P$13</c:f>
              <c:numCache>
                <c:formatCode>0.0%</c:formatCode>
                <c:ptCount val="5"/>
                <c:pt idx="0">
                  <c:v>0.10000000000000003</c:v>
                </c:pt>
                <c:pt idx="1">
                  <c:v>0.1304347826086957</c:v>
                </c:pt>
                <c:pt idx="2">
                  <c:v>5.2631578947368432E-2</c:v>
                </c:pt>
                <c:pt idx="3">
                  <c:v>9.5238095238095247E-2</c:v>
                </c:pt>
                <c:pt idx="4">
                  <c:v>3.1496062992125991E-2</c:v>
                </c:pt>
              </c:numCache>
            </c:numRef>
          </c:val>
        </c:ser>
        <c:ser>
          <c:idx val="2"/>
          <c:order val="2"/>
          <c:tx>
            <c:strRef>
              <c:f>'A13'!$K$14</c:f>
              <c:strCache>
                <c:ptCount val="1"/>
                <c:pt idx="0">
                  <c:v>A branch or subsidiary or division with headquarters elsewhere</c:v>
                </c:pt>
              </c:strCache>
            </c:strRef>
          </c:tx>
          <c:invertIfNegative val="0"/>
          <c:cat>
            <c:strRef>
              <c:f>'A13'!$L$11:$P$11</c:f>
              <c:strCache>
                <c:ptCount val="5"/>
                <c:pt idx="0">
                  <c:v>Renewables (&amp; Energy)</c:v>
                </c:pt>
                <c:pt idx="1">
                  <c:v>Ports &amp; Logistics</c:v>
                </c:pt>
                <c:pt idx="2">
                  <c:v>Food manufacturing</c:v>
                </c:pt>
                <c:pt idx="3">
                  <c:v>Chemicals &amp; process industries</c:v>
                </c:pt>
                <c:pt idx="4">
                  <c:v>Visitor economy &amp; Retail</c:v>
                </c:pt>
              </c:strCache>
            </c:strRef>
          </c:cat>
          <c:val>
            <c:numRef>
              <c:f>'A13'!$L$14:$P$14</c:f>
              <c:numCache>
                <c:formatCode>0.0%</c:formatCode>
                <c:ptCount val="5"/>
                <c:pt idx="0">
                  <c:v>0.05</c:v>
                </c:pt>
                <c:pt idx="1">
                  <c:v>0.21739130434782616</c:v>
                </c:pt>
                <c:pt idx="2">
                  <c:v>0.10526315789473686</c:v>
                </c:pt>
                <c:pt idx="3">
                  <c:v>0.14285714285714293</c:v>
                </c:pt>
                <c:pt idx="4">
                  <c:v>0.15748031496062997</c:v>
                </c:pt>
              </c:numCache>
            </c:numRef>
          </c:val>
        </c:ser>
        <c:ser>
          <c:idx val="3"/>
          <c:order val="3"/>
          <c:tx>
            <c:strRef>
              <c:f>'A13'!$K$15</c:f>
              <c:strCache>
                <c:ptCount val="1"/>
                <c:pt idx="0">
                  <c:v>A multiple site organisation</c:v>
                </c:pt>
              </c:strCache>
            </c:strRef>
          </c:tx>
          <c:invertIfNegative val="0"/>
          <c:cat>
            <c:strRef>
              <c:f>'A13'!$L$11:$P$11</c:f>
              <c:strCache>
                <c:ptCount val="5"/>
                <c:pt idx="0">
                  <c:v>Renewables (&amp; Energy)</c:v>
                </c:pt>
                <c:pt idx="1">
                  <c:v>Ports &amp; Logistics</c:v>
                </c:pt>
                <c:pt idx="2">
                  <c:v>Food manufacturing</c:v>
                </c:pt>
                <c:pt idx="3">
                  <c:v>Chemicals &amp; process industries</c:v>
                </c:pt>
                <c:pt idx="4">
                  <c:v>Visitor economy &amp; Retail</c:v>
                </c:pt>
              </c:strCache>
            </c:strRef>
          </c:cat>
          <c:val>
            <c:numRef>
              <c:f>'A13'!$L$15:$P$15</c:f>
              <c:numCache>
                <c:formatCode>0.0%</c:formatCode>
                <c:ptCount val="5"/>
                <c:pt idx="0">
                  <c:v>0.10000000000000003</c:v>
                </c:pt>
                <c:pt idx="1">
                  <c:v>0.14492753623188406</c:v>
                </c:pt>
                <c:pt idx="2">
                  <c:v>0</c:v>
                </c:pt>
                <c:pt idx="3">
                  <c:v>9.5238095238095247E-2</c:v>
                </c:pt>
                <c:pt idx="4">
                  <c:v>9.4488188976377951E-2</c:v>
                </c:pt>
              </c:numCache>
            </c:numRef>
          </c:val>
        </c:ser>
        <c:dLbls>
          <c:showLegendKey val="0"/>
          <c:showVal val="0"/>
          <c:showCatName val="0"/>
          <c:showSerName val="0"/>
          <c:showPercent val="0"/>
          <c:showBubbleSize val="0"/>
        </c:dLbls>
        <c:gapWidth val="48"/>
        <c:overlap val="100"/>
        <c:axId val="77052544"/>
        <c:axId val="77062528"/>
      </c:barChart>
      <c:catAx>
        <c:axId val="77052544"/>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77062528"/>
        <c:crosses val="autoZero"/>
        <c:auto val="1"/>
        <c:lblAlgn val="ctr"/>
        <c:lblOffset val="100"/>
        <c:noMultiLvlLbl val="0"/>
      </c:catAx>
      <c:valAx>
        <c:axId val="77062528"/>
        <c:scaling>
          <c:orientation val="minMax"/>
          <c:max val="1"/>
        </c:scaling>
        <c:delete val="0"/>
        <c:axPos val="l"/>
        <c:numFmt formatCode="0%" sourceLinked="0"/>
        <c:majorTickMark val="out"/>
        <c:minorTickMark val="none"/>
        <c:tickLblPos val="nextTo"/>
        <c:crossAx val="77052544"/>
        <c:crosses val="autoZero"/>
        <c:crossBetween val="between"/>
        <c:majorUnit val="0.25"/>
      </c:valAx>
    </c:plotArea>
    <c:legend>
      <c:legendPos val="r"/>
      <c:layout>
        <c:manualLayout>
          <c:xMode val="edge"/>
          <c:yMode val="edge"/>
          <c:x val="0.67141564035264811"/>
          <c:y val="1.6547450299201853E-2"/>
          <c:w val="0.31576384682683895"/>
          <c:h val="0.74144550869746961"/>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94A58"/>
      </a:dk2>
      <a:lt2>
        <a:srgbClr val="156570"/>
      </a:lt2>
      <a:accent1>
        <a:srgbClr val="BED600"/>
      </a:accent1>
      <a:accent2>
        <a:srgbClr val="394A58"/>
      </a:accent2>
      <a:accent3>
        <a:srgbClr val="FAE700"/>
      </a:accent3>
      <a:accent4>
        <a:srgbClr val="156570"/>
      </a:accent4>
      <a:accent5>
        <a:srgbClr val="830051"/>
      </a:accent5>
      <a:accent6>
        <a:srgbClr val="E6E4DE"/>
      </a:accent6>
      <a:hlink>
        <a:srgbClr val="BED600"/>
      </a:hlink>
      <a:folHlink>
        <a:srgbClr val="BED6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57B61B58CE504E89AF038B48D626E3" ma:contentTypeVersion="0" ma:contentTypeDescription="Create a new document." ma:contentTypeScope="" ma:versionID="75077dbcbb45ae266484b62209e80b06">
  <xsd:schema xmlns:xsd="http://www.w3.org/2001/XMLSchema" xmlns:xs="http://www.w3.org/2001/XMLSchema" xmlns:p="http://schemas.microsoft.com/office/2006/metadata/properties" targetNamespace="http://schemas.microsoft.com/office/2006/metadata/properties" ma:root="true" ma:fieldsID="fb3b56a6e82d46d59efc061c79f753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9215F-84C8-4C0F-9772-C7230C1738D8}">
  <ds:schemaRefs>
    <ds:schemaRef ds:uri="http://schemas.microsoft.com/sharepoint/v3/contenttype/forms"/>
  </ds:schemaRefs>
</ds:datastoreItem>
</file>

<file path=customXml/itemProps2.xml><?xml version="1.0" encoding="utf-8"?>
<ds:datastoreItem xmlns:ds="http://schemas.openxmlformats.org/officeDocument/2006/customXml" ds:itemID="{7A002454-8CC4-4EEA-99BD-1238D2A5BECA}">
  <ds:schemaRefs>
    <ds:schemaRef ds:uri="http://purl.org/dc/dcmitype/"/>
    <ds:schemaRef ds:uri="http://schemas.microsoft.com/office/infopath/2007/PartnerControls"/>
    <ds:schemaRef ds:uri="http://schemas.microsoft.com/office/2006/metadata/properties"/>
    <ds:schemaRef ds:uri="http://www.w3.org/XML/1998/namespace"/>
    <ds:schemaRef ds:uri="http://purl.org/dc/elements/1.1/"/>
    <ds:schemaRef ds:uri="http://schemas.microsoft.com/office/2006/documentManagement/types"/>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3533A1B4-3CE5-4B9A-88F0-B0BBE6361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71B1732-D5F6-4F24-8934-09DEF85FB4BF}">
  <ds:schemaRefs>
    <ds:schemaRef ds:uri="http://schemas.microsoft.com/sharepoint/v3/contenttype/forms"/>
  </ds:schemaRefs>
</ds:datastoreItem>
</file>

<file path=customXml/itemProps5.xml><?xml version="1.0" encoding="utf-8"?>
<ds:datastoreItem xmlns:ds="http://schemas.openxmlformats.org/officeDocument/2006/customXml" ds:itemID="{19E8E904-5BBF-4558-BCC6-ACA5BF500AF6}">
  <ds:schemaRefs>
    <ds:schemaRef ds:uri="http://purl.org/dc/dcmitype/"/>
    <ds:schemaRef ds:uri="http://www.w3.org/XML/1998/namespac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6.xml><?xml version="1.0" encoding="utf-8"?>
<ds:datastoreItem xmlns:ds="http://schemas.openxmlformats.org/officeDocument/2006/customXml" ds:itemID="{316FAF34-D0A7-40FB-801D-A40C2928B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Atkins Report</Template>
  <TotalTime>0</TotalTime>
  <Pages>3</Pages>
  <Words>41260</Words>
  <Characters>235186</Characters>
  <Application>Microsoft Office Word</Application>
  <DocSecurity>4</DocSecurity>
  <Lines>1959</Lines>
  <Paragraphs>551</Paragraphs>
  <ScaleCrop>false</ScaleCrop>
  <HeadingPairs>
    <vt:vector size="2" baseType="variant">
      <vt:variant>
        <vt:lpstr>Title</vt:lpstr>
      </vt:variant>
      <vt:variant>
        <vt:i4>1</vt:i4>
      </vt:variant>
    </vt:vector>
  </HeadingPairs>
  <TitlesOfParts>
    <vt:vector size="1" baseType="lpstr">
      <vt:lpstr/>
    </vt:vector>
  </TitlesOfParts>
  <Company>Atkins Global</Company>
  <LinksUpToDate>false</LinksUpToDate>
  <CharactersWithSpaces>275895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GUES2091</dc:creator>
  <cp:lastModifiedBy>Wheeler, Diane</cp:lastModifiedBy>
  <cp:revision>2</cp:revision>
  <cp:lastPrinted>2014-07-23T07:59:00Z</cp:lastPrinted>
  <dcterms:created xsi:type="dcterms:W3CDTF">2014-08-28T10:04:00Z</dcterms:created>
  <dcterms:modified xsi:type="dcterms:W3CDTF">2014-08-28T10:04:00Z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0x0101005157B61B58CE504E89AF038B48D626E3</vt:lpwstr>
  </property>
  <property fmtid="{D5CDD505-2E9C-101B-9397-08002B2CF9AE}" pid="3" name="IsMyDocuments">
    <vt:bool>true</vt:bool>
  </property>
</Properties>
</file>