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7D" w:rsidRDefault="004E047D" w:rsidP="004E047D">
      <w:pPr>
        <w:rPr>
          <w:rFonts w:ascii="Arial" w:hAnsi="Arial" w:cs="Arial"/>
          <w:b/>
          <w:u w:val="single"/>
        </w:rPr>
      </w:pPr>
      <w:r>
        <w:rPr>
          <w:rFonts w:ascii="Arial" w:hAnsi="Arial" w:cs="Arial"/>
          <w:b/>
          <w:u w:val="single"/>
        </w:rPr>
        <w:t>Consultation Responses</w:t>
      </w:r>
    </w:p>
    <w:p w:rsidR="004E047D" w:rsidRPr="00AA42AD" w:rsidRDefault="004E047D" w:rsidP="004E047D">
      <w:pPr>
        <w:rPr>
          <w:rFonts w:ascii="Arial" w:hAnsi="Arial" w:cs="Arial"/>
          <w:b/>
        </w:rPr>
      </w:pPr>
      <w:r w:rsidRPr="00AA42AD">
        <w:rPr>
          <w:rFonts w:ascii="Arial" w:hAnsi="Arial" w:cs="Arial"/>
          <w:b/>
        </w:rPr>
        <w:t xml:space="preserve"> </w:t>
      </w:r>
    </w:p>
    <w:p w:rsidR="004E047D" w:rsidRDefault="004E047D" w:rsidP="004E047D">
      <w:pPr>
        <w:rPr>
          <w:rFonts w:ascii="Arial" w:hAnsi="Arial" w:cs="Arial"/>
        </w:rPr>
      </w:pPr>
      <w:r w:rsidRPr="00B918BE">
        <w:rPr>
          <w:rFonts w:ascii="Arial" w:hAnsi="Arial" w:cs="Arial"/>
        </w:rPr>
        <w:t xml:space="preserve">Consultation on </w:t>
      </w:r>
      <w:r>
        <w:rPr>
          <w:rFonts w:ascii="Arial" w:hAnsi="Arial" w:cs="Arial"/>
        </w:rPr>
        <w:t>the proposals for CTR changes for</w:t>
      </w:r>
      <w:r w:rsidRPr="00B918BE">
        <w:rPr>
          <w:rFonts w:ascii="Arial" w:hAnsi="Arial" w:cs="Arial"/>
        </w:rPr>
        <w:t xml:space="preserve"> 2018</w:t>
      </w:r>
      <w:r>
        <w:rPr>
          <w:rFonts w:ascii="Arial" w:hAnsi="Arial" w:cs="Arial"/>
        </w:rPr>
        <w:t>/19</w:t>
      </w:r>
      <w:r w:rsidRPr="00B918BE">
        <w:rPr>
          <w:rFonts w:ascii="Arial" w:hAnsi="Arial" w:cs="Arial"/>
        </w:rPr>
        <w:t xml:space="preserve"> has now</w:t>
      </w:r>
      <w:r>
        <w:rPr>
          <w:rFonts w:ascii="Arial" w:hAnsi="Arial" w:cs="Arial"/>
        </w:rPr>
        <w:t xml:space="preserve"> </w:t>
      </w:r>
      <w:r>
        <w:rPr>
          <w:rFonts w:ascii="Arial" w:hAnsi="Arial" w:cs="Arial"/>
        </w:rPr>
        <w:t>closed;</w:t>
      </w:r>
      <w:r>
        <w:rPr>
          <w:rFonts w:ascii="Arial" w:hAnsi="Arial" w:cs="Arial"/>
        </w:rPr>
        <w:t xml:space="preserve"> the process ran from the beginning of September</w:t>
      </w:r>
      <w:r w:rsidRPr="00B918BE">
        <w:rPr>
          <w:rFonts w:ascii="Arial" w:hAnsi="Arial" w:cs="Arial"/>
        </w:rPr>
        <w:t xml:space="preserve"> to </w:t>
      </w:r>
      <w:r>
        <w:rPr>
          <w:rFonts w:ascii="Arial" w:hAnsi="Arial" w:cs="Arial"/>
        </w:rPr>
        <w:t>31</w:t>
      </w:r>
      <w:r w:rsidRPr="00C050C5">
        <w:rPr>
          <w:rFonts w:ascii="Arial" w:hAnsi="Arial" w:cs="Arial"/>
          <w:vertAlign w:val="superscript"/>
        </w:rPr>
        <w:t>st</w:t>
      </w:r>
      <w:r>
        <w:rPr>
          <w:rFonts w:ascii="Arial" w:hAnsi="Arial" w:cs="Arial"/>
        </w:rPr>
        <w:t xml:space="preserve"> October 2017. </w:t>
      </w:r>
      <w:r w:rsidRPr="00B918BE">
        <w:rPr>
          <w:rFonts w:ascii="Arial" w:hAnsi="Arial" w:cs="Arial"/>
        </w:rPr>
        <w:t>Paper and electronic versions of the consultation were made available. The consultation was available on the website and in Customer Access Points and a number were sent to a sample of Council Tax payers throughout the authority.</w:t>
      </w:r>
    </w:p>
    <w:p w:rsidR="004E047D" w:rsidRDefault="004E047D" w:rsidP="004E047D">
      <w:pPr>
        <w:rPr>
          <w:rFonts w:ascii="Arial" w:hAnsi="Arial" w:cs="Arial"/>
        </w:rPr>
      </w:pPr>
    </w:p>
    <w:p w:rsidR="004E047D" w:rsidRDefault="004E047D" w:rsidP="004E047D">
      <w:pPr>
        <w:rPr>
          <w:rFonts w:ascii="Arial" w:hAnsi="Arial" w:cs="Arial"/>
        </w:rPr>
      </w:pPr>
      <w:r w:rsidRPr="00B918BE">
        <w:rPr>
          <w:rFonts w:ascii="Arial" w:hAnsi="Arial" w:cs="Arial"/>
        </w:rPr>
        <w:t>There were 228 responses to the consultation, 157 electronically and 71 paper responses.</w:t>
      </w:r>
    </w:p>
    <w:p w:rsidR="004E047D" w:rsidRDefault="004E047D" w:rsidP="004E047D">
      <w:pPr>
        <w:rPr>
          <w:rFonts w:ascii="Arial" w:hAnsi="Arial" w:cs="Arial"/>
        </w:rPr>
      </w:pPr>
      <w:r>
        <w:rPr>
          <w:rFonts w:ascii="Arial" w:hAnsi="Arial" w:cs="Arial"/>
        </w:rPr>
        <w:t>The results of each of the questions are shown below.</w:t>
      </w:r>
    </w:p>
    <w:p w:rsidR="004E047D" w:rsidRDefault="004E047D" w:rsidP="004E047D">
      <w:pPr>
        <w:rPr>
          <w:rFonts w:ascii="Arial" w:hAnsi="Arial" w:cs="Arial"/>
        </w:rPr>
      </w:pPr>
    </w:p>
    <w:p w:rsidR="004E047D" w:rsidRDefault="004E047D" w:rsidP="004E047D">
      <w:pPr>
        <w:rPr>
          <w:rFonts w:ascii="Arial" w:hAnsi="Arial" w:cs="Arial"/>
        </w:rPr>
      </w:pPr>
    </w:p>
    <w:p w:rsidR="004E047D" w:rsidRPr="004C6E18" w:rsidRDefault="004E047D" w:rsidP="004E047D">
      <w:pPr>
        <w:rPr>
          <w:rFonts w:ascii="Arial" w:hAnsi="Arial" w:cs="Arial"/>
          <w:b/>
        </w:rPr>
      </w:pPr>
      <w:r w:rsidRPr="004C6E18">
        <w:rPr>
          <w:rFonts w:ascii="Arial" w:hAnsi="Arial" w:cs="Arial"/>
          <w:b/>
        </w:rPr>
        <w:t>Should council tax be increased to help provide additional support to lower income households?</w:t>
      </w:r>
    </w:p>
    <w:p w:rsidR="004E047D" w:rsidRDefault="004E047D" w:rsidP="004E047D">
      <w:pPr>
        <w:jc w:val="center"/>
        <w:rPr>
          <w:rFonts w:ascii="Arial" w:hAnsi="Arial" w:cs="Arial"/>
        </w:rPr>
      </w:pPr>
      <w:r w:rsidRPr="00B918BE">
        <w:rPr>
          <w:rFonts w:ascii="Arial" w:hAnsi="Arial" w:cs="Arial"/>
        </w:rPr>
        <w:t>Answered:  227</w:t>
      </w:r>
      <w:r w:rsidRPr="00B918BE">
        <w:rPr>
          <w:rFonts w:ascii="Arial" w:hAnsi="Arial" w:cs="Arial"/>
        </w:rPr>
        <w:tab/>
      </w:r>
      <w:r w:rsidRPr="00B918BE">
        <w:rPr>
          <w:rFonts w:ascii="Arial" w:hAnsi="Arial" w:cs="Arial"/>
        </w:rPr>
        <w:tab/>
        <w:t>Skipped: 1</w:t>
      </w:r>
    </w:p>
    <w:p w:rsidR="004E047D" w:rsidRPr="00B918BE"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5477C0D9" wp14:editId="112E1E13">
            <wp:extent cx="4610100" cy="17526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E047D" w:rsidRPr="00B918BE" w:rsidRDefault="004E047D" w:rsidP="004E047D">
      <w:pPr>
        <w:jc w:val="center"/>
        <w:rPr>
          <w:rFonts w:ascii="Arial" w:hAnsi="Arial" w:cs="Arial"/>
        </w:rPr>
      </w:pPr>
    </w:p>
    <w:p w:rsidR="004E047D" w:rsidRPr="00B918BE" w:rsidRDefault="004E047D" w:rsidP="004E047D">
      <w:pPr>
        <w:rPr>
          <w:rFonts w:ascii="Arial" w:hAnsi="Arial" w:cs="Arial"/>
        </w:rPr>
      </w:pPr>
    </w:p>
    <w:p w:rsidR="004E047D" w:rsidRDefault="004E047D" w:rsidP="004E047D">
      <w:pPr>
        <w:rPr>
          <w:rFonts w:ascii="Arial" w:hAnsi="Arial" w:cs="Arial"/>
          <w:b/>
        </w:rPr>
      </w:pPr>
      <w:r w:rsidRPr="004C6E18">
        <w:rPr>
          <w:rFonts w:ascii="Arial" w:hAnsi="Arial" w:cs="Arial"/>
          <w:b/>
        </w:rPr>
        <w:t>Should we reduce services and use the money saved to help provide additional support to lower income households?</w:t>
      </w:r>
    </w:p>
    <w:p w:rsidR="004E047D" w:rsidRPr="004C6E18" w:rsidRDefault="004E047D" w:rsidP="004E047D">
      <w:pPr>
        <w:rPr>
          <w:rFonts w:ascii="Arial" w:hAnsi="Arial" w:cs="Arial"/>
          <w:b/>
        </w:rPr>
      </w:pPr>
    </w:p>
    <w:p w:rsidR="004E047D" w:rsidRDefault="004E047D" w:rsidP="004E047D">
      <w:pPr>
        <w:jc w:val="center"/>
        <w:rPr>
          <w:rFonts w:ascii="Arial" w:hAnsi="Arial" w:cs="Arial"/>
        </w:rPr>
      </w:pPr>
      <w:r w:rsidRPr="00B918BE">
        <w:rPr>
          <w:rFonts w:ascii="Arial" w:hAnsi="Arial" w:cs="Arial"/>
        </w:rPr>
        <w:t>Answered:  22</w:t>
      </w:r>
      <w:r>
        <w:rPr>
          <w:rFonts w:ascii="Arial" w:hAnsi="Arial" w:cs="Arial"/>
        </w:rPr>
        <w:t>2</w:t>
      </w:r>
      <w:r w:rsidRPr="00B918BE">
        <w:rPr>
          <w:rFonts w:ascii="Arial" w:hAnsi="Arial" w:cs="Arial"/>
        </w:rPr>
        <w:tab/>
      </w:r>
      <w:r w:rsidRPr="00B918BE">
        <w:rPr>
          <w:rFonts w:ascii="Arial" w:hAnsi="Arial" w:cs="Arial"/>
        </w:rPr>
        <w:tab/>
        <w:t xml:space="preserve">Skipped: </w:t>
      </w:r>
      <w:r>
        <w:rPr>
          <w:rFonts w:ascii="Arial" w:hAnsi="Arial" w:cs="Arial"/>
        </w:rPr>
        <w:t>6</w:t>
      </w:r>
    </w:p>
    <w:p w:rsidR="004E047D" w:rsidRPr="00B918BE"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31447F31" wp14:editId="2BD04ECC">
            <wp:extent cx="4629150" cy="17049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E047D" w:rsidRPr="00B918BE" w:rsidRDefault="004E047D" w:rsidP="004E047D">
      <w:pPr>
        <w:jc w:val="center"/>
        <w:rPr>
          <w:rFonts w:ascii="Arial" w:hAnsi="Arial" w:cs="Arial"/>
        </w:rPr>
      </w:pPr>
    </w:p>
    <w:p w:rsidR="004E047D" w:rsidRDefault="004E047D" w:rsidP="004E047D">
      <w:pPr>
        <w:rPr>
          <w:rFonts w:ascii="Arial" w:hAnsi="Arial" w:cs="Arial"/>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r w:rsidRPr="004C6E18">
        <w:rPr>
          <w:rFonts w:ascii="Arial" w:hAnsi="Arial" w:cs="Arial"/>
          <w:b/>
        </w:rPr>
        <w:lastRenderedPageBreak/>
        <w:t>Households with a child under 5 or are in receipt of a disability benefit to be charged 25% of the Council Tax liability (rather than 12.5% currently charged).</w:t>
      </w:r>
    </w:p>
    <w:p w:rsidR="004E047D" w:rsidRPr="004C6E18" w:rsidRDefault="004E047D" w:rsidP="004E047D">
      <w:pPr>
        <w:rPr>
          <w:rFonts w:ascii="Arial" w:hAnsi="Arial" w:cs="Arial"/>
          <w:b/>
        </w:rPr>
      </w:pPr>
    </w:p>
    <w:p w:rsidR="004E047D" w:rsidRDefault="004E047D" w:rsidP="004E047D">
      <w:pPr>
        <w:jc w:val="center"/>
        <w:rPr>
          <w:rFonts w:ascii="Arial" w:hAnsi="Arial" w:cs="Arial"/>
        </w:rPr>
      </w:pPr>
      <w:r w:rsidRPr="00B918BE">
        <w:rPr>
          <w:rFonts w:ascii="Arial" w:hAnsi="Arial" w:cs="Arial"/>
        </w:rPr>
        <w:t>Answered:  22</w:t>
      </w:r>
      <w:r>
        <w:rPr>
          <w:rFonts w:ascii="Arial" w:hAnsi="Arial" w:cs="Arial"/>
        </w:rPr>
        <w:t>2</w:t>
      </w:r>
      <w:r w:rsidRPr="00B918BE">
        <w:rPr>
          <w:rFonts w:ascii="Arial" w:hAnsi="Arial" w:cs="Arial"/>
        </w:rPr>
        <w:tab/>
      </w:r>
      <w:r w:rsidRPr="00B918BE">
        <w:rPr>
          <w:rFonts w:ascii="Arial" w:hAnsi="Arial" w:cs="Arial"/>
        </w:rPr>
        <w:tab/>
        <w:t xml:space="preserve">Skipped: </w:t>
      </w:r>
      <w:r>
        <w:rPr>
          <w:rFonts w:ascii="Arial" w:hAnsi="Arial" w:cs="Arial"/>
        </w:rPr>
        <w:t>6</w:t>
      </w:r>
    </w:p>
    <w:p w:rsidR="004E047D"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716BB356" wp14:editId="4BCBD22B">
            <wp:extent cx="4543425" cy="15906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047D" w:rsidRPr="00B918BE" w:rsidRDefault="004E047D" w:rsidP="004E047D">
      <w:pPr>
        <w:jc w:val="center"/>
        <w:rPr>
          <w:rFonts w:ascii="Arial" w:hAnsi="Arial" w:cs="Arial"/>
        </w:rPr>
      </w:pPr>
    </w:p>
    <w:p w:rsidR="004E047D" w:rsidRDefault="004E047D" w:rsidP="004E047D">
      <w:pPr>
        <w:rPr>
          <w:rFonts w:ascii="Arial" w:hAnsi="Arial" w:cs="Arial"/>
        </w:rPr>
      </w:pPr>
    </w:p>
    <w:p w:rsidR="004E047D" w:rsidRDefault="004E047D" w:rsidP="004E047D">
      <w:pPr>
        <w:rPr>
          <w:rFonts w:ascii="Arial" w:hAnsi="Arial" w:cs="Arial"/>
        </w:rPr>
      </w:pPr>
      <w:r>
        <w:rPr>
          <w:rFonts w:ascii="Arial" w:hAnsi="Arial" w:cs="Arial"/>
        </w:rPr>
        <w:t>There are approximately 2,600 households who would be affected if this change was to be implemented.</w:t>
      </w: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roofErr w:type="gramStart"/>
      <w:r w:rsidRPr="004C6E18">
        <w:rPr>
          <w:rFonts w:ascii="Arial" w:hAnsi="Arial" w:cs="Arial"/>
          <w:b/>
        </w:rPr>
        <w:t>Backdating of financial support awards to be reduced from 6 months to one month.</w:t>
      </w:r>
      <w:proofErr w:type="gramEnd"/>
    </w:p>
    <w:p w:rsidR="004E047D" w:rsidRPr="004C6E18" w:rsidRDefault="004E047D" w:rsidP="004E047D">
      <w:pPr>
        <w:rPr>
          <w:rFonts w:ascii="Arial" w:hAnsi="Arial" w:cs="Arial"/>
          <w:b/>
        </w:rPr>
      </w:pPr>
    </w:p>
    <w:p w:rsidR="004E047D" w:rsidRDefault="004E047D" w:rsidP="004E047D">
      <w:pPr>
        <w:jc w:val="center"/>
        <w:rPr>
          <w:rFonts w:ascii="Arial" w:hAnsi="Arial" w:cs="Arial"/>
        </w:rPr>
      </w:pPr>
      <w:r w:rsidRPr="00B918BE">
        <w:rPr>
          <w:rFonts w:ascii="Arial" w:hAnsi="Arial" w:cs="Arial"/>
        </w:rPr>
        <w:t>Answered:  22</w:t>
      </w:r>
      <w:r>
        <w:rPr>
          <w:rFonts w:ascii="Arial" w:hAnsi="Arial" w:cs="Arial"/>
        </w:rPr>
        <w:t>3</w:t>
      </w:r>
      <w:r w:rsidRPr="00B918BE">
        <w:rPr>
          <w:rFonts w:ascii="Arial" w:hAnsi="Arial" w:cs="Arial"/>
        </w:rPr>
        <w:tab/>
      </w:r>
      <w:r w:rsidRPr="00B918BE">
        <w:rPr>
          <w:rFonts w:ascii="Arial" w:hAnsi="Arial" w:cs="Arial"/>
        </w:rPr>
        <w:tab/>
        <w:t xml:space="preserve">Skipped: </w:t>
      </w:r>
      <w:r>
        <w:rPr>
          <w:rFonts w:ascii="Arial" w:hAnsi="Arial" w:cs="Arial"/>
        </w:rPr>
        <w:t>5</w:t>
      </w:r>
    </w:p>
    <w:p w:rsidR="004E047D"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654A930F" wp14:editId="78F8A5AD">
            <wp:extent cx="4591050" cy="1714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047D" w:rsidRPr="00B918BE" w:rsidRDefault="004E047D" w:rsidP="004E047D">
      <w:pPr>
        <w:jc w:val="center"/>
        <w:rPr>
          <w:rFonts w:ascii="Arial" w:hAnsi="Arial" w:cs="Arial"/>
        </w:rPr>
      </w:pPr>
    </w:p>
    <w:p w:rsidR="004E047D" w:rsidRDefault="004E047D" w:rsidP="004E047D">
      <w:pPr>
        <w:rPr>
          <w:rFonts w:ascii="Arial" w:hAnsi="Arial" w:cs="Arial"/>
          <w:noProof/>
          <w:lang w:eastAsia="en-GB"/>
        </w:rPr>
      </w:pPr>
      <w:r>
        <w:rPr>
          <w:rFonts w:ascii="Arial" w:hAnsi="Arial" w:cs="Arial"/>
          <w:noProof/>
          <w:lang w:eastAsia="en-GB"/>
        </w:rPr>
        <w:t xml:space="preserve">We cannot quantify the number of households who would be impacted by this change, as all customer circumstances are different. </w:t>
      </w:r>
    </w:p>
    <w:p w:rsidR="004E047D" w:rsidRDefault="004E047D" w:rsidP="004E047D">
      <w:pPr>
        <w:rPr>
          <w:rFonts w:ascii="Arial" w:hAnsi="Arial" w:cs="Arial"/>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Default="004E047D" w:rsidP="004E047D">
      <w:pPr>
        <w:rPr>
          <w:rFonts w:ascii="Arial" w:eastAsia="Times New Roman" w:hAnsi="Arial" w:cs="Arial"/>
          <w:b/>
          <w:color w:val="000000"/>
          <w:lang w:eastAsia="en-GB"/>
        </w:rPr>
      </w:pPr>
    </w:p>
    <w:p w:rsidR="004E047D" w:rsidRPr="004C6E18" w:rsidRDefault="004E047D" w:rsidP="004E047D">
      <w:pPr>
        <w:rPr>
          <w:rFonts w:ascii="Arial" w:eastAsia="Times New Roman" w:hAnsi="Arial" w:cs="Arial"/>
          <w:b/>
          <w:color w:val="000000"/>
          <w:lang w:eastAsia="en-GB"/>
        </w:rPr>
      </w:pPr>
      <w:r w:rsidRPr="00B918BE">
        <w:rPr>
          <w:rFonts w:ascii="Arial" w:eastAsia="Times New Roman" w:hAnsi="Arial" w:cs="Arial"/>
          <w:b/>
          <w:color w:val="000000"/>
          <w:lang w:eastAsia="en-GB"/>
        </w:rPr>
        <w:lastRenderedPageBreak/>
        <w:t>Remove the additional allowance currently in place for those households with children.</w:t>
      </w:r>
    </w:p>
    <w:p w:rsidR="004E047D" w:rsidRDefault="004E047D" w:rsidP="004E047D">
      <w:pPr>
        <w:jc w:val="center"/>
        <w:rPr>
          <w:rFonts w:ascii="Arial" w:hAnsi="Arial" w:cs="Arial"/>
        </w:rPr>
      </w:pPr>
      <w:r w:rsidRPr="00B918BE">
        <w:rPr>
          <w:rFonts w:ascii="Arial" w:hAnsi="Arial" w:cs="Arial"/>
        </w:rPr>
        <w:t>Answered:  22</w:t>
      </w:r>
      <w:r>
        <w:rPr>
          <w:rFonts w:ascii="Arial" w:hAnsi="Arial" w:cs="Arial"/>
        </w:rPr>
        <w:t>2</w:t>
      </w:r>
      <w:r w:rsidRPr="00B918BE">
        <w:rPr>
          <w:rFonts w:ascii="Arial" w:hAnsi="Arial" w:cs="Arial"/>
        </w:rPr>
        <w:tab/>
      </w:r>
      <w:r w:rsidRPr="00B918BE">
        <w:rPr>
          <w:rFonts w:ascii="Arial" w:hAnsi="Arial" w:cs="Arial"/>
        </w:rPr>
        <w:tab/>
        <w:t xml:space="preserve">Skipped: </w:t>
      </w:r>
      <w:r>
        <w:rPr>
          <w:rFonts w:ascii="Arial" w:hAnsi="Arial" w:cs="Arial"/>
        </w:rPr>
        <w:t>6</w:t>
      </w:r>
    </w:p>
    <w:p w:rsidR="004E047D"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75F8C805" wp14:editId="641E507D">
            <wp:extent cx="4572000" cy="18288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047D" w:rsidRPr="00B918BE" w:rsidRDefault="004E047D" w:rsidP="004E047D">
      <w:pPr>
        <w:jc w:val="center"/>
        <w:rPr>
          <w:rFonts w:ascii="Arial" w:hAnsi="Arial" w:cs="Arial"/>
        </w:rPr>
      </w:pPr>
    </w:p>
    <w:p w:rsidR="004E047D" w:rsidRDefault="004E047D" w:rsidP="004E047D">
      <w:pPr>
        <w:rPr>
          <w:rFonts w:ascii="Arial" w:hAnsi="Arial" w:cs="Arial"/>
          <w:noProof/>
          <w:lang w:eastAsia="en-GB"/>
        </w:rPr>
      </w:pPr>
      <w:r>
        <w:rPr>
          <w:rFonts w:ascii="Arial" w:hAnsi="Arial" w:cs="Arial"/>
          <w:noProof/>
          <w:lang w:eastAsia="en-GB"/>
        </w:rPr>
        <w:t>We cannot quantify the number of households who would be impacted if this additional level of support were to be removed as this changes constantly due to fluctuations in the caseload.</w:t>
      </w:r>
    </w:p>
    <w:p w:rsidR="004E047D" w:rsidRDefault="004E047D" w:rsidP="004E047D">
      <w:pPr>
        <w:rPr>
          <w:rFonts w:ascii="Arial" w:hAnsi="Arial" w:cs="Arial"/>
        </w:rPr>
      </w:pPr>
    </w:p>
    <w:p w:rsidR="004E047D" w:rsidRDefault="004E047D" w:rsidP="004E047D">
      <w:pPr>
        <w:rPr>
          <w:rFonts w:ascii="Arial" w:eastAsia="Times New Roman" w:hAnsi="Arial" w:cs="Arial"/>
          <w:b/>
          <w:color w:val="000000"/>
          <w:lang w:eastAsia="en-GB"/>
        </w:rPr>
      </w:pPr>
      <w:r w:rsidRPr="00B918BE">
        <w:rPr>
          <w:rFonts w:ascii="Arial" w:eastAsia="Times New Roman" w:hAnsi="Arial" w:cs="Arial"/>
          <w:b/>
          <w:color w:val="000000"/>
          <w:lang w:eastAsia="en-GB"/>
        </w:rPr>
        <w:t>Increase the scope of the Council Tax Hardship Fund.</w:t>
      </w:r>
    </w:p>
    <w:p w:rsidR="004E047D" w:rsidRPr="004C6E18" w:rsidRDefault="004E047D" w:rsidP="004E047D">
      <w:pPr>
        <w:rPr>
          <w:rFonts w:ascii="Arial" w:eastAsia="Times New Roman" w:hAnsi="Arial" w:cs="Arial"/>
          <w:b/>
          <w:color w:val="000000"/>
          <w:lang w:eastAsia="en-GB"/>
        </w:rPr>
      </w:pPr>
    </w:p>
    <w:p w:rsidR="004E047D" w:rsidRDefault="004E047D" w:rsidP="004E047D">
      <w:pPr>
        <w:jc w:val="center"/>
        <w:rPr>
          <w:rFonts w:ascii="Arial" w:hAnsi="Arial" w:cs="Arial"/>
        </w:rPr>
      </w:pPr>
      <w:r w:rsidRPr="00B918BE">
        <w:rPr>
          <w:rFonts w:ascii="Arial" w:hAnsi="Arial" w:cs="Arial"/>
        </w:rPr>
        <w:t>Answered:  22</w:t>
      </w:r>
      <w:r>
        <w:rPr>
          <w:rFonts w:ascii="Arial" w:hAnsi="Arial" w:cs="Arial"/>
        </w:rPr>
        <w:t>2</w:t>
      </w:r>
      <w:r w:rsidRPr="00B918BE">
        <w:rPr>
          <w:rFonts w:ascii="Arial" w:hAnsi="Arial" w:cs="Arial"/>
        </w:rPr>
        <w:tab/>
      </w:r>
      <w:r w:rsidRPr="00B918BE">
        <w:rPr>
          <w:rFonts w:ascii="Arial" w:hAnsi="Arial" w:cs="Arial"/>
        </w:rPr>
        <w:tab/>
        <w:t xml:space="preserve">Skipped: </w:t>
      </w:r>
      <w:r>
        <w:rPr>
          <w:rFonts w:ascii="Arial" w:hAnsi="Arial" w:cs="Arial"/>
        </w:rPr>
        <w:t>6</w:t>
      </w:r>
    </w:p>
    <w:p w:rsidR="004E047D"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7A02C22B" wp14:editId="56DFE800">
            <wp:extent cx="4572000" cy="17526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047D" w:rsidRDefault="004E047D" w:rsidP="004E047D">
      <w:pPr>
        <w:jc w:val="center"/>
        <w:rPr>
          <w:rFonts w:ascii="Arial" w:hAnsi="Arial" w:cs="Arial"/>
        </w:rPr>
      </w:pPr>
    </w:p>
    <w:p w:rsidR="004E047D" w:rsidRDefault="004E047D" w:rsidP="004E047D">
      <w:pPr>
        <w:rPr>
          <w:rFonts w:ascii="Arial" w:hAnsi="Arial" w:cs="Arial"/>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p>
    <w:p w:rsidR="004E047D" w:rsidRDefault="004E047D" w:rsidP="004E047D">
      <w:pPr>
        <w:rPr>
          <w:rFonts w:ascii="Arial" w:hAnsi="Arial" w:cs="Arial"/>
          <w:b/>
        </w:rPr>
      </w:pPr>
      <w:r w:rsidRPr="004C6E18">
        <w:rPr>
          <w:rFonts w:ascii="Arial" w:hAnsi="Arial" w:cs="Arial"/>
          <w:b/>
        </w:rPr>
        <w:lastRenderedPageBreak/>
        <w:t>If an increased level of financial support is offered to those who face exceptional and unavoidable difficulties, who should it be available to?</w:t>
      </w:r>
    </w:p>
    <w:p w:rsidR="004E047D" w:rsidRPr="004C6E18" w:rsidRDefault="004E047D" w:rsidP="004E047D">
      <w:pPr>
        <w:rPr>
          <w:rFonts w:ascii="Arial" w:hAnsi="Arial" w:cs="Arial"/>
          <w:b/>
        </w:rPr>
      </w:pPr>
    </w:p>
    <w:p w:rsidR="004E047D" w:rsidRDefault="004E047D" w:rsidP="004E047D">
      <w:pPr>
        <w:jc w:val="center"/>
        <w:rPr>
          <w:rFonts w:ascii="Arial" w:hAnsi="Arial" w:cs="Arial"/>
        </w:rPr>
      </w:pPr>
      <w:r w:rsidRPr="004C6E18">
        <w:rPr>
          <w:rFonts w:ascii="Arial" w:hAnsi="Arial" w:cs="Arial"/>
        </w:rPr>
        <w:t xml:space="preserve">Answered:  </w:t>
      </w:r>
      <w:r>
        <w:rPr>
          <w:rFonts w:ascii="Arial" w:hAnsi="Arial" w:cs="Arial"/>
        </w:rPr>
        <w:t>192</w:t>
      </w:r>
      <w:r w:rsidRPr="004C6E18">
        <w:rPr>
          <w:rFonts w:ascii="Arial" w:hAnsi="Arial" w:cs="Arial"/>
        </w:rPr>
        <w:tab/>
      </w:r>
      <w:r w:rsidRPr="004C6E18">
        <w:rPr>
          <w:rFonts w:ascii="Arial" w:hAnsi="Arial" w:cs="Arial"/>
        </w:rPr>
        <w:tab/>
        <w:t xml:space="preserve">Skipped: </w:t>
      </w:r>
      <w:r>
        <w:rPr>
          <w:rFonts w:ascii="Arial" w:hAnsi="Arial" w:cs="Arial"/>
        </w:rPr>
        <w:t>36</w:t>
      </w:r>
    </w:p>
    <w:p w:rsidR="004E047D"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66D435EB" wp14:editId="7625641D">
            <wp:extent cx="5343525" cy="27432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047D" w:rsidRDefault="004E047D" w:rsidP="004E047D">
      <w:pPr>
        <w:jc w:val="center"/>
        <w:rPr>
          <w:rFonts w:ascii="Arial" w:hAnsi="Arial" w:cs="Arial"/>
        </w:rPr>
      </w:pPr>
    </w:p>
    <w:p w:rsidR="004E047D" w:rsidRDefault="004E047D" w:rsidP="004E047D">
      <w:pPr>
        <w:rPr>
          <w:rFonts w:ascii="Arial" w:hAnsi="Arial" w:cs="Arial"/>
        </w:rPr>
      </w:pPr>
      <w:r>
        <w:rPr>
          <w:rFonts w:ascii="Arial" w:hAnsi="Arial" w:cs="Arial"/>
        </w:rPr>
        <w:t>Current support fund expenditure is low and this additional scheme is used to support the most vulnerable within our community with additional short term assistance. As part of this exercise the success criteria for the scheme will be amended to redistribute any savings due to the major scheme changes implemented to support those households who are experiencing the most severe financial distress targeting support to the most disadvantaged households in North East Lincolnshire.</w:t>
      </w:r>
    </w:p>
    <w:p w:rsidR="004E047D" w:rsidRDefault="004E047D" w:rsidP="004E047D">
      <w:pPr>
        <w:rPr>
          <w:rFonts w:ascii="Arial" w:hAnsi="Arial" w:cs="Arial"/>
        </w:rPr>
      </w:pPr>
    </w:p>
    <w:p w:rsidR="004E047D" w:rsidRDefault="004E047D" w:rsidP="004E047D">
      <w:pPr>
        <w:rPr>
          <w:rFonts w:ascii="Arial" w:hAnsi="Arial" w:cs="Arial"/>
        </w:rPr>
      </w:pPr>
      <w:r>
        <w:rPr>
          <w:rFonts w:ascii="Arial" w:hAnsi="Arial" w:cs="Arial"/>
        </w:rPr>
        <w:t>Government guidance outlines supporting those leaving care as best practice.</w:t>
      </w:r>
    </w:p>
    <w:p w:rsidR="004E047D" w:rsidRDefault="004E047D" w:rsidP="004E047D">
      <w:pPr>
        <w:rPr>
          <w:rFonts w:ascii="Arial" w:hAnsi="Arial" w:cs="Arial"/>
        </w:rPr>
      </w:pPr>
    </w:p>
    <w:p w:rsidR="004E047D" w:rsidRDefault="004E047D" w:rsidP="004E047D">
      <w:pPr>
        <w:rPr>
          <w:rFonts w:ascii="Arial" w:hAnsi="Arial" w:cs="Arial"/>
          <w:b/>
        </w:rPr>
      </w:pPr>
      <w:r w:rsidRPr="00146091">
        <w:rPr>
          <w:rFonts w:ascii="Arial" w:hAnsi="Arial" w:cs="Arial"/>
          <w:b/>
        </w:rPr>
        <w:t>Do you receive any non-financial support within North East Lincolnshire Council, such as information and advice?</w:t>
      </w:r>
    </w:p>
    <w:p w:rsidR="004E047D" w:rsidRPr="00146091" w:rsidRDefault="004E047D" w:rsidP="004E047D">
      <w:pPr>
        <w:rPr>
          <w:rFonts w:ascii="Arial" w:hAnsi="Arial" w:cs="Arial"/>
          <w:b/>
        </w:rPr>
      </w:pPr>
    </w:p>
    <w:tbl>
      <w:tblPr>
        <w:tblStyle w:val="LightList-Accent1"/>
        <w:tblW w:w="7621" w:type="dxa"/>
        <w:jc w:val="center"/>
        <w:tblLook w:val="04A0" w:firstRow="1" w:lastRow="0" w:firstColumn="1" w:lastColumn="0" w:noHBand="0" w:noVBand="1"/>
      </w:tblPr>
      <w:tblGrid>
        <w:gridCol w:w="5778"/>
        <w:gridCol w:w="993"/>
        <w:gridCol w:w="850"/>
      </w:tblGrid>
      <w:tr w:rsidR="004E047D" w:rsidRPr="008C6694" w:rsidTr="00E77AD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8" w:type="dxa"/>
            <w:noWrap/>
            <w:hideMark/>
          </w:tcPr>
          <w:p w:rsidR="004E047D" w:rsidRPr="008C6694" w:rsidRDefault="004E047D" w:rsidP="00E77ADF">
            <w:pPr>
              <w:rPr>
                <w:rFonts w:ascii="Arial" w:eastAsia="Times New Roman" w:hAnsi="Arial" w:cs="Arial"/>
                <w:color w:val="000000"/>
                <w:lang w:eastAsia="en-GB"/>
              </w:rPr>
            </w:pPr>
            <w:r>
              <w:rPr>
                <w:rFonts w:ascii="Arial" w:eastAsia="Times New Roman" w:hAnsi="Arial" w:cs="Arial"/>
                <w:color w:val="000000"/>
                <w:lang w:eastAsia="en-GB"/>
              </w:rPr>
              <w:t>Answer Choices</w:t>
            </w:r>
          </w:p>
        </w:tc>
        <w:tc>
          <w:tcPr>
            <w:tcW w:w="993" w:type="dxa"/>
            <w:noWrap/>
            <w:hideMark/>
          </w:tcPr>
          <w:p w:rsidR="004E047D" w:rsidRPr="008C6694" w:rsidRDefault="004E047D" w:rsidP="00E77A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Yes</w:t>
            </w:r>
          </w:p>
        </w:tc>
        <w:tc>
          <w:tcPr>
            <w:tcW w:w="850" w:type="dxa"/>
            <w:noWrap/>
            <w:hideMark/>
          </w:tcPr>
          <w:p w:rsidR="004E047D" w:rsidRPr="008C6694" w:rsidRDefault="004E047D" w:rsidP="00E77AD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No</w:t>
            </w:r>
          </w:p>
        </w:tc>
      </w:tr>
      <w:tr w:rsidR="004E047D" w:rsidRPr="008C6694" w:rsidTr="00E77A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8" w:type="dxa"/>
            <w:hideMark/>
          </w:tcPr>
          <w:p w:rsidR="004E047D" w:rsidRPr="008C6694" w:rsidRDefault="004E047D" w:rsidP="00E77ADF">
            <w:pPr>
              <w:rPr>
                <w:rFonts w:ascii="Arial" w:eastAsia="Times New Roman" w:hAnsi="Arial" w:cs="Arial"/>
                <w:b w:val="0"/>
                <w:color w:val="000000"/>
                <w:lang w:eastAsia="en-GB"/>
              </w:rPr>
            </w:pPr>
            <w:r w:rsidRPr="008C6694">
              <w:rPr>
                <w:rFonts w:ascii="Arial" w:eastAsia="Times New Roman" w:hAnsi="Arial" w:cs="Arial"/>
                <w:b w:val="0"/>
                <w:color w:val="000000"/>
                <w:lang w:eastAsia="en-GB"/>
              </w:rPr>
              <w:t>Citizens Advice</w:t>
            </w:r>
          </w:p>
        </w:tc>
        <w:tc>
          <w:tcPr>
            <w:tcW w:w="993" w:type="dxa"/>
            <w:noWrap/>
            <w:hideMark/>
          </w:tcPr>
          <w:p w:rsidR="004E047D" w:rsidRPr="008C6694" w:rsidRDefault="004E047D" w:rsidP="00E7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28</w:t>
            </w:r>
          </w:p>
        </w:tc>
        <w:tc>
          <w:tcPr>
            <w:tcW w:w="850" w:type="dxa"/>
            <w:noWrap/>
            <w:hideMark/>
          </w:tcPr>
          <w:p w:rsidR="004E047D" w:rsidRPr="008C6694" w:rsidRDefault="004E047D" w:rsidP="00E7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198</w:t>
            </w:r>
          </w:p>
        </w:tc>
      </w:tr>
      <w:tr w:rsidR="004E047D" w:rsidRPr="008C6694" w:rsidTr="00E77ADF">
        <w:trPr>
          <w:trHeight w:val="300"/>
          <w:jc w:val="center"/>
        </w:trPr>
        <w:tc>
          <w:tcPr>
            <w:cnfStyle w:val="001000000000" w:firstRow="0" w:lastRow="0" w:firstColumn="1" w:lastColumn="0" w:oddVBand="0" w:evenVBand="0" w:oddHBand="0" w:evenHBand="0" w:firstRowFirstColumn="0" w:firstRowLastColumn="0" w:lastRowFirstColumn="0" w:lastRowLastColumn="0"/>
            <w:tcW w:w="5778" w:type="dxa"/>
            <w:hideMark/>
          </w:tcPr>
          <w:p w:rsidR="004E047D" w:rsidRPr="008C6694" w:rsidRDefault="004E047D" w:rsidP="00E77ADF">
            <w:pPr>
              <w:rPr>
                <w:rFonts w:ascii="Arial" w:eastAsia="Times New Roman" w:hAnsi="Arial" w:cs="Arial"/>
                <w:b w:val="0"/>
                <w:color w:val="000000"/>
                <w:lang w:eastAsia="en-GB"/>
              </w:rPr>
            </w:pPr>
            <w:r w:rsidRPr="008C6694">
              <w:rPr>
                <w:rFonts w:ascii="Arial" w:eastAsia="Times New Roman" w:hAnsi="Arial" w:cs="Arial"/>
                <w:b w:val="0"/>
                <w:color w:val="000000"/>
                <w:lang w:eastAsia="en-GB"/>
              </w:rPr>
              <w:t>The Council</w:t>
            </w:r>
          </w:p>
        </w:tc>
        <w:tc>
          <w:tcPr>
            <w:tcW w:w="993" w:type="dxa"/>
            <w:noWrap/>
            <w:hideMark/>
          </w:tcPr>
          <w:p w:rsidR="004E047D" w:rsidRPr="008C6694" w:rsidRDefault="004E047D" w:rsidP="00E77A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18</w:t>
            </w:r>
          </w:p>
        </w:tc>
        <w:tc>
          <w:tcPr>
            <w:tcW w:w="850" w:type="dxa"/>
            <w:noWrap/>
            <w:hideMark/>
          </w:tcPr>
          <w:p w:rsidR="004E047D" w:rsidRPr="008C6694" w:rsidRDefault="004E047D" w:rsidP="00E77AD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204</w:t>
            </w:r>
          </w:p>
        </w:tc>
      </w:tr>
      <w:tr w:rsidR="004E047D" w:rsidRPr="008C6694" w:rsidTr="00E77AD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8" w:type="dxa"/>
            <w:hideMark/>
          </w:tcPr>
          <w:p w:rsidR="004E047D" w:rsidRPr="008C6694" w:rsidRDefault="004E047D" w:rsidP="00E77ADF">
            <w:pPr>
              <w:rPr>
                <w:rFonts w:ascii="Arial" w:eastAsia="Times New Roman" w:hAnsi="Arial" w:cs="Arial"/>
                <w:b w:val="0"/>
                <w:color w:val="000000"/>
                <w:lang w:eastAsia="en-GB"/>
              </w:rPr>
            </w:pPr>
            <w:r w:rsidRPr="008C6694">
              <w:rPr>
                <w:rFonts w:ascii="Arial" w:eastAsia="Times New Roman" w:hAnsi="Arial" w:cs="Arial"/>
                <w:b w:val="0"/>
                <w:color w:val="000000"/>
                <w:lang w:eastAsia="en-GB"/>
              </w:rPr>
              <w:t>Any Other Support</w:t>
            </w:r>
          </w:p>
        </w:tc>
        <w:tc>
          <w:tcPr>
            <w:tcW w:w="993" w:type="dxa"/>
            <w:noWrap/>
            <w:hideMark/>
          </w:tcPr>
          <w:p w:rsidR="004E047D" w:rsidRPr="008C6694" w:rsidRDefault="004E047D" w:rsidP="00E7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10</w:t>
            </w:r>
          </w:p>
        </w:tc>
        <w:tc>
          <w:tcPr>
            <w:tcW w:w="850" w:type="dxa"/>
            <w:noWrap/>
            <w:hideMark/>
          </w:tcPr>
          <w:p w:rsidR="004E047D" w:rsidRPr="008C6694" w:rsidRDefault="004E047D" w:rsidP="00E77A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8C6694">
              <w:rPr>
                <w:rFonts w:ascii="Arial" w:eastAsia="Times New Roman" w:hAnsi="Arial" w:cs="Arial"/>
                <w:color w:val="000000"/>
                <w:lang w:eastAsia="en-GB"/>
              </w:rPr>
              <w:t>211</w:t>
            </w:r>
          </w:p>
        </w:tc>
      </w:tr>
    </w:tbl>
    <w:p w:rsidR="004E047D" w:rsidRDefault="004E047D" w:rsidP="004E047D">
      <w:pPr>
        <w:rPr>
          <w:rFonts w:ascii="Arial" w:hAnsi="Arial" w:cs="Arial"/>
          <w:b/>
        </w:rPr>
      </w:pPr>
    </w:p>
    <w:p w:rsidR="004E047D" w:rsidRDefault="004E047D" w:rsidP="004E047D">
      <w:pPr>
        <w:jc w:val="both"/>
        <w:rPr>
          <w:rFonts w:ascii="Arial" w:hAnsi="Arial" w:cs="Arial"/>
          <w:b/>
        </w:rPr>
      </w:pPr>
      <w:r w:rsidRPr="004C6E18">
        <w:rPr>
          <w:rFonts w:ascii="Arial" w:hAnsi="Arial" w:cs="Arial"/>
          <w:b/>
        </w:rPr>
        <w:t>Are you in receipt of Council Tax reduction to help pay your Council Tax?</w:t>
      </w:r>
    </w:p>
    <w:p w:rsidR="004E047D" w:rsidRDefault="004E047D" w:rsidP="004E047D">
      <w:pPr>
        <w:jc w:val="both"/>
        <w:rPr>
          <w:rFonts w:ascii="Arial" w:hAnsi="Arial" w:cs="Arial"/>
          <w:b/>
        </w:rPr>
      </w:pPr>
    </w:p>
    <w:p w:rsidR="004E047D" w:rsidRDefault="004E047D" w:rsidP="004E047D">
      <w:pPr>
        <w:jc w:val="center"/>
        <w:rPr>
          <w:rFonts w:ascii="Arial" w:hAnsi="Arial" w:cs="Arial"/>
        </w:rPr>
      </w:pPr>
      <w:r w:rsidRPr="004C6E18">
        <w:rPr>
          <w:rFonts w:ascii="Arial" w:hAnsi="Arial" w:cs="Arial"/>
        </w:rPr>
        <w:t xml:space="preserve">Answered:  </w:t>
      </w:r>
      <w:r>
        <w:rPr>
          <w:rFonts w:ascii="Arial" w:hAnsi="Arial" w:cs="Arial"/>
        </w:rPr>
        <w:t>228</w:t>
      </w:r>
      <w:r w:rsidRPr="004C6E18">
        <w:rPr>
          <w:rFonts w:ascii="Arial" w:hAnsi="Arial" w:cs="Arial"/>
        </w:rPr>
        <w:tab/>
      </w:r>
      <w:r w:rsidRPr="004C6E18">
        <w:rPr>
          <w:rFonts w:ascii="Arial" w:hAnsi="Arial" w:cs="Arial"/>
        </w:rPr>
        <w:tab/>
        <w:t xml:space="preserve">Skipped: </w:t>
      </w:r>
      <w:r>
        <w:rPr>
          <w:rFonts w:ascii="Arial" w:hAnsi="Arial" w:cs="Arial"/>
        </w:rPr>
        <w:t>0</w:t>
      </w:r>
    </w:p>
    <w:p w:rsidR="004E047D" w:rsidRDefault="004E047D" w:rsidP="004E047D">
      <w:pPr>
        <w:jc w:val="center"/>
        <w:rPr>
          <w:rFonts w:ascii="Arial" w:hAnsi="Arial" w:cs="Arial"/>
        </w:rPr>
      </w:pPr>
    </w:p>
    <w:p w:rsidR="004E047D" w:rsidRDefault="004E047D" w:rsidP="004E047D">
      <w:pPr>
        <w:jc w:val="center"/>
        <w:rPr>
          <w:rFonts w:ascii="Arial" w:hAnsi="Arial" w:cs="Arial"/>
        </w:rPr>
      </w:pPr>
      <w:r>
        <w:rPr>
          <w:noProof/>
          <w:lang w:eastAsia="en-GB"/>
        </w:rPr>
        <w:drawing>
          <wp:inline distT="0" distB="0" distL="0" distR="0" wp14:anchorId="137EB462" wp14:editId="7EDAD336">
            <wp:extent cx="4572000" cy="105727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047D" w:rsidRDefault="004E047D" w:rsidP="004E047D">
      <w:pPr>
        <w:jc w:val="center"/>
        <w:rPr>
          <w:rFonts w:ascii="Arial" w:hAnsi="Arial" w:cs="Arial"/>
        </w:rPr>
      </w:pPr>
    </w:p>
    <w:p w:rsidR="004E047D" w:rsidRDefault="004E047D" w:rsidP="004E047D">
      <w:pPr>
        <w:jc w:val="center"/>
        <w:rPr>
          <w:rFonts w:ascii="Arial" w:hAnsi="Arial" w:cs="Arial"/>
        </w:rPr>
      </w:pPr>
    </w:p>
    <w:p w:rsidR="004E047D" w:rsidRDefault="004E047D" w:rsidP="004E047D">
      <w:pPr>
        <w:jc w:val="both"/>
        <w:rPr>
          <w:rFonts w:ascii="Arial" w:hAnsi="Arial" w:cs="Arial"/>
          <w:b/>
        </w:rPr>
      </w:pPr>
      <w:r>
        <w:rPr>
          <w:rFonts w:ascii="Arial" w:hAnsi="Arial" w:cs="Arial"/>
          <w:b/>
        </w:rPr>
        <w:t>Do you consider yourself to have a disability?</w:t>
      </w:r>
    </w:p>
    <w:p w:rsidR="004E047D" w:rsidRDefault="004E047D" w:rsidP="004E047D">
      <w:pPr>
        <w:jc w:val="both"/>
        <w:rPr>
          <w:rFonts w:ascii="Arial" w:hAnsi="Arial" w:cs="Arial"/>
          <w:b/>
        </w:rPr>
      </w:pPr>
    </w:p>
    <w:p w:rsidR="004E047D" w:rsidRDefault="004E047D" w:rsidP="004E047D">
      <w:pPr>
        <w:jc w:val="center"/>
        <w:rPr>
          <w:rFonts w:ascii="Arial" w:hAnsi="Arial" w:cs="Arial"/>
        </w:rPr>
      </w:pPr>
      <w:r w:rsidRPr="004C6E18">
        <w:rPr>
          <w:rFonts w:ascii="Arial" w:hAnsi="Arial" w:cs="Arial"/>
        </w:rPr>
        <w:t xml:space="preserve">Answered:  </w:t>
      </w:r>
      <w:r>
        <w:rPr>
          <w:rFonts w:ascii="Arial" w:hAnsi="Arial" w:cs="Arial"/>
        </w:rPr>
        <w:t>228</w:t>
      </w:r>
      <w:r w:rsidRPr="004C6E18">
        <w:rPr>
          <w:rFonts w:ascii="Arial" w:hAnsi="Arial" w:cs="Arial"/>
        </w:rPr>
        <w:tab/>
      </w:r>
      <w:r w:rsidRPr="004C6E18">
        <w:rPr>
          <w:rFonts w:ascii="Arial" w:hAnsi="Arial" w:cs="Arial"/>
        </w:rPr>
        <w:tab/>
        <w:t xml:space="preserve">Skipped: </w:t>
      </w:r>
      <w:r>
        <w:rPr>
          <w:rFonts w:ascii="Arial" w:hAnsi="Arial" w:cs="Arial"/>
        </w:rPr>
        <w:t>0</w:t>
      </w:r>
    </w:p>
    <w:p w:rsidR="004E047D" w:rsidRDefault="004E047D" w:rsidP="004E047D">
      <w:pPr>
        <w:jc w:val="center"/>
        <w:rPr>
          <w:rFonts w:ascii="Arial" w:hAnsi="Arial" w:cs="Arial"/>
        </w:rPr>
      </w:pPr>
    </w:p>
    <w:p w:rsidR="004E047D" w:rsidRDefault="004E047D" w:rsidP="004E047D">
      <w:pPr>
        <w:jc w:val="center"/>
        <w:rPr>
          <w:rFonts w:ascii="Arial" w:hAnsi="Arial" w:cs="Arial"/>
          <w:b/>
        </w:rPr>
      </w:pPr>
      <w:r>
        <w:rPr>
          <w:noProof/>
          <w:lang w:eastAsia="en-GB"/>
        </w:rPr>
        <w:drawing>
          <wp:inline distT="0" distB="0" distL="0" distR="0" wp14:anchorId="2BE5C6FD" wp14:editId="290FA1DE">
            <wp:extent cx="4572000" cy="10191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047D" w:rsidRDefault="004E047D" w:rsidP="004E047D">
      <w:pPr>
        <w:jc w:val="center"/>
        <w:rPr>
          <w:rFonts w:ascii="Arial" w:hAnsi="Arial" w:cs="Arial"/>
          <w:b/>
        </w:rPr>
      </w:pPr>
    </w:p>
    <w:p w:rsidR="004E047D" w:rsidRDefault="004E047D" w:rsidP="004E047D">
      <w:pPr>
        <w:jc w:val="center"/>
        <w:rPr>
          <w:rFonts w:ascii="Arial" w:hAnsi="Arial" w:cs="Arial"/>
          <w:b/>
        </w:rPr>
      </w:pPr>
    </w:p>
    <w:p w:rsidR="004E047D" w:rsidRDefault="004E047D" w:rsidP="004E047D">
      <w:pPr>
        <w:jc w:val="both"/>
        <w:rPr>
          <w:rFonts w:ascii="Arial" w:hAnsi="Arial" w:cs="Arial"/>
          <w:b/>
        </w:rPr>
      </w:pPr>
      <w:bookmarkStart w:id="0" w:name="_GoBack"/>
      <w:bookmarkEnd w:id="0"/>
      <w:r>
        <w:rPr>
          <w:rFonts w:ascii="Arial" w:hAnsi="Arial" w:cs="Arial"/>
          <w:b/>
        </w:rPr>
        <w:t>Do you have any dependent children?</w:t>
      </w:r>
    </w:p>
    <w:p w:rsidR="004E047D" w:rsidRDefault="004E047D" w:rsidP="004E047D">
      <w:pPr>
        <w:jc w:val="both"/>
        <w:rPr>
          <w:rFonts w:ascii="Arial" w:hAnsi="Arial" w:cs="Arial"/>
          <w:b/>
        </w:rPr>
      </w:pPr>
    </w:p>
    <w:p w:rsidR="004E047D" w:rsidRDefault="004E047D" w:rsidP="004E047D">
      <w:pPr>
        <w:jc w:val="center"/>
        <w:rPr>
          <w:rFonts w:ascii="Arial" w:hAnsi="Arial" w:cs="Arial"/>
        </w:rPr>
      </w:pPr>
      <w:r w:rsidRPr="004C6E18">
        <w:rPr>
          <w:rFonts w:ascii="Arial" w:hAnsi="Arial" w:cs="Arial"/>
        </w:rPr>
        <w:t xml:space="preserve">Answered:  </w:t>
      </w:r>
      <w:r>
        <w:rPr>
          <w:rFonts w:ascii="Arial" w:hAnsi="Arial" w:cs="Arial"/>
        </w:rPr>
        <w:t>227</w:t>
      </w:r>
      <w:r w:rsidRPr="004C6E18">
        <w:rPr>
          <w:rFonts w:ascii="Arial" w:hAnsi="Arial" w:cs="Arial"/>
        </w:rPr>
        <w:tab/>
      </w:r>
      <w:r w:rsidRPr="004C6E18">
        <w:rPr>
          <w:rFonts w:ascii="Arial" w:hAnsi="Arial" w:cs="Arial"/>
        </w:rPr>
        <w:tab/>
        <w:t xml:space="preserve">Skipped: </w:t>
      </w:r>
      <w:r>
        <w:rPr>
          <w:rFonts w:ascii="Arial" w:hAnsi="Arial" w:cs="Arial"/>
        </w:rPr>
        <w:t>1</w:t>
      </w:r>
    </w:p>
    <w:p w:rsidR="004E047D" w:rsidRDefault="004E047D" w:rsidP="004E047D">
      <w:pPr>
        <w:jc w:val="center"/>
        <w:rPr>
          <w:rFonts w:ascii="Arial" w:hAnsi="Arial" w:cs="Arial"/>
        </w:rPr>
      </w:pPr>
    </w:p>
    <w:p w:rsidR="004E047D" w:rsidRDefault="004E047D" w:rsidP="004E047D">
      <w:pPr>
        <w:jc w:val="center"/>
        <w:rPr>
          <w:rFonts w:ascii="Arial" w:hAnsi="Arial" w:cs="Arial"/>
          <w:b/>
        </w:rPr>
      </w:pPr>
      <w:r>
        <w:rPr>
          <w:noProof/>
          <w:lang w:eastAsia="en-GB"/>
        </w:rPr>
        <w:drawing>
          <wp:inline distT="0" distB="0" distL="0" distR="0" wp14:anchorId="57C17FD6" wp14:editId="35522BCE">
            <wp:extent cx="4572000" cy="10382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047D" w:rsidRDefault="004E047D" w:rsidP="004E047D">
      <w:pPr>
        <w:jc w:val="center"/>
        <w:rPr>
          <w:rFonts w:ascii="Arial" w:hAnsi="Arial" w:cs="Arial"/>
          <w:b/>
        </w:rPr>
      </w:pPr>
    </w:p>
    <w:p w:rsidR="004E047D" w:rsidRDefault="004E047D" w:rsidP="004E047D">
      <w:pPr>
        <w:rPr>
          <w:rFonts w:ascii="Arial" w:hAnsi="Arial" w:cs="Arial"/>
          <w:b/>
        </w:rPr>
      </w:pPr>
      <w:r>
        <w:rPr>
          <w:rFonts w:ascii="Arial" w:hAnsi="Arial" w:cs="Arial"/>
          <w:b/>
        </w:rPr>
        <w:t>Profile of Households in Receipt of Council Tax Reduction</w:t>
      </w:r>
    </w:p>
    <w:p w:rsidR="004E047D" w:rsidRPr="006D6BEF" w:rsidRDefault="004E047D" w:rsidP="004E047D">
      <w:pPr>
        <w:rPr>
          <w:rFonts w:ascii="Arial" w:hAnsi="Arial" w:cs="Arial"/>
        </w:rPr>
      </w:pPr>
    </w:p>
    <w:p w:rsidR="004E047D" w:rsidRPr="006D6BEF" w:rsidRDefault="004E047D" w:rsidP="004E047D">
      <w:pPr>
        <w:rPr>
          <w:rFonts w:ascii="Arial" w:hAnsi="Arial" w:cs="Arial"/>
        </w:rPr>
      </w:pPr>
      <w:r>
        <w:rPr>
          <w:rFonts w:ascii="Arial" w:hAnsi="Arial" w:cs="Arial"/>
        </w:rPr>
        <w:t xml:space="preserve">The graph below shows the spread of current households in receipt of Council Tax Reduction. </w:t>
      </w:r>
      <w:r w:rsidRPr="006D6BEF">
        <w:rPr>
          <w:rFonts w:ascii="Arial" w:hAnsi="Arial" w:cs="Arial"/>
        </w:rPr>
        <w:t xml:space="preserve">Removal of the </w:t>
      </w:r>
      <w:r>
        <w:rPr>
          <w:rFonts w:ascii="Arial" w:hAnsi="Arial" w:cs="Arial"/>
        </w:rPr>
        <w:t>current protection for those who are in receipt of disability premiums or who have a child under 5 will affect the wards outlined below in order.  Whilst this will increase the amount of Council Tax these households will need to pay it will also offer the opportunity to redistribute any savings identified through this change to be targeted to those households who are experiencing severe financial hardship.</w:t>
      </w:r>
    </w:p>
    <w:p w:rsidR="004E047D" w:rsidRDefault="004E047D" w:rsidP="004E047D">
      <w:pPr>
        <w:rPr>
          <w:rFonts w:ascii="Arial" w:hAnsi="Arial" w:cs="Arial"/>
          <w:b/>
        </w:rPr>
      </w:pPr>
    </w:p>
    <w:p w:rsidR="004E047D" w:rsidRDefault="004E047D" w:rsidP="004E047D">
      <w:r>
        <w:rPr>
          <w:noProof/>
          <w:lang w:eastAsia="en-GB"/>
        </w:rPr>
        <w:drawing>
          <wp:inline distT="0" distB="0" distL="0" distR="0" wp14:anchorId="2C67495D" wp14:editId="11765239">
            <wp:extent cx="5943600" cy="2269490"/>
            <wp:effectExtent l="0" t="0" r="1905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047D" w:rsidRDefault="004E047D" w:rsidP="004E047D"/>
    <w:p w:rsidR="00DF32E5" w:rsidRDefault="00DF32E5"/>
    <w:sectPr w:rsidR="00DF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7D"/>
    <w:rsid w:val="004E047D"/>
    <w:rsid w:val="00DF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7D"/>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4E047D"/>
    <w:pPr>
      <w:spacing w:after="0"/>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4E047D"/>
    <w:rPr>
      <w:rFonts w:ascii="Tahoma" w:hAnsi="Tahoma" w:cs="Tahoma"/>
      <w:sz w:val="16"/>
      <w:szCs w:val="16"/>
    </w:rPr>
  </w:style>
  <w:style w:type="character" w:customStyle="1" w:styleId="BalloonTextChar">
    <w:name w:val="Balloon Text Char"/>
    <w:basedOn w:val="DefaultParagraphFont"/>
    <w:link w:val="BalloonText"/>
    <w:uiPriority w:val="99"/>
    <w:semiHidden/>
    <w:rsid w:val="004E047D"/>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7D"/>
    <w:pPr>
      <w:spacing w:after="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4E047D"/>
    <w:pPr>
      <w:spacing w:after="0"/>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4E047D"/>
    <w:rPr>
      <w:rFonts w:ascii="Tahoma" w:hAnsi="Tahoma" w:cs="Tahoma"/>
      <w:sz w:val="16"/>
      <w:szCs w:val="16"/>
    </w:rPr>
  </w:style>
  <w:style w:type="character" w:customStyle="1" w:styleId="BalloonTextChar">
    <w:name w:val="Balloon Text Char"/>
    <w:basedOn w:val="DefaultParagraphFont"/>
    <w:link w:val="BalloonText"/>
    <w:uiPriority w:val="99"/>
    <w:semiHidden/>
    <w:rsid w:val="004E047D"/>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elincs-dat0\userareas$\LaherC\ward%20breakdown%20v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elincs-Dat3\Finance\Central%20Team\Serv%20Dev%20&amp;%20Training\Service%20Development\Project%20Documents\CTR%20Consultation%202017\NEL%20Consultation\CTR%20Consultation%20MASTERCOPY%20Achieve%20forms%20and%20post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'CTR Consultation Combined'!$A$259:$A$261</c:f>
              <c:strCache>
                <c:ptCount val="3"/>
                <c:pt idx="0">
                  <c:v>Strongly agree/agree</c:v>
                </c:pt>
                <c:pt idx="1">
                  <c:v>Neither Agree or Disagree</c:v>
                </c:pt>
                <c:pt idx="2">
                  <c:v>Strongly disagree/disagree</c:v>
                </c:pt>
              </c:strCache>
            </c:strRef>
          </c:cat>
          <c:val>
            <c:numRef>
              <c:f>'CTR Consultation Combined'!$H$259:$H$261</c:f>
              <c:numCache>
                <c:formatCode>0%</c:formatCode>
                <c:ptCount val="3"/>
                <c:pt idx="0">
                  <c:v>0.23348017621145375</c:v>
                </c:pt>
                <c:pt idx="1">
                  <c:v>0.14537444933920704</c:v>
                </c:pt>
                <c:pt idx="2">
                  <c:v>0.62114537444933926</c:v>
                </c:pt>
              </c:numCache>
            </c:numRef>
          </c:val>
        </c:ser>
        <c:dLbls>
          <c:showLegendKey val="0"/>
          <c:showVal val="0"/>
          <c:showCatName val="0"/>
          <c:showSerName val="0"/>
          <c:showPercent val="0"/>
          <c:showBubbleSize val="0"/>
        </c:dLbls>
        <c:gapWidth val="150"/>
        <c:axId val="238135936"/>
        <c:axId val="253038976"/>
      </c:barChart>
      <c:catAx>
        <c:axId val="238135936"/>
        <c:scaling>
          <c:orientation val="maxMin"/>
        </c:scaling>
        <c:delete val="0"/>
        <c:axPos val="l"/>
        <c:majorTickMark val="out"/>
        <c:minorTickMark val="none"/>
        <c:tickLblPos val="nextTo"/>
        <c:crossAx val="253038976"/>
        <c:crosses val="autoZero"/>
        <c:auto val="1"/>
        <c:lblAlgn val="ctr"/>
        <c:lblOffset val="100"/>
        <c:noMultiLvlLbl val="0"/>
      </c:catAx>
      <c:valAx>
        <c:axId val="253038976"/>
        <c:scaling>
          <c:orientation val="minMax"/>
        </c:scaling>
        <c:delete val="0"/>
        <c:axPos val="b"/>
        <c:majorGridlines/>
        <c:numFmt formatCode="0%" sourceLinked="1"/>
        <c:majorTickMark val="out"/>
        <c:minorTickMark val="none"/>
        <c:tickLblPos val="nextTo"/>
        <c:crossAx val="238135936"/>
        <c:crosses val="max"/>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Sheet4!$A$7:$A$8</c:f>
              <c:strCache>
                <c:ptCount val="2"/>
                <c:pt idx="0">
                  <c:v>Yes</c:v>
                </c:pt>
                <c:pt idx="1">
                  <c:v>No</c:v>
                </c:pt>
              </c:strCache>
            </c:strRef>
          </c:cat>
          <c:val>
            <c:numRef>
              <c:f>Sheet4!$D$7:$D$8</c:f>
              <c:numCache>
                <c:formatCode>0%</c:formatCode>
                <c:ptCount val="2"/>
                <c:pt idx="0">
                  <c:v>0.30837004405286345</c:v>
                </c:pt>
                <c:pt idx="1">
                  <c:v>0.69162995594713661</c:v>
                </c:pt>
              </c:numCache>
            </c:numRef>
          </c:val>
        </c:ser>
        <c:dLbls>
          <c:showLegendKey val="0"/>
          <c:showVal val="0"/>
          <c:showCatName val="0"/>
          <c:showSerName val="0"/>
          <c:showPercent val="0"/>
          <c:showBubbleSize val="0"/>
        </c:dLbls>
        <c:gapWidth val="150"/>
        <c:axId val="206026624"/>
        <c:axId val="206028160"/>
      </c:barChart>
      <c:catAx>
        <c:axId val="206026624"/>
        <c:scaling>
          <c:orientation val="maxMin"/>
        </c:scaling>
        <c:delete val="0"/>
        <c:axPos val="l"/>
        <c:majorTickMark val="out"/>
        <c:minorTickMark val="none"/>
        <c:tickLblPos val="nextTo"/>
        <c:crossAx val="206028160"/>
        <c:crosses val="autoZero"/>
        <c:auto val="1"/>
        <c:lblAlgn val="ctr"/>
        <c:lblOffset val="100"/>
        <c:noMultiLvlLbl val="0"/>
      </c:catAx>
      <c:valAx>
        <c:axId val="206028160"/>
        <c:scaling>
          <c:orientation val="minMax"/>
        </c:scaling>
        <c:delete val="0"/>
        <c:axPos val="b"/>
        <c:majorGridlines/>
        <c:numFmt formatCode="0%" sourceLinked="1"/>
        <c:majorTickMark val="out"/>
        <c:minorTickMark val="none"/>
        <c:tickLblPos val="nextTo"/>
        <c:crossAx val="206026624"/>
        <c:crosses val="max"/>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'North East Lincs'!$A$29:$A$43</c:f>
              <c:strCache>
                <c:ptCount val="15"/>
                <c:pt idx="0">
                  <c:v>East Marsh Ward</c:v>
                </c:pt>
                <c:pt idx="1">
                  <c:v>South Ward</c:v>
                </c:pt>
                <c:pt idx="2">
                  <c:v>Sidney Sussex Ward</c:v>
                </c:pt>
                <c:pt idx="3">
                  <c:v>West Marsh Ward</c:v>
                </c:pt>
                <c:pt idx="4">
                  <c:v>Heneage Ward</c:v>
                </c:pt>
                <c:pt idx="5">
                  <c:v>Croft Baker Ward</c:v>
                </c:pt>
                <c:pt idx="6">
                  <c:v>Immingham Ward</c:v>
                </c:pt>
                <c:pt idx="7">
                  <c:v>Yarborough Ward</c:v>
                </c:pt>
                <c:pt idx="8">
                  <c:v>Park Ward</c:v>
                </c:pt>
                <c:pt idx="9">
                  <c:v>Freshney Ward</c:v>
                </c:pt>
                <c:pt idx="10">
                  <c:v>Scartho Ward</c:v>
                </c:pt>
                <c:pt idx="11">
                  <c:v>Humberston and New Waltham Ward</c:v>
                </c:pt>
                <c:pt idx="12">
                  <c:v>Haverstoe Ward</c:v>
                </c:pt>
                <c:pt idx="13">
                  <c:v>Wolds Ward</c:v>
                </c:pt>
                <c:pt idx="14">
                  <c:v>Waltham Ward</c:v>
                </c:pt>
              </c:strCache>
            </c:strRef>
          </c:cat>
          <c:val>
            <c:numRef>
              <c:f>'North East Lincs'!$B$29:$B$43</c:f>
              <c:numCache>
                <c:formatCode>General</c:formatCode>
                <c:ptCount val="15"/>
                <c:pt idx="0">
                  <c:v>1779</c:v>
                </c:pt>
                <c:pt idx="1">
                  <c:v>1266</c:v>
                </c:pt>
                <c:pt idx="2">
                  <c:v>1050</c:v>
                </c:pt>
                <c:pt idx="3">
                  <c:v>982</c:v>
                </c:pt>
                <c:pt idx="4">
                  <c:v>849</c:v>
                </c:pt>
                <c:pt idx="5">
                  <c:v>740</c:v>
                </c:pt>
                <c:pt idx="6">
                  <c:v>690</c:v>
                </c:pt>
                <c:pt idx="7">
                  <c:v>576</c:v>
                </c:pt>
                <c:pt idx="8">
                  <c:v>504</c:v>
                </c:pt>
                <c:pt idx="9">
                  <c:v>455</c:v>
                </c:pt>
                <c:pt idx="10">
                  <c:v>212</c:v>
                </c:pt>
                <c:pt idx="11">
                  <c:v>154</c:v>
                </c:pt>
                <c:pt idx="12">
                  <c:v>129</c:v>
                </c:pt>
                <c:pt idx="13">
                  <c:v>92</c:v>
                </c:pt>
                <c:pt idx="14">
                  <c:v>91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779914529914529"/>
          <c:y val="7.7509428968437766E-2"/>
          <c:w val="0.45938034188034188"/>
          <c:h val="0.8449811420631244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Sheet1!$A$8:$A$10</c:f>
              <c:strCache>
                <c:ptCount val="3"/>
                <c:pt idx="0">
                  <c:v>Strongly agree/agree</c:v>
                </c:pt>
                <c:pt idx="1">
                  <c:v>Neither Agree or Disagree</c:v>
                </c:pt>
                <c:pt idx="2">
                  <c:v>Strongly disagree/disagree</c:v>
                </c:pt>
              </c:strCache>
            </c:strRef>
          </c:cat>
          <c:val>
            <c:numRef>
              <c:f>Sheet1!$C$8:$C$10</c:f>
              <c:numCache>
                <c:formatCode>0%</c:formatCode>
                <c:ptCount val="3"/>
                <c:pt idx="0">
                  <c:v>0.13063063063063063</c:v>
                </c:pt>
                <c:pt idx="1">
                  <c:v>0.16216216216216217</c:v>
                </c:pt>
                <c:pt idx="2">
                  <c:v>0.7072072072072072</c:v>
                </c:pt>
              </c:numCache>
            </c:numRef>
          </c:val>
        </c:ser>
        <c:dLbls>
          <c:showLegendKey val="0"/>
          <c:showVal val="0"/>
          <c:showCatName val="0"/>
          <c:showSerName val="0"/>
          <c:showPercent val="0"/>
          <c:showBubbleSize val="0"/>
        </c:dLbls>
        <c:gapWidth val="150"/>
        <c:axId val="246206464"/>
        <c:axId val="246208000"/>
      </c:barChart>
      <c:catAx>
        <c:axId val="246206464"/>
        <c:scaling>
          <c:orientation val="maxMin"/>
        </c:scaling>
        <c:delete val="0"/>
        <c:axPos val="l"/>
        <c:majorTickMark val="out"/>
        <c:minorTickMark val="none"/>
        <c:tickLblPos val="nextTo"/>
        <c:crossAx val="246208000"/>
        <c:crosses val="autoZero"/>
        <c:auto val="1"/>
        <c:lblAlgn val="ctr"/>
        <c:lblOffset val="100"/>
        <c:noMultiLvlLbl val="0"/>
      </c:catAx>
      <c:valAx>
        <c:axId val="246208000"/>
        <c:scaling>
          <c:orientation val="minMax"/>
        </c:scaling>
        <c:delete val="0"/>
        <c:axPos val="b"/>
        <c:majorGridlines/>
        <c:numFmt formatCode="0%" sourceLinked="1"/>
        <c:majorTickMark val="out"/>
        <c:minorTickMark val="none"/>
        <c:tickLblPos val="nextTo"/>
        <c:crossAx val="246206464"/>
        <c:crosses val="max"/>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Sheet1!$A$8:$A$10</c:f>
              <c:strCache>
                <c:ptCount val="3"/>
                <c:pt idx="0">
                  <c:v>Strongly agree/agree</c:v>
                </c:pt>
                <c:pt idx="1">
                  <c:v>Neither Agree or Disagree</c:v>
                </c:pt>
                <c:pt idx="2">
                  <c:v>Strongly disagree/disagree</c:v>
                </c:pt>
              </c:strCache>
            </c:strRef>
          </c:cat>
          <c:val>
            <c:numRef>
              <c:f>Sheet1!$D$8:$D$10</c:f>
              <c:numCache>
                <c:formatCode>0%</c:formatCode>
                <c:ptCount val="3"/>
                <c:pt idx="0">
                  <c:v>0.45945945945945948</c:v>
                </c:pt>
                <c:pt idx="1">
                  <c:v>0.17567567567567569</c:v>
                </c:pt>
                <c:pt idx="2">
                  <c:v>0.36486486486486486</c:v>
                </c:pt>
              </c:numCache>
            </c:numRef>
          </c:val>
        </c:ser>
        <c:dLbls>
          <c:showLegendKey val="0"/>
          <c:showVal val="0"/>
          <c:showCatName val="0"/>
          <c:showSerName val="0"/>
          <c:showPercent val="0"/>
          <c:showBubbleSize val="0"/>
        </c:dLbls>
        <c:gapWidth val="150"/>
        <c:axId val="253060224"/>
        <c:axId val="253061760"/>
      </c:barChart>
      <c:catAx>
        <c:axId val="253060224"/>
        <c:scaling>
          <c:orientation val="maxMin"/>
        </c:scaling>
        <c:delete val="0"/>
        <c:axPos val="l"/>
        <c:majorTickMark val="out"/>
        <c:minorTickMark val="none"/>
        <c:tickLblPos val="nextTo"/>
        <c:crossAx val="253061760"/>
        <c:crosses val="autoZero"/>
        <c:auto val="1"/>
        <c:lblAlgn val="ctr"/>
        <c:lblOffset val="100"/>
        <c:noMultiLvlLbl val="0"/>
      </c:catAx>
      <c:valAx>
        <c:axId val="253061760"/>
        <c:scaling>
          <c:orientation val="minMax"/>
        </c:scaling>
        <c:delete val="0"/>
        <c:axPos val="b"/>
        <c:majorGridlines/>
        <c:numFmt formatCode="0%" sourceLinked="1"/>
        <c:majorTickMark val="out"/>
        <c:minorTickMark val="none"/>
        <c:tickLblPos val="nextTo"/>
        <c:crossAx val="253060224"/>
        <c:crosses val="max"/>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Sheet1!$A$8:$A$10</c:f>
              <c:strCache>
                <c:ptCount val="3"/>
                <c:pt idx="0">
                  <c:v>Strongly agree/agree</c:v>
                </c:pt>
                <c:pt idx="1">
                  <c:v>Neither Agree or Disagree</c:v>
                </c:pt>
                <c:pt idx="2">
                  <c:v>Strongly disagree/disagree</c:v>
                </c:pt>
              </c:strCache>
            </c:strRef>
          </c:cat>
          <c:val>
            <c:numRef>
              <c:f>Sheet1!$E$8:$E$10</c:f>
              <c:numCache>
                <c:formatCode>0%</c:formatCode>
                <c:ptCount val="3"/>
                <c:pt idx="0">
                  <c:v>0.5829596412556054</c:v>
                </c:pt>
                <c:pt idx="1">
                  <c:v>0.14798206278026907</c:v>
                </c:pt>
                <c:pt idx="2">
                  <c:v>0.26905829596412556</c:v>
                </c:pt>
              </c:numCache>
            </c:numRef>
          </c:val>
        </c:ser>
        <c:dLbls>
          <c:showLegendKey val="0"/>
          <c:showVal val="0"/>
          <c:showCatName val="0"/>
          <c:showSerName val="0"/>
          <c:showPercent val="0"/>
          <c:showBubbleSize val="0"/>
        </c:dLbls>
        <c:gapWidth val="150"/>
        <c:axId val="253073664"/>
        <c:axId val="253083648"/>
      </c:barChart>
      <c:catAx>
        <c:axId val="253073664"/>
        <c:scaling>
          <c:orientation val="minMax"/>
        </c:scaling>
        <c:delete val="0"/>
        <c:axPos val="l"/>
        <c:majorTickMark val="out"/>
        <c:minorTickMark val="none"/>
        <c:tickLblPos val="nextTo"/>
        <c:crossAx val="253083648"/>
        <c:crosses val="autoZero"/>
        <c:auto val="1"/>
        <c:lblAlgn val="ctr"/>
        <c:lblOffset val="100"/>
        <c:noMultiLvlLbl val="0"/>
      </c:catAx>
      <c:valAx>
        <c:axId val="253083648"/>
        <c:scaling>
          <c:orientation val="minMax"/>
        </c:scaling>
        <c:delete val="0"/>
        <c:axPos val="b"/>
        <c:majorGridlines/>
        <c:numFmt formatCode="0%" sourceLinked="1"/>
        <c:majorTickMark val="out"/>
        <c:minorTickMark val="none"/>
        <c:tickLblPos val="nextTo"/>
        <c:crossAx val="25307366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Sheet1!$A$8:$A$10</c:f>
              <c:strCache>
                <c:ptCount val="3"/>
                <c:pt idx="0">
                  <c:v>Strongly agree/agree</c:v>
                </c:pt>
                <c:pt idx="1">
                  <c:v>Neither Agree or Disagree</c:v>
                </c:pt>
                <c:pt idx="2">
                  <c:v>Strongly disagree/disagree</c:v>
                </c:pt>
              </c:strCache>
            </c:strRef>
          </c:cat>
          <c:val>
            <c:numRef>
              <c:f>Sheet1!$F$8:$F$10</c:f>
              <c:numCache>
                <c:formatCode>0%</c:formatCode>
                <c:ptCount val="3"/>
                <c:pt idx="0">
                  <c:v>0.5</c:v>
                </c:pt>
                <c:pt idx="1">
                  <c:v>0.19369369369369369</c:v>
                </c:pt>
                <c:pt idx="2">
                  <c:v>0.30630630630630629</c:v>
                </c:pt>
              </c:numCache>
            </c:numRef>
          </c:val>
        </c:ser>
        <c:dLbls>
          <c:showLegendKey val="0"/>
          <c:showVal val="0"/>
          <c:showCatName val="0"/>
          <c:showSerName val="0"/>
          <c:showPercent val="0"/>
          <c:showBubbleSize val="0"/>
        </c:dLbls>
        <c:gapWidth val="150"/>
        <c:axId val="253099392"/>
        <c:axId val="262947968"/>
      </c:barChart>
      <c:catAx>
        <c:axId val="253099392"/>
        <c:scaling>
          <c:orientation val="maxMin"/>
        </c:scaling>
        <c:delete val="0"/>
        <c:axPos val="l"/>
        <c:majorTickMark val="out"/>
        <c:minorTickMark val="none"/>
        <c:tickLblPos val="nextTo"/>
        <c:crossAx val="262947968"/>
        <c:crosses val="autoZero"/>
        <c:auto val="1"/>
        <c:lblAlgn val="ctr"/>
        <c:lblOffset val="100"/>
        <c:noMultiLvlLbl val="0"/>
      </c:catAx>
      <c:valAx>
        <c:axId val="262947968"/>
        <c:scaling>
          <c:orientation val="minMax"/>
        </c:scaling>
        <c:delete val="0"/>
        <c:axPos val="b"/>
        <c:majorGridlines/>
        <c:numFmt formatCode="0%" sourceLinked="1"/>
        <c:majorTickMark val="out"/>
        <c:minorTickMark val="none"/>
        <c:tickLblPos val="nextTo"/>
        <c:crossAx val="253099392"/>
        <c:crosses val="max"/>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Sheet1!$A$8:$A$10</c:f>
              <c:strCache>
                <c:ptCount val="3"/>
                <c:pt idx="0">
                  <c:v>Strongly agree/agree</c:v>
                </c:pt>
                <c:pt idx="1">
                  <c:v>Neither Agree or Disagree</c:v>
                </c:pt>
                <c:pt idx="2">
                  <c:v>Strongly disagree/disagree</c:v>
                </c:pt>
              </c:strCache>
            </c:strRef>
          </c:cat>
          <c:val>
            <c:numRef>
              <c:f>Sheet1!$G$8:$G$10</c:f>
              <c:numCache>
                <c:formatCode>0%</c:formatCode>
                <c:ptCount val="3"/>
                <c:pt idx="0">
                  <c:v>0.4349775784753363</c:v>
                </c:pt>
                <c:pt idx="1">
                  <c:v>0.26905829596412556</c:v>
                </c:pt>
                <c:pt idx="2">
                  <c:v>0.29596412556053814</c:v>
                </c:pt>
              </c:numCache>
            </c:numRef>
          </c:val>
        </c:ser>
        <c:dLbls>
          <c:showLegendKey val="0"/>
          <c:showVal val="0"/>
          <c:showCatName val="0"/>
          <c:showSerName val="0"/>
          <c:showPercent val="0"/>
          <c:showBubbleSize val="0"/>
        </c:dLbls>
        <c:gapWidth val="150"/>
        <c:axId val="262959872"/>
        <c:axId val="262961408"/>
      </c:barChart>
      <c:catAx>
        <c:axId val="262959872"/>
        <c:scaling>
          <c:orientation val="maxMin"/>
        </c:scaling>
        <c:delete val="0"/>
        <c:axPos val="l"/>
        <c:majorTickMark val="out"/>
        <c:minorTickMark val="none"/>
        <c:tickLblPos val="nextTo"/>
        <c:crossAx val="262961408"/>
        <c:crosses val="autoZero"/>
        <c:auto val="1"/>
        <c:lblAlgn val="ctr"/>
        <c:lblOffset val="100"/>
        <c:noMultiLvlLbl val="0"/>
      </c:catAx>
      <c:valAx>
        <c:axId val="262961408"/>
        <c:scaling>
          <c:orientation val="minMax"/>
        </c:scaling>
        <c:delete val="0"/>
        <c:axPos val="b"/>
        <c:majorGridlines/>
        <c:numFmt formatCode="0%" sourceLinked="1"/>
        <c:majorTickMark val="out"/>
        <c:minorTickMark val="none"/>
        <c:tickLblPos val="nextTo"/>
        <c:crossAx val="262959872"/>
        <c:crosses val="max"/>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Sheet3!$A$10:$A$15</c:f>
              <c:strCache>
                <c:ptCount val="6"/>
                <c:pt idx="0">
                  <c:v>All Council Tax support Claimants</c:v>
                </c:pt>
                <c:pt idx="1">
                  <c:v>Targeted to families with a child under 5</c:v>
                </c:pt>
                <c:pt idx="2">
                  <c:v>Targeted at thise in receipt of disability benefits</c:v>
                </c:pt>
                <c:pt idx="3">
                  <c:v>Targeted to claimants in low paid work</c:v>
                </c:pt>
                <c:pt idx="4">
                  <c:v>Targeted to claimants at risk of/or who are homeless</c:v>
                </c:pt>
                <c:pt idx="5">
                  <c:v>Targeted at claimants who are leaving care</c:v>
                </c:pt>
              </c:strCache>
            </c:strRef>
          </c:cat>
          <c:val>
            <c:numRef>
              <c:f>Sheet3!$B$10:$B$15</c:f>
              <c:numCache>
                <c:formatCode>0%</c:formatCode>
                <c:ptCount val="6"/>
                <c:pt idx="0">
                  <c:v>0.44298245614035087</c:v>
                </c:pt>
                <c:pt idx="1">
                  <c:v>0.34210526315789475</c:v>
                </c:pt>
                <c:pt idx="2">
                  <c:v>0.50438596491228072</c:v>
                </c:pt>
                <c:pt idx="3">
                  <c:v>0.54385964912280704</c:v>
                </c:pt>
                <c:pt idx="4">
                  <c:v>0.5</c:v>
                </c:pt>
                <c:pt idx="5">
                  <c:v>0.49122807017543857</c:v>
                </c:pt>
              </c:numCache>
            </c:numRef>
          </c:val>
        </c:ser>
        <c:dLbls>
          <c:showLegendKey val="0"/>
          <c:showVal val="0"/>
          <c:showCatName val="0"/>
          <c:showSerName val="0"/>
          <c:showPercent val="0"/>
          <c:showBubbleSize val="0"/>
        </c:dLbls>
        <c:gapWidth val="150"/>
        <c:axId val="262969216"/>
        <c:axId val="262970752"/>
      </c:barChart>
      <c:catAx>
        <c:axId val="262969216"/>
        <c:scaling>
          <c:orientation val="maxMin"/>
        </c:scaling>
        <c:delete val="0"/>
        <c:axPos val="l"/>
        <c:majorTickMark val="out"/>
        <c:minorTickMark val="none"/>
        <c:tickLblPos val="nextTo"/>
        <c:crossAx val="262970752"/>
        <c:crosses val="autoZero"/>
        <c:auto val="1"/>
        <c:lblAlgn val="ctr"/>
        <c:lblOffset val="100"/>
        <c:noMultiLvlLbl val="0"/>
      </c:catAx>
      <c:valAx>
        <c:axId val="262970752"/>
        <c:scaling>
          <c:orientation val="minMax"/>
        </c:scaling>
        <c:delete val="0"/>
        <c:axPos val="b"/>
        <c:majorGridlines/>
        <c:numFmt formatCode="0%" sourceLinked="1"/>
        <c:majorTickMark val="out"/>
        <c:minorTickMark val="none"/>
        <c:tickLblPos val="nextTo"/>
        <c:crossAx val="262969216"/>
        <c:crosses val="max"/>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Sheet4!$A$7:$A$8</c:f>
              <c:strCache>
                <c:ptCount val="2"/>
                <c:pt idx="0">
                  <c:v>Yes</c:v>
                </c:pt>
                <c:pt idx="1">
                  <c:v>No</c:v>
                </c:pt>
              </c:strCache>
            </c:strRef>
          </c:cat>
          <c:val>
            <c:numRef>
              <c:f>Sheet4!$B$7:$B$8</c:f>
              <c:numCache>
                <c:formatCode>0%</c:formatCode>
                <c:ptCount val="2"/>
                <c:pt idx="0">
                  <c:v>0.23245614035087719</c:v>
                </c:pt>
                <c:pt idx="1">
                  <c:v>0.76754385964912286</c:v>
                </c:pt>
              </c:numCache>
            </c:numRef>
          </c:val>
        </c:ser>
        <c:dLbls>
          <c:showLegendKey val="0"/>
          <c:showVal val="0"/>
          <c:showCatName val="0"/>
          <c:showSerName val="0"/>
          <c:showPercent val="0"/>
          <c:showBubbleSize val="0"/>
        </c:dLbls>
        <c:gapWidth val="150"/>
        <c:axId val="263003136"/>
        <c:axId val="263013120"/>
      </c:barChart>
      <c:catAx>
        <c:axId val="263003136"/>
        <c:scaling>
          <c:orientation val="maxMin"/>
        </c:scaling>
        <c:delete val="0"/>
        <c:axPos val="l"/>
        <c:majorTickMark val="out"/>
        <c:minorTickMark val="none"/>
        <c:tickLblPos val="nextTo"/>
        <c:crossAx val="263013120"/>
        <c:crosses val="autoZero"/>
        <c:auto val="1"/>
        <c:lblAlgn val="ctr"/>
        <c:lblOffset val="100"/>
        <c:noMultiLvlLbl val="0"/>
      </c:catAx>
      <c:valAx>
        <c:axId val="263013120"/>
        <c:scaling>
          <c:orientation val="minMax"/>
        </c:scaling>
        <c:delete val="0"/>
        <c:axPos val="b"/>
        <c:majorGridlines/>
        <c:numFmt formatCode="0%" sourceLinked="1"/>
        <c:majorTickMark val="out"/>
        <c:minorTickMark val="none"/>
        <c:tickLblPos val="nextTo"/>
        <c:crossAx val="263003136"/>
        <c:crosses val="max"/>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1"/>
        <c:ser>
          <c:idx val="0"/>
          <c:order val="0"/>
          <c:invertIfNegative val="0"/>
          <c:cat>
            <c:strRef>
              <c:f>Sheet4!$A$7:$A$8</c:f>
              <c:strCache>
                <c:ptCount val="2"/>
                <c:pt idx="0">
                  <c:v>Yes</c:v>
                </c:pt>
                <c:pt idx="1">
                  <c:v>No</c:v>
                </c:pt>
              </c:strCache>
            </c:strRef>
          </c:cat>
          <c:val>
            <c:numRef>
              <c:f>Sheet4!$C$7:$C$8</c:f>
              <c:numCache>
                <c:formatCode>0%</c:formatCode>
                <c:ptCount val="2"/>
                <c:pt idx="0">
                  <c:v>0.27192982456140352</c:v>
                </c:pt>
                <c:pt idx="1">
                  <c:v>0.72807017543859653</c:v>
                </c:pt>
              </c:numCache>
            </c:numRef>
          </c:val>
        </c:ser>
        <c:dLbls>
          <c:showLegendKey val="0"/>
          <c:showVal val="0"/>
          <c:showCatName val="0"/>
          <c:showSerName val="0"/>
          <c:showPercent val="0"/>
          <c:showBubbleSize val="0"/>
        </c:dLbls>
        <c:gapWidth val="150"/>
        <c:axId val="263065984"/>
        <c:axId val="263067520"/>
      </c:barChart>
      <c:catAx>
        <c:axId val="263065984"/>
        <c:scaling>
          <c:orientation val="maxMin"/>
        </c:scaling>
        <c:delete val="0"/>
        <c:axPos val="l"/>
        <c:majorTickMark val="out"/>
        <c:minorTickMark val="none"/>
        <c:tickLblPos val="nextTo"/>
        <c:crossAx val="263067520"/>
        <c:crosses val="autoZero"/>
        <c:auto val="1"/>
        <c:lblAlgn val="ctr"/>
        <c:lblOffset val="100"/>
        <c:noMultiLvlLbl val="0"/>
      </c:catAx>
      <c:valAx>
        <c:axId val="263067520"/>
        <c:scaling>
          <c:orientation val="minMax"/>
        </c:scaling>
        <c:delete val="0"/>
        <c:axPos val="b"/>
        <c:majorGridlines/>
        <c:numFmt formatCode="0%" sourceLinked="1"/>
        <c:majorTickMark val="out"/>
        <c:minorTickMark val="none"/>
        <c:tickLblPos val="nextTo"/>
        <c:crossAx val="263065984"/>
        <c:crosses val="max"/>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Helstern (NELC)</dc:creator>
  <cp:lastModifiedBy>Helen Helstern (NELC)</cp:lastModifiedBy>
  <cp:revision>1</cp:revision>
  <dcterms:created xsi:type="dcterms:W3CDTF">2018-05-15T13:17:00Z</dcterms:created>
  <dcterms:modified xsi:type="dcterms:W3CDTF">2018-05-15T13:23:00Z</dcterms:modified>
</cp:coreProperties>
</file>