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05" w:rsidRPr="00694805" w:rsidRDefault="001E3D0B" w:rsidP="001E3D0B">
      <w:pPr>
        <w:jc w:val="center"/>
        <w:rPr>
          <w:rFonts w:ascii="Arial" w:hAnsi="Arial" w:cs="Arial"/>
          <w:b/>
          <w:sz w:val="44"/>
          <w:u w:val="single"/>
        </w:rPr>
      </w:pPr>
      <w:r w:rsidRPr="00694805">
        <w:rPr>
          <w:rFonts w:ascii="Arial" w:hAnsi="Arial" w:cs="Arial"/>
          <w:b/>
          <w:sz w:val="44"/>
          <w:u w:val="single"/>
        </w:rPr>
        <w:t>20</w:t>
      </w:r>
      <w:r w:rsidR="007B115C" w:rsidRPr="00694805">
        <w:rPr>
          <w:rFonts w:ascii="Arial" w:hAnsi="Arial" w:cs="Arial"/>
          <w:b/>
          <w:sz w:val="44"/>
          <w:u w:val="single"/>
        </w:rPr>
        <w:t>20</w:t>
      </w:r>
      <w:r w:rsidRPr="00694805">
        <w:rPr>
          <w:rFonts w:ascii="Arial" w:hAnsi="Arial" w:cs="Arial"/>
          <w:b/>
          <w:sz w:val="44"/>
          <w:u w:val="single"/>
        </w:rPr>
        <w:t xml:space="preserve"> Budget Consultation Results</w:t>
      </w:r>
    </w:p>
    <w:p w:rsidR="001E3D0B" w:rsidRPr="00694805" w:rsidRDefault="00694805" w:rsidP="00694805">
      <w:pPr>
        <w:jc w:val="center"/>
        <w:rPr>
          <w:rFonts w:ascii="Arial" w:hAnsi="Arial" w:cs="Arial"/>
          <w:b/>
          <w:sz w:val="28"/>
          <w:u w:val="single"/>
        </w:rPr>
      </w:pPr>
      <w:r w:rsidRPr="00694805">
        <w:rPr>
          <w:rFonts w:ascii="Arial" w:hAnsi="Arial" w:cs="Arial"/>
          <w:sz w:val="28"/>
        </w:rPr>
        <w:t>314 responses</w:t>
      </w:r>
    </w:p>
    <w:p w:rsidR="00040672" w:rsidRPr="00251F33" w:rsidRDefault="00040672" w:rsidP="00040672">
      <w:pPr>
        <w:rPr>
          <w:rFonts w:ascii="Arial" w:hAnsi="Arial" w:cs="Arial"/>
          <w:sz w:val="24"/>
          <w:szCs w:val="24"/>
        </w:rPr>
      </w:pPr>
      <w:r w:rsidRPr="00251F33">
        <w:rPr>
          <w:rFonts w:ascii="Arial" w:hAnsi="Arial" w:cs="Arial"/>
          <w:sz w:val="24"/>
          <w:szCs w:val="24"/>
        </w:rPr>
        <w:t>The Council’s on-line and paper consultation, giving residents, businesses and organisation a chance to have their say on our budget proposals for the next finan</w:t>
      </w:r>
      <w:r w:rsidR="00F94E5C">
        <w:rPr>
          <w:rFonts w:ascii="Arial" w:hAnsi="Arial" w:cs="Arial"/>
          <w:sz w:val="24"/>
          <w:szCs w:val="24"/>
        </w:rPr>
        <w:t xml:space="preserve">cial year, this year attracted </w:t>
      </w:r>
      <w:bookmarkStart w:id="0" w:name="_GoBack"/>
      <w:bookmarkEnd w:id="0"/>
      <w:r w:rsidRPr="00251F33">
        <w:rPr>
          <w:rFonts w:ascii="Arial" w:hAnsi="Arial" w:cs="Arial"/>
          <w:sz w:val="24"/>
          <w:szCs w:val="24"/>
        </w:rPr>
        <w:t xml:space="preserve">314 responses, </w:t>
      </w:r>
      <w:r w:rsidR="000B598E">
        <w:rPr>
          <w:rFonts w:ascii="Arial" w:hAnsi="Arial" w:cs="Arial"/>
          <w:sz w:val="24"/>
          <w:szCs w:val="24"/>
        </w:rPr>
        <w:t xml:space="preserve"> an increase of 27</w:t>
      </w:r>
      <w:r w:rsidRPr="00251F33">
        <w:rPr>
          <w:rFonts w:ascii="Arial" w:hAnsi="Arial" w:cs="Arial"/>
          <w:sz w:val="24"/>
          <w:szCs w:val="24"/>
        </w:rPr>
        <w:t>% on the previous year.</w:t>
      </w:r>
    </w:p>
    <w:p w:rsidR="00040672" w:rsidRPr="00251F33" w:rsidRDefault="00040672" w:rsidP="00040672">
      <w:pPr>
        <w:pStyle w:val="NormalWeb"/>
        <w:spacing w:after="0" w:afterAutospacing="0"/>
        <w:rPr>
          <w:rFonts w:ascii="Arial" w:hAnsi="Arial" w:cs="Arial"/>
        </w:rPr>
      </w:pPr>
      <w:r w:rsidRPr="00251F33">
        <w:rPr>
          <w:rFonts w:ascii="Arial" w:hAnsi="Arial" w:cs="Arial"/>
        </w:rPr>
        <w:t>The six week consultation was promoted via media release, social media activity and the consultation mailing list of 3</w:t>
      </w:r>
      <w:r>
        <w:rPr>
          <w:rFonts w:ascii="Arial" w:hAnsi="Arial" w:cs="Arial"/>
        </w:rPr>
        <w:t>,</w:t>
      </w:r>
      <w:r w:rsidRPr="00251F33">
        <w:rPr>
          <w:rFonts w:ascii="Arial" w:hAnsi="Arial" w:cs="Arial"/>
        </w:rPr>
        <w:t xml:space="preserve">454 subscribers, directing respondents to an on-line questionnaire on the budget challenges facing the authority. The survey included sections where residents and businesses could indicate how much they supported specific functions on a scale of 1-10, 1 being least supported and 10 being most supported. </w:t>
      </w:r>
    </w:p>
    <w:p w:rsidR="00040672" w:rsidRDefault="00040672" w:rsidP="00040672">
      <w:pPr>
        <w:rPr>
          <w:rFonts w:ascii="Arial" w:hAnsi="Arial" w:cs="Arial"/>
          <w:sz w:val="24"/>
          <w:szCs w:val="24"/>
        </w:rPr>
      </w:pPr>
    </w:p>
    <w:p w:rsidR="00040672" w:rsidRPr="00251F33" w:rsidRDefault="00040672" w:rsidP="00040672">
      <w:pPr>
        <w:rPr>
          <w:rFonts w:ascii="Arial" w:hAnsi="Arial" w:cs="Arial"/>
          <w:sz w:val="24"/>
          <w:szCs w:val="24"/>
        </w:rPr>
      </w:pPr>
      <w:r w:rsidRPr="00251F33">
        <w:rPr>
          <w:rFonts w:ascii="Arial" w:hAnsi="Arial" w:cs="Arial"/>
          <w:sz w:val="24"/>
          <w:szCs w:val="24"/>
        </w:rPr>
        <w:t>As well as the increase in responses, it also resulted in more than 2,500 pageviews on the ‘have your say’ webpage and over 11,000 online survey views. In addition</w:t>
      </w:r>
      <w:r>
        <w:rPr>
          <w:rFonts w:ascii="Arial" w:hAnsi="Arial" w:cs="Arial"/>
          <w:sz w:val="24"/>
          <w:szCs w:val="24"/>
        </w:rPr>
        <w:t>,</w:t>
      </w:r>
      <w:r w:rsidRPr="00251F33">
        <w:rPr>
          <w:rFonts w:ascii="Arial" w:hAnsi="Arial" w:cs="Arial"/>
          <w:color w:val="FF0000"/>
          <w:sz w:val="24"/>
          <w:szCs w:val="24"/>
        </w:rPr>
        <w:t xml:space="preserve"> </w:t>
      </w:r>
      <w:r w:rsidRPr="00251F33">
        <w:rPr>
          <w:rFonts w:ascii="Arial" w:hAnsi="Arial" w:cs="Arial"/>
          <w:sz w:val="24"/>
          <w:szCs w:val="24"/>
        </w:rPr>
        <w:t>regular messages were circulated via our corporate social media. This reached nearly 6,000 people via Facebook and Twitter.</w:t>
      </w:r>
    </w:p>
    <w:p w:rsidR="00040672" w:rsidRPr="00251F33" w:rsidRDefault="00040672" w:rsidP="00040672">
      <w:pPr>
        <w:pStyle w:val="NormalWeb"/>
        <w:spacing w:after="0" w:afterAutospacing="0"/>
        <w:rPr>
          <w:rFonts w:ascii="Arial" w:hAnsi="Arial" w:cs="Arial"/>
        </w:rPr>
      </w:pPr>
      <w:r w:rsidRPr="00251F33">
        <w:rPr>
          <w:rFonts w:ascii="Arial" w:hAnsi="Arial" w:cs="Arial"/>
        </w:rPr>
        <w:t>Those taking part highlighted adult social care as the area they most supported, displacing bins, waste and recycling from the top priority spot, and the least supported area was planning for the second year in a row.</w:t>
      </w:r>
    </w:p>
    <w:p w:rsidR="00040672" w:rsidRPr="00251F33" w:rsidRDefault="00040672" w:rsidP="00040672">
      <w:pPr>
        <w:pStyle w:val="NormalWeb"/>
        <w:spacing w:after="0" w:afterAutospacing="0"/>
        <w:rPr>
          <w:rFonts w:ascii="Arial" w:hAnsi="Arial" w:cs="Arial"/>
        </w:rPr>
      </w:pPr>
      <w:r w:rsidRPr="00251F33">
        <w:rPr>
          <w:rFonts w:ascii="Arial" w:hAnsi="Arial" w:cs="Arial"/>
        </w:rPr>
        <w:t>Some areas increase in the public’s priority ranking. The emerging issues were prevention and wellbeing services, moving up seven places in the priority ranking, private sector housing moving up five places and home options and housing related support up four. Services ranked from one to 27.</w:t>
      </w:r>
    </w:p>
    <w:p w:rsidR="00040672" w:rsidRDefault="00040672" w:rsidP="00040672">
      <w:pPr>
        <w:pStyle w:val="NormalWeb"/>
        <w:spacing w:after="0" w:afterAutospacing="0"/>
        <w:rPr>
          <w:rFonts w:ascii="Arial" w:hAnsi="Arial" w:cs="Arial"/>
        </w:rPr>
      </w:pPr>
      <w:r w:rsidRPr="00251F33">
        <w:rPr>
          <w:rFonts w:ascii="Arial" w:hAnsi="Arial" w:cs="Arial"/>
        </w:rPr>
        <w:t>The areas that faded in priority include cemeteries and crematorium down six places, libraries and leisure, and neighbourhood and countryside services both down five places and street and grounds cleaning, and school improvement services both down four.</w:t>
      </w:r>
    </w:p>
    <w:tbl>
      <w:tblPr>
        <w:tblStyle w:val="TableGridLight"/>
        <w:tblpPr w:leftFromText="181" w:rightFromText="181" w:vertAnchor="page" w:horzAnchor="margin" w:tblpXSpec="center" w:tblpY="1742"/>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howing average scores for areas of priority and priority ranking."/>
        <w:tblDescription w:val="Those taking part highlighted adult social care as the area they most supported, displacing bins, waste and recycling from the top priority spot, and the least supported area was planning for the second year in a row.&#10;Some areas increase in the public’s priority ranking. The emerging issues were prevention and wellbeing services, moving up seven places in the priority ranking, private sector housing moving up five places and home options and housing related support up four. Services ranked from one to 27.&#10;The areas that faded in priority include cemeteries and crematorium down six places, libraries and leisure, and neighbourhood and countryside services both down five places and street and grounds cleaning, and school improvement services both down four.&#10;"/>
      </w:tblPr>
      <w:tblGrid>
        <w:gridCol w:w="5796"/>
        <w:gridCol w:w="816"/>
        <w:gridCol w:w="817"/>
        <w:gridCol w:w="816"/>
        <w:gridCol w:w="817"/>
        <w:gridCol w:w="1137"/>
      </w:tblGrid>
      <w:tr w:rsidR="00603E23" w:rsidRPr="00694805" w:rsidTr="00603E23">
        <w:trPr>
          <w:trHeight w:val="310"/>
          <w:tblHeader/>
        </w:trPr>
        <w:tc>
          <w:tcPr>
            <w:tcW w:w="5796" w:type="dxa"/>
            <w:shd w:val="clear" w:color="auto" w:fill="D9D9D9" w:themeFill="background1" w:themeFillShade="D9"/>
            <w:noWrap/>
            <w:hideMark/>
          </w:tcPr>
          <w:p w:rsidR="00603E23" w:rsidRPr="00BF32CA" w:rsidRDefault="00603E23" w:rsidP="00040672">
            <w:pPr>
              <w:jc w:val="center"/>
              <w:rPr>
                <w:rFonts w:ascii="Arial" w:eastAsia="Times New Roman" w:hAnsi="Arial" w:cs="Arial"/>
                <w:b/>
                <w:color w:val="000000"/>
                <w:sz w:val="24"/>
                <w:szCs w:val="24"/>
                <w:lang w:eastAsia="en-GB"/>
              </w:rPr>
            </w:pPr>
          </w:p>
        </w:tc>
        <w:tc>
          <w:tcPr>
            <w:tcW w:w="816" w:type="dxa"/>
            <w:shd w:val="clear" w:color="auto" w:fill="D9D9D9" w:themeFill="background1" w:themeFillShade="D9"/>
            <w:noWrap/>
            <w:hideMark/>
          </w:tcPr>
          <w:p w:rsidR="00603E23" w:rsidRPr="00BF32CA" w:rsidRDefault="00603E23" w:rsidP="00040672">
            <w:pPr>
              <w:jc w:val="cente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2020</w:t>
            </w:r>
          </w:p>
        </w:tc>
        <w:tc>
          <w:tcPr>
            <w:tcW w:w="817" w:type="dxa"/>
            <w:shd w:val="clear" w:color="auto" w:fill="D9D9D9" w:themeFill="background1" w:themeFillShade="D9"/>
          </w:tcPr>
          <w:p w:rsidR="00603E23" w:rsidRPr="00BF32CA" w:rsidRDefault="00603E23" w:rsidP="00040672">
            <w:pPr>
              <w:jc w:val="cente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2020</w:t>
            </w:r>
          </w:p>
        </w:tc>
        <w:tc>
          <w:tcPr>
            <w:tcW w:w="816" w:type="dxa"/>
            <w:shd w:val="clear" w:color="auto" w:fill="D9D9D9" w:themeFill="background1" w:themeFillShade="D9"/>
            <w:noWrap/>
            <w:hideMark/>
          </w:tcPr>
          <w:p w:rsidR="00603E23" w:rsidRPr="00BF32CA" w:rsidRDefault="00603E23" w:rsidP="00040672">
            <w:pPr>
              <w:jc w:val="cente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2019</w:t>
            </w:r>
          </w:p>
        </w:tc>
        <w:tc>
          <w:tcPr>
            <w:tcW w:w="817" w:type="dxa"/>
            <w:shd w:val="clear" w:color="auto" w:fill="D9D9D9" w:themeFill="background1" w:themeFillShade="D9"/>
          </w:tcPr>
          <w:p w:rsidR="00603E23" w:rsidRPr="00BF32CA" w:rsidRDefault="00603E23" w:rsidP="00040672">
            <w:pPr>
              <w:jc w:val="cente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2019</w:t>
            </w:r>
          </w:p>
        </w:tc>
        <w:tc>
          <w:tcPr>
            <w:tcW w:w="1137" w:type="dxa"/>
            <w:shd w:val="clear" w:color="auto" w:fill="D9D9D9" w:themeFill="background1" w:themeFillShade="D9"/>
            <w:hideMark/>
          </w:tcPr>
          <w:p w:rsidR="00603E23" w:rsidRPr="00BF32CA" w:rsidRDefault="00603E23" w:rsidP="00040672">
            <w:pPr>
              <w:jc w:val="center"/>
              <w:rPr>
                <w:rFonts w:ascii="Arial" w:eastAsia="Times New Roman" w:hAnsi="Arial" w:cs="Arial"/>
                <w:b/>
                <w:color w:val="000000"/>
                <w:sz w:val="24"/>
                <w:szCs w:val="24"/>
                <w:lang w:eastAsia="en-GB"/>
              </w:rPr>
            </w:pPr>
          </w:p>
        </w:tc>
      </w:tr>
      <w:tr w:rsidR="00040672" w:rsidRPr="00694805" w:rsidTr="00603E23">
        <w:trPr>
          <w:trHeight w:val="560"/>
          <w:tblHeader/>
        </w:trPr>
        <w:tc>
          <w:tcPr>
            <w:tcW w:w="5796" w:type="dxa"/>
            <w:shd w:val="clear" w:color="auto" w:fill="D9D9D9" w:themeFill="background1" w:themeFillShade="D9"/>
            <w:vAlign w:val="center"/>
            <w:hideMark/>
          </w:tcPr>
          <w:p w:rsidR="00040672" w:rsidRPr="00BF32CA" w:rsidRDefault="00603E23" w:rsidP="00603E23">
            <w:pPr>
              <w:jc w:val="center"/>
              <w:rPr>
                <w:rFonts w:ascii="Arial" w:eastAsia="Times New Roman" w:hAnsi="Arial" w:cs="Arial"/>
                <w:color w:val="000000"/>
                <w:sz w:val="24"/>
                <w:szCs w:val="24"/>
                <w:lang w:eastAsia="en-GB"/>
              </w:rPr>
            </w:pPr>
            <w:r w:rsidRPr="00BF32CA">
              <w:rPr>
                <w:rFonts w:ascii="Arial" w:eastAsia="Times New Roman" w:hAnsi="Arial" w:cs="Arial"/>
                <w:b/>
                <w:color w:val="000000"/>
                <w:sz w:val="24"/>
                <w:szCs w:val="24"/>
                <w:lang w:eastAsia="en-GB"/>
              </w:rPr>
              <w:t>Area</w:t>
            </w:r>
          </w:p>
        </w:tc>
        <w:tc>
          <w:tcPr>
            <w:tcW w:w="816" w:type="dxa"/>
            <w:shd w:val="clear" w:color="auto" w:fill="D9D9D9" w:themeFill="background1" w:themeFillShade="D9"/>
            <w:noWrap/>
            <w:hideMark/>
          </w:tcPr>
          <w:p w:rsidR="00040672" w:rsidRPr="00BF32CA" w:rsidRDefault="00040672" w:rsidP="00040672">
            <w:pP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Mean</w:t>
            </w:r>
          </w:p>
        </w:tc>
        <w:tc>
          <w:tcPr>
            <w:tcW w:w="817" w:type="dxa"/>
            <w:shd w:val="clear" w:color="auto" w:fill="D9D9D9" w:themeFill="background1" w:themeFillShade="D9"/>
            <w:noWrap/>
            <w:hideMark/>
          </w:tcPr>
          <w:p w:rsidR="00040672" w:rsidRPr="00BF32CA" w:rsidRDefault="00040672" w:rsidP="00040672">
            <w:pP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Rank</w:t>
            </w:r>
          </w:p>
        </w:tc>
        <w:tc>
          <w:tcPr>
            <w:tcW w:w="816" w:type="dxa"/>
            <w:shd w:val="clear" w:color="auto" w:fill="D9D9D9" w:themeFill="background1" w:themeFillShade="D9"/>
            <w:noWrap/>
            <w:hideMark/>
          </w:tcPr>
          <w:p w:rsidR="00040672" w:rsidRPr="00BF32CA" w:rsidRDefault="00040672" w:rsidP="00040672">
            <w:pP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Mean</w:t>
            </w:r>
          </w:p>
        </w:tc>
        <w:tc>
          <w:tcPr>
            <w:tcW w:w="817" w:type="dxa"/>
            <w:shd w:val="clear" w:color="auto" w:fill="D9D9D9" w:themeFill="background1" w:themeFillShade="D9"/>
            <w:noWrap/>
            <w:hideMark/>
          </w:tcPr>
          <w:p w:rsidR="00040672" w:rsidRPr="00BF32CA" w:rsidRDefault="00040672" w:rsidP="00040672">
            <w:pPr>
              <w:rPr>
                <w:rFonts w:ascii="Arial" w:eastAsia="Times New Roman" w:hAnsi="Arial" w:cs="Arial"/>
                <w:b/>
                <w:color w:val="000000"/>
                <w:sz w:val="24"/>
                <w:szCs w:val="24"/>
                <w:lang w:eastAsia="en-GB"/>
              </w:rPr>
            </w:pPr>
            <w:r w:rsidRPr="00BF32CA">
              <w:rPr>
                <w:rFonts w:ascii="Arial" w:eastAsia="Times New Roman" w:hAnsi="Arial" w:cs="Arial"/>
                <w:b/>
                <w:color w:val="000000"/>
                <w:sz w:val="24"/>
                <w:szCs w:val="24"/>
                <w:lang w:eastAsia="en-GB"/>
              </w:rPr>
              <w:t>Rank</w:t>
            </w:r>
          </w:p>
        </w:tc>
        <w:tc>
          <w:tcPr>
            <w:tcW w:w="1137" w:type="dxa"/>
            <w:shd w:val="clear" w:color="auto" w:fill="D9D9D9" w:themeFill="background1" w:themeFillShade="D9"/>
            <w:hideMark/>
          </w:tcPr>
          <w:p w:rsidR="00040672" w:rsidRPr="009A4CD3" w:rsidRDefault="00603E23" w:rsidP="00040672">
            <w:pPr>
              <w:rPr>
                <w:rFonts w:ascii="Arial" w:eastAsia="Times New Roman" w:hAnsi="Arial" w:cs="Arial"/>
                <w:color w:val="000000"/>
                <w:sz w:val="24"/>
                <w:szCs w:val="24"/>
                <w:lang w:eastAsia="en-GB"/>
              </w:rPr>
            </w:pPr>
            <w:r w:rsidRPr="00BF32CA">
              <w:rPr>
                <w:rFonts w:ascii="Arial" w:eastAsia="Times New Roman" w:hAnsi="Arial" w:cs="Arial"/>
                <w:b/>
                <w:color w:val="000000"/>
                <w:sz w:val="24"/>
                <w:szCs w:val="24"/>
                <w:lang w:eastAsia="en-GB"/>
              </w:rPr>
              <w:t>Rise/fall in rank</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Adult Social Care</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8.4</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7.7</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Bins, Waste and Recycling Service</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8.1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8.2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w:t>
            </w:r>
          </w:p>
        </w:tc>
        <w:tc>
          <w:tcPr>
            <w:tcW w:w="1137" w:type="dxa"/>
            <w:shd w:val="clear" w:color="auto" w:fill="FBCDCF"/>
            <w:noWrap/>
            <w:hideMark/>
          </w:tcPr>
          <w:p w:rsidR="00040672" w:rsidRPr="00977388" w:rsidRDefault="00040672" w:rsidP="00040672">
            <w:pPr>
              <w:jc w:val="center"/>
              <w:rPr>
                <w:rFonts w:ascii="Arial" w:eastAsia="Times New Roman" w:hAnsi="Arial" w:cs="Arial"/>
                <w:color w:val="9C0006"/>
                <w:sz w:val="24"/>
                <w:szCs w:val="24"/>
                <w:lang w:eastAsia="en-GB"/>
              </w:rPr>
            </w:pPr>
            <w:r w:rsidRPr="00977388">
              <w:rPr>
                <w:rFonts w:ascii="Arial" w:eastAsia="Times New Roman" w:hAnsi="Arial" w:cs="Arial"/>
                <w:color w:val="9C0006"/>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 xml:space="preserve">Child Protection </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8.0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3</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7.5</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4</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Economy and Regeneration</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7.9</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4</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5</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Safeguarding</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5</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8</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+3</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Enforcement and Safer Communities</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6</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6</w:t>
            </w:r>
          </w:p>
        </w:tc>
        <w:tc>
          <w:tcPr>
            <w:tcW w:w="1137" w:type="dxa"/>
            <w:shd w:val="clear" w:color="auto" w:fill="FEFCA4"/>
            <w:noWrap/>
            <w:hideMark/>
          </w:tcPr>
          <w:p w:rsidR="00040672" w:rsidRPr="009A4CD3" w:rsidRDefault="00040672" w:rsidP="00040672">
            <w:pPr>
              <w:jc w:val="center"/>
              <w:rPr>
                <w:rFonts w:ascii="Arial" w:eastAsia="Times New Roman" w:hAnsi="Arial" w:cs="Arial"/>
                <w:color w:val="9C6500"/>
                <w:sz w:val="24"/>
                <w:szCs w:val="24"/>
                <w:lang w:eastAsia="en-GB"/>
              </w:rPr>
            </w:pPr>
            <w:r w:rsidRPr="00694805">
              <w:rPr>
                <w:rFonts w:ascii="Arial" w:eastAsia="Times New Roman" w:hAnsi="Arial" w:cs="Arial"/>
                <w:color w:val="9C6500"/>
                <w:sz w:val="24"/>
                <w:szCs w:val="24"/>
                <w:lang w:eastAsia="en-GB"/>
              </w:rPr>
              <w:t xml:space="preserve"> </w:t>
            </w:r>
            <w:r w:rsidRPr="009A4CD3">
              <w:rPr>
                <w:rFonts w:ascii="Arial" w:eastAsia="Times New Roman" w:hAnsi="Arial" w:cs="Arial"/>
                <w:color w:val="9C6500"/>
                <w:sz w:val="24"/>
                <w:szCs w:val="24"/>
                <w:lang w:eastAsia="en-GB"/>
              </w:rPr>
              <w:t>0</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Street and Grounds Cleaning</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7.5</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7</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7.6</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3</w:t>
            </w:r>
          </w:p>
        </w:tc>
        <w:tc>
          <w:tcPr>
            <w:tcW w:w="1137" w:type="dxa"/>
            <w:shd w:val="clear" w:color="auto" w:fill="FBCDCF"/>
            <w:noWrap/>
            <w:hideMark/>
          </w:tcPr>
          <w:p w:rsidR="00040672" w:rsidRPr="009A4CD3" w:rsidRDefault="00040672" w:rsidP="00040672">
            <w:pPr>
              <w:jc w:val="center"/>
              <w:rPr>
                <w:rFonts w:ascii="Arial" w:eastAsia="Times New Roman" w:hAnsi="Arial" w:cs="Arial"/>
                <w:b/>
                <w:color w:val="9C0006"/>
                <w:sz w:val="24"/>
                <w:szCs w:val="24"/>
                <w:lang w:eastAsia="en-GB"/>
              </w:rPr>
            </w:pPr>
            <w:r w:rsidRPr="009A4CD3">
              <w:rPr>
                <w:rFonts w:ascii="Arial" w:eastAsia="Times New Roman" w:hAnsi="Arial" w:cs="Arial"/>
                <w:b/>
                <w:color w:val="9C0006"/>
                <w:sz w:val="24"/>
                <w:szCs w:val="24"/>
                <w:lang w:eastAsia="en-GB"/>
              </w:rPr>
              <w:t>-4</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Through Care and Disability</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7.3</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8</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6.9</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10</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Special Educational Needs and Disability (SEND) &amp; specialist services</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7.3</w:t>
            </w:r>
          </w:p>
        </w:tc>
        <w:tc>
          <w:tcPr>
            <w:tcW w:w="817"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9</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6.8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11</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Highways, Transport, Street Lighting and Car Parks</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10</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7.1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7</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-3</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Children’s health</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11</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6.6</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13</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Home Options and Housing Related Support</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12</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6.2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16</w:t>
            </w:r>
          </w:p>
        </w:tc>
        <w:tc>
          <w:tcPr>
            <w:tcW w:w="1137" w:type="dxa"/>
            <w:shd w:val="clear" w:color="auto" w:fill="D2F7BB"/>
            <w:noWrap/>
            <w:hideMark/>
          </w:tcPr>
          <w:p w:rsidR="00040672" w:rsidRPr="009A4CD3" w:rsidRDefault="00040672" w:rsidP="00040672">
            <w:pPr>
              <w:jc w:val="center"/>
              <w:rPr>
                <w:rFonts w:ascii="Arial" w:eastAsia="Times New Roman" w:hAnsi="Arial" w:cs="Arial"/>
                <w:b/>
                <w:color w:val="006100"/>
                <w:sz w:val="24"/>
                <w:szCs w:val="24"/>
                <w:lang w:eastAsia="en-GB"/>
              </w:rPr>
            </w:pPr>
            <w:r w:rsidRPr="009A4CD3">
              <w:rPr>
                <w:rFonts w:ascii="Arial" w:eastAsia="Times New Roman" w:hAnsi="Arial" w:cs="Arial"/>
                <w:b/>
                <w:color w:val="006100"/>
                <w:sz w:val="24"/>
                <w:szCs w:val="24"/>
                <w:lang w:eastAsia="en-GB"/>
              </w:rPr>
              <w:t>+4</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Young and Safe</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13</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6.7</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12</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Libraries and Leisure</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14</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6.9</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9</w:t>
            </w:r>
          </w:p>
        </w:tc>
        <w:tc>
          <w:tcPr>
            <w:tcW w:w="1137" w:type="dxa"/>
            <w:shd w:val="clear" w:color="auto" w:fill="FBCDCF"/>
            <w:noWrap/>
            <w:hideMark/>
          </w:tcPr>
          <w:p w:rsidR="00040672" w:rsidRPr="009A4CD3" w:rsidRDefault="00040672" w:rsidP="00040672">
            <w:pPr>
              <w:jc w:val="center"/>
              <w:rPr>
                <w:rFonts w:ascii="Arial" w:eastAsia="Times New Roman" w:hAnsi="Arial" w:cs="Arial"/>
                <w:b/>
                <w:color w:val="9C0006"/>
                <w:sz w:val="24"/>
                <w:szCs w:val="24"/>
                <w:lang w:eastAsia="en-GB"/>
              </w:rPr>
            </w:pPr>
            <w:r w:rsidRPr="009A4CD3">
              <w:rPr>
                <w:rFonts w:ascii="Arial" w:eastAsia="Times New Roman" w:hAnsi="Arial" w:cs="Arial"/>
                <w:b/>
                <w:color w:val="9C0006"/>
                <w:sz w:val="24"/>
                <w:szCs w:val="24"/>
                <w:lang w:eastAsia="en-GB"/>
              </w:rPr>
              <w:t>-5</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Prevention and Wellbeing Services</w:t>
            </w:r>
          </w:p>
        </w:tc>
        <w:tc>
          <w:tcPr>
            <w:tcW w:w="816" w:type="dxa"/>
            <w:noWrap/>
            <w:hideMark/>
          </w:tcPr>
          <w:p w:rsidR="00040672" w:rsidRPr="009A4CD3" w:rsidRDefault="00040672" w:rsidP="00040672">
            <w:pPr>
              <w:jc w:val="center"/>
              <w:rPr>
                <w:rFonts w:ascii="Arial" w:eastAsia="Times New Roman" w:hAnsi="Arial" w:cs="Arial"/>
                <w:color w:val="548235"/>
                <w:sz w:val="24"/>
                <w:szCs w:val="24"/>
                <w:lang w:eastAsia="en-GB"/>
              </w:rPr>
            </w:pPr>
            <w:r w:rsidRPr="009A4CD3">
              <w:rPr>
                <w:rFonts w:ascii="Arial" w:eastAsia="Times New Roman" w:hAnsi="Arial" w:cs="Arial"/>
                <w:color w:val="548235"/>
                <w:sz w:val="24"/>
                <w:szCs w:val="24"/>
                <w:lang w:eastAsia="en-GB"/>
              </w:rPr>
              <w:t>7.0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15</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5.6</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22</w:t>
            </w:r>
          </w:p>
        </w:tc>
        <w:tc>
          <w:tcPr>
            <w:tcW w:w="1137" w:type="dxa"/>
            <w:shd w:val="clear" w:color="auto" w:fill="D2F7BB"/>
            <w:noWrap/>
            <w:hideMark/>
          </w:tcPr>
          <w:p w:rsidR="00040672" w:rsidRPr="009A4CD3" w:rsidRDefault="00040672" w:rsidP="00040672">
            <w:pPr>
              <w:jc w:val="center"/>
              <w:rPr>
                <w:rFonts w:ascii="Arial" w:eastAsia="Times New Roman" w:hAnsi="Arial" w:cs="Arial"/>
                <w:b/>
                <w:color w:val="006100"/>
                <w:sz w:val="24"/>
                <w:szCs w:val="24"/>
                <w:lang w:eastAsia="en-GB"/>
              </w:rPr>
            </w:pPr>
            <w:r w:rsidRPr="009A4CD3">
              <w:rPr>
                <w:rFonts w:ascii="Arial" w:eastAsia="Times New Roman" w:hAnsi="Arial" w:cs="Arial"/>
                <w:b/>
                <w:color w:val="006100"/>
                <w:sz w:val="24"/>
                <w:szCs w:val="24"/>
                <w:lang w:eastAsia="en-GB"/>
              </w:rPr>
              <w:t>+7</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Flooding</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6.7</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16</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6.3</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15</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Family Hubs</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6.6</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17</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6.0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19</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School improvement services</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6.5</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18</w:t>
            </w:r>
          </w:p>
        </w:tc>
        <w:tc>
          <w:tcPr>
            <w:tcW w:w="816" w:type="dxa"/>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6.5</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14</w:t>
            </w:r>
          </w:p>
        </w:tc>
        <w:tc>
          <w:tcPr>
            <w:tcW w:w="1137" w:type="dxa"/>
            <w:shd w:val="clear" w:color="auto" w:fill="FBCDCF"/>
            <w:noWrap/>
            <w:hideMark/>
          </w:tcPr>
          <w:p w:rsidR="00040672" w:rsidRPr="009A4CD3" w:rsidRDefault="00040672" w:rsidP="00040672">
            <w:pPr>
              <w:jc w:val="center"/>
              <w:rPr>
                <w:rFonts w:ascii="Arial" w:eastAsia="Times New Roman" w:hAnsi="Arial" w:cs="Arial"/>
                <w:b/>
                <w:color w:val="9C0006"/>
                <w:sz w:val="24"/>
                <w:szCs w:val="24"/>
                <w:lang w:eastAsia="en-GB"/>
              </w:rPr>
            </w:pPr>
            <w:r w:rsidRPr="009A4CD3">
              <w:rPr>
                <w:rFonts w:ascii="Arial" w:eastAsia="Times New Roman" w:hAnsi="Arial" w:cs="Arial"/>
                <w:b/>
                <w:color w:val="9C0006"/>
                <w:sz w:val="24"/>
                <w:szCs w:val="24"/>
                <w:lang w:eastAsia="en-GB"/>
              </w:rPr>
              <w:t>-4</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Access and inclusion services</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6.5</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19</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6.0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18</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Private Sector Housing</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6.3</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20</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5.3</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25</w:t>
            </w:r>
          </w:p>
        </w:tc>
        <w:tc>
          <w:tcPr>
            <w:tcW w:w="1137" w:type="dxa"/>
            <w:shd w:val="clear" w:color="auto" w:fill="D2F7BB"/>
            <w:noWrap/>
            <w:hideMark/>
          </w:tcPr>
          <w:p w:rsidR="00040672" w:rsidRPr="009A4CD3" w:rsidRDefault="00040672" w:rsidP="00040672">
            <w:pPr>
              <w:jc w:val="center"/>
              <w:rPr>
                <w:rFonts w:ascii="Arial" w:eastAsia="Times New Roman" w:hAnsi="Arial" w:cs="Arial"/>
                <w:b/>
                <w:color w:val="006100"/>
                <w:sz w:val="24"/>
                <w:szCs w:val="24"/>
                <w:lang w:eastAsia="en-GB"/>
              </w:rPr>
            </w:pPr>
            <w:r w:rsidRPr="009A4CD3">
              <w:rPr>
                <w:rFonts w:ascii="Arial" w:eastAsia="Times New Roman" w:hAnsi="Arial" w:cs="Arial"/>
                <w:b/>
                <w:color w:val="006100"/>
                <w:sz w:val="24"/>
                <w:szCs w:val="24"/>
                <w:lang w:eastAsia="en-GB"/>
              </w:rPr>
              <w:t>+5</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Drug and Alcohol Recovery</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6.3</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21</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5.4</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23</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Neighbourhood and Countryside Services</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22</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6.1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17</w:t>
            </w:r>
          </w:p>
        </w:tc>
        <w:tc>
          <w:tcPr>
            <w:tcW w:w="1137" w:type="dxa"/>
            <w:shd w:val="clear" w:color="auto" w:fill="FBCDCF"/>
            <w:noWrap/>
            <w:hideMark/>
          </w:tcPr>
          <w:p w:rsidR="00040672" w:rsidRPr="009A4CD3" w:rsidRDefault="00040672" w:rsidP="00040672">
            <w:pPr>
              <w:jc w:val="center"/>
              <w:rPr>
                <w:rFonts w:ascii="Arial" w:eastAsia="Times New Roman" w:hAnsi="Arial" w:cs="Arial"/>
                <w:b/>
                <w:color w:val="9C0006"/>
                <w:sz w:val="24"/>
                <w:szCs w:val="24"/>
                <w:lang w:eastAsia="en-GB"/>
              </w:rPr>
            </w:pPr>
            <w:r w:rsidRPr="009A4CD3">
              <w:rPr>
                <w:rFonts w:ascii="Arial" w:eastAsia="Times New Roman" w:hAnsi="Arial" w:cs="Arial"/>
                <w:b/>
                <w:color w:val="9C0006"/>
                <w:sz w:val="24"/>
                <w:szCs w:val="24"/>
                <w:lang w:eastAsia="en-GB"/>
              </w:rPr>
              <w:t>-5</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Tourism and Visitor Offer</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23</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21</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Corporate and Democratic services</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6.1</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24</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26</w:t>
            </w:r>
          </w:p>
        </w:tc>
        <w:tc>
          <w:tcPr>
            <w:tcW w:w="1137" w:type="dxa"/>
            <w:shd w:val="clear" w:color="auto" w:fill="D2F7BB"/>
            <w:noWrap/>
            <w:hideMark/>
          </w:tcPr>
          <w:p w:rsidR="00040672" w:rsidRPr="009A4CD3" w:rsidRDefault="00040672" w:rsidP="00040672">
            <w:pPr>
              <w:jc w:val="center"/>
              <w:rPr>
                <w:rFonts w:ascii="Arial" w:eastAsia="Times New Roman" w:hAnsi="Arial" w:cs="Arial"/>
                <w:color w:val="006100"/>
                <w:sz w:val="24"/>
                <w:szCs w:val="24"/>
                <w:lang w:eastAsia="en-GB"/>
              </w:rPr>
            </w:pPr>
            <w:r w:rsidRPr="009A4CD3">
              <w:rPr>
                <w:rFonts w:ascii="Arial" w:eastAsia="Times New Roman" w:hAnsi="Arial" w:cs="Arial"/>
                <w:color w:val="006100"/>
                <w:sz w:val="24"/>
                <w:szCs w:val="24"/>
                <w:lang w:eastAsia="en-GB"/>
              </w:rPr>
              <w:t>+2</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Sexual Health</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6.0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25</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5.4</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24</w:t>
            </w:r>
          </w:p>
        </w:tc>
        <w:tc>
          <w:tcPr>
            <w:tcW w:w="1137" w:type="dxa"/>
            <w:shd w:val="clear" w:color="auto" w:fill="FBCDCF"/>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-1</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Cemeteries and Crematorium</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5.8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26</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5.8</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20</w:t>
            </w:r>
          </w:p>
        </w:tc>
        <w:tc>
          <w:tcPr>
            <w:tcW w:w="1137" w:type="dxa"/>
            <w:shd w:val="clear" w:color="auto" w:fill="FBCDCF"/>
            <w:noWrap/>
            <w:hideMark/>
          </w:tcPr>
          <w:p w:rsidR="00040672" w:rsidRPr="009A4CD3" w:rsidRDefault="00040672" w:rsidP="00040672">
            <w:pPr>
              <w:jc w:val="center"/>
              <w:rPr>
                <w:rFonts w:ascii="Arial" w:eastAsia="Times New Roman" w:hAnsi="Arial" w:cs="Arial"/>
                <w:b/>
                <w:color w:val="9C0006"/>
                <w:sz w:val="24"/>
                <w:szCs w:val="24"/>
                <w:lang w:eastAsia="en-GB"/>
              </w:rPr>
            </w:pPr>
            <w:r w:rsidRPr="009A4CD3">
              <w:rPr>
                <w:rFonts w:ascii="Arial" w:eastAsia="Times New Roman" w:hAnsi="Arial" w:cs="Arial"/>
                <w:b/>
                <w:color w:val="9C0006"/>
                <w:sz w:val="24"/>
                <w:szCs w:val="24"/>
                <w:lang w:eastAsia="en-GB"/>
              </w:rPr>
              <w:t>-6</w:t>
            </w:r>
          </w:p>
        </w:tc>
      </w:tr>
      <w:tr w:rsidR="00040672" w:rsidRPr="00694805" w:rsidTr="00603E23">
        <w:trPr>
          <w:trHeight w:val="310"/>
        </w:trPr>
        <w:tc>
          <w:tcPr>
            <w:tcW w:w="5796" w:type="dxa"/>
            <w:noWrap/>
            <w:hideMark/>
          </w:tcPr>
          <w:p w:rsidR="00040672" w:rsidRPr="009A4CD3" w:rsidRDefault="00040672" w:rsidP="00040672">
            <w:pP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Planning</w:t>
            </w:r>
          </w:p>
        </w:tc>
        <w:tc>
          <w:tcPr>
            <w:tcW w:w="816" w:type="dxa"/>
            <w:noWrap/>
            <w:hideMark/>
          </w:tcPr>
          <w:p w:rsidR="00040672" w:rsidRPr="009A4CD3" w:rsidRDefault="00040672" w:rsidP="00040672">
            <w:pPr>
              <w:jc w:val="center"/>
              <w:rPr>
                <w:rFonts w:ascii="Arial" w:eastAsia="Times New Roman" w:hAnsi="Arial" w:cs="Arial"/>
                <w:color w:val="C00000"/>
                <w:sz w:val="24"/>
                <w:szCs w:val="24"/>
                <w:lang w:eastAsia="en-GB"/>
              </w:rPr>
            </w:pPr>
            <w:r w:rsidRPr="009A4CD3">
              <w:rPr>
                <w:rFonts w:ascii="Arial" w:eastAsia="Times New Roman" w:hAnsi="Arial" w:cs="Arial"/>
                <w:color w:val="C00000"/>
                <w:sz w:val="24"/>
                <w:szCs w:val="24"/>
                <w:lang w:eastAsia="en-GB"/>
              </w:rPr>
              <w:t>5.2</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27</w:t>
            </w:r>
          </w:p>
        </w:tc>
        <w:tc>
          <w:tcPr>
            <w:tcW w:w="816" w:type="dxa"/>
            <w:noWrap/>
            <w:hideMark/>
          </w:tcPr>
          <w:p w:rsidR="00040672" w:rsidRPr="009A4CD3" w:rsidRDefault="00040672" w:rsidP="00040672">
            <w:pPr>
              <w:jc w:val="center"/>
              <w:rPr>
                <w:rFonts w:ascii="Arial" w:eastAsia="Times New Roman" w:hAnsi="Arial" w:cs="Arial"/>
                <w:color w:val="9C0006"/>
                <w:sz w:val="24"/>
                <w:szCs w:val="24"/>
                <w:lang w:eastAsia="en-GB"/>
              </w:rPr>
            </w:pPr>
            <w:r w:rsidRPr="009A4CD3">
              <w:rPr>
                <w:rFonts w:ascii="Arial" w:eastAsia="Times New Roman" w:hAnsi="Arial" w:cs="Arial"/>
                <w:color w:val="9C0006"/>
                <w:sz w:val="24"/>
                <w:szCs w:val="24"/>
                <w:lang w:eastAsia="en-GB"/>
              </w:rPr>
              <w:t>5.0</w:t>
            </w:r>
          </w:p>
        </w:tc>
        <w:tc>
          <w:tcPr>
            <w:tcW w:w="817" w:type="dxa"/>
            <w:noWrap/>
            <w:hideMark/>
          </w:tcPr>
          <w:p w:rsidR="00040672" w:rsidRPr="009A4CD3" w:rsidRDefault="00040672" w:rsidP="00040672">
            <w:pPr>
              <w:jc w:val="center"/>
              <w:rPr>
                <w:rFonts w:ascii="Arial" w:eastAsia="Times New Roman" w:hAnsi="Arial" w:cs="Arial"/>
                <w:color w:val="000000"/>
                <w:sz w:val="24"/>
                <w:szCs w:val="24"/>
                <w:lang w:eastAsia="en-GB"/>
              </w:rPr>
            </w:pPr>
            <w:r w:rsidRPr="009A4CD3">
              <w:rPr>
                <w:rFonts w:ascii="Arial" w:eastAsia="Times New Roman" w:hAnsi="Arial" w:cs="Arial"/>
                <w:color w:val="000000"/>
                <w:sz w:val="24"/>
                <w:szCs w:val="24"/>
                <w:lang w:eastAsia="en-GB"/>
              </w:rPr>
              <w:t>27</w:t>
            </w:r>
          </w:p>
        </w:tc>
        <w:tc>
          <w:tcPr>
            <w:tcW w:w="1137" w:type="dxa"/>
            <w:shd w:val="clear" w:color="auto" w:fill="FEFCA4"/>
            <w:noWrap/>
            <w:hideMark/>
          </w:tcPr>
          <w:p w:rsidR="00040672" w:rsidRPr="009A4CD3" w:rsidRDefault="00040672" w:rsidP="00040672">
            <w:pPr>
              <w:jc w:val="center"/>
              <w:rPr>
                <w:rFonts w:ascii="Arial" w:eastAsia="Times New Roman" w:hAnsi="Arial" w:cs="Arial"/>
                <w:color w:val="9C6500"/>
                <w:sz w:val="24"/>
                <w:szCs w:val="24"/>
                <w:lang w:eastAsia="en-GB"/>
              </w:rPr>
            </w:pPr>
            <w:r w:rsidRPr="00694805">
              <w:rPr>
                <w:rFonts w:ascii="Arial" w:eastAsia="Times New Roman" w:hAnsi="Arial" w:cs="Arial"/>
                <w:color w:val="9C6500"/>
                <w:sz w:val="24"/>
                <w:szCs w:val="24"/>
                <w:lang w:eastAsia="en-GB"/>
              </w:rPr>
              <w:t xml:space="preserve"> </w:t>
            </w:r>
            <w:r w:rsidRPr="009A4CD3">
              <w:rPr>
                <w:rFonts w:ascii="Arial" w:eastAsia="Times New Roman" w:hAnsi="Arial" w:cs="Arial"/>
                <w:color w:val="9C6500"/>
                <w:sz w:val="24"/>
                <w:szCs w:val="24"/>
                <w:lang w:eastAsia="en-GB"/>
              </w:rPr>
              <w:t>0</w:t>
            </w:r>
          </w:p>
        </w:tc>
      </w:tr>
    </w:tbl>
    <w:p w:rsidR="00040672" w:rsidRPr="00694805" w:rsidRDefault="00040672">
      <w:pPr>
        <w:rPr>
          <w:rFonts w:ascii="Arial" w:hAnsi="Arial" w:cs="Arial"/>
          <w:sz w:val="24"/>
          <w:szCs w:val="24"/>
        </w:rPr>
      </w:pPr>
    </w:p>
    <w:p w:rsidR="00DE29DF" w:rsidRPr="00694805" w:rsidRDefault="00DE29DF" w:rsidP="00076FED">
      <w:pPr>
        <w:jc w:val="center"/>
        <w:rPr>
          <w:rFonts w:ascii="Arial" w:hAnsi="Arial" w:cs="Arial"/>
          <w:b/>
          <w:sz w:val="32"/>
          <w:u w:val="single"/>
        </w:rPr>
      </w:pPr>
      <w:r w:rsidRPr="00694805">
        <w:rPr>
          <w:rFonts w:ascii="Arial" w:hAnsi="Arial" w:cs="Arial"/>
          <w:noProof/>
          <w:lang w:eastAsia="en-GB"/>
        </w:rPr>
        <w:lastRenderedPageBreak/>
        <w:drawing>
          <wp:inline distT="0" distB="0" distL="0" distR="0" wp14:anchorId="54EAA5A7" wp14:editId="19B67F55">
            <wp:extent cx="6197600" cy="3149600"/>
            <wp:effectExtent l="0" t="0" r="12700" b="12700"/>
            <wp:docPr id="7" name="Chart 7" descr="Park ward had the highest number of responses (24) followed by Haverstoe (19) and humberston and New Waltham (17). South ward recorded the lowest response (5). " title="Ward breakdown of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76FED" w:rsidRPr="00694805" w:rsidRDefault="00076FED" w:rsidP="00076FED">
      <w:pPr>
        <w:rPr>
          <w:rFonts w:ascii="Arial" w:hAnsi="Arial" w:cs="Arial"/>
          <w:sz w:val="32"/>
        </w:rPr>
      </w:pPr>
    </w:p>
    <w:p w:rsidR="0092461A" w:rsidRPr="00694805" w:rsidRDefault="00DE29DF" w:rsidP="007B115C">
      <w:pPr>
        <w:jc w:val="center"/>
        <w:rPr>
          <w:rFonts w:ascii="Arial" w:hAnsi="Arial" w:cs="Arial"/>
          <w:sz w:val="32"/>
        </w:rPr>
      </w:pPr>
      <w:r w:rsidRPr="00694805">
        <w:rPr>
          <w:rFonts w:ascii="Arial" w:hAnsi="Arial" w:cs="Arial"/>
          <w:noProof/>
          <w:sz w:val="32"/>
          <w:lang w:eastAsia="en-GB"/>
        </w:rPr>
        <w:drawing>
          <wp:inline distT="0" distB="0" distL="0" distR="0" wp14:anchorId="031EFA84" wp14:editId="5EB88382">
            <wp:extent cx="6182751" cy="3235569"/>
            <wp:effectExtent l="0" t="0" r="8890" b="3175"/>
            <wp:docPr id="1" name="Chart 1" descr="5 to 19 year olds made up one percent of the responses. &#10;20 to 34 year olds made up 16% &#10;35 to 49 made up 33%.&#10;50-64 made up 32%.&#10;65 and older made up 18%." title="Age brekdown of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29DF" w:rsidRPr="00694805" w:rsidRDefault="00DE29DF">
      <w:pPr>
        <w:rPr>
          <w:rFonts w:ascii="Arial" w:hAnsi="Arial" w:cs="Arial"/>
          <w:b/>
          <w:sz w:val="32"/>
          <w:u w:val="single"/>
        </w:rPr>
      </w:pPr>
      <w:r w:rsidRPr="00694805">
        <w:rPr>
          <w:rFonts w:ascii="Arial" w:hAnsi="Arial" w:cs="Arial"/>
          <w:b/>
          <w:sz w:val="32"/>
          <w:u w:val="single"/>
        </w:rPr>
        <w:br w:type="page"/>
      </w:r>
    </w:p>
    <w:p w:rsidR="0092461A" w:rsidRPr="00694805" w:rsidRDefault="00DE29DF" w:rsidP="007B115C">
      <w:pPr>
        <w:tabs>
          <w:tab w:val="left" w:pos="960"/>
        </w:tabs>
        <w:jc w:val="center"/>
        <w:rPr>
          <w:rFonts w:ascii="Arial" w:hAnsi="Arial" w:cs="Arial"/>
          <w:sz w:val="32"/>
        </w:rPr>
      </w:pPr>
      <w:r w:rsidRPr="00694805">
        <w:rPr>
          <w:rFonts w:ascii="Arial" w:hAnsi="Arial" w:cs="Arial"/>
          <w:noProof/>
          <w:sz w:val="32"/>
          <w:lang w:eastAsia="en-GB"/>
        </w:rPr>
        <w:lastRenderedPageBreak/>
        <w:drawing>
          <wp:inline distT="0" distB="0" distL="0" distR="0" wp14:anchorId="7A58D32E" wp14:editId="36FBA562">
            <wp:extent cx="6126480" cy="3125972"/>
            <wp:effectExtent l="0" t="0" r="7620" b="17780"/>
            <wp:docPr id="9" name="Chart 9" descr="14% stated a disability, illness or infirmity&#10;6% prefered not top say&#10;80% did not state a disability, illness or infirmity" title="Disability, illness or infirmity breakdow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115C" w:rsidRDefault="007B115C" w:rsidP="007B115C">
      <w:pPr>
        <w:tabs>
          <w:tab w:val="left" w:pos="960"/>
        </w:tabs>
        <w:jc w:val="center"/>
        <w:rPr>
          <w:rFonts w:ascii="Arial" w:hAnsi="Arial" w:cs="Arial"/>
          <w:sz w:val="32"/>
        </w:rPr>
      </w:pPr>
      <w:r w:rsidRPr="00694805">
        <w:rPr>
          <w:rFonts w:ascii="Arial" w:hAnsi="Arial" w:cs="Arial"/>
          <w:noProof/>
          <w:lang w:eastAsia="en-GB"/>
        </w:rPr>
        <w:drawing>
          <wp:inline distT="0" distB="0" distL="0" distR="0" wp14:anchorId="6375CC10" wp14:editId="2B5E37C7">
            <wp:extent cx="6154615" cy="4621237"/>
            <wp:effectExtent l="0" t="0" r="17780" b="8255"/>
            <wp:docPr id="10" name="Chart 10" descr="The top 5 suggestions were:&#10;Internal improvement (20%)&#10;Improving the town (19%)&#10;Support services (17%)&#10;Reducing the pay of higher management (12%)&#10;Community Projects (7%)&#10;Other responses made up around 26%" title="Chart showing money saving sugges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33EE" w:rsidRPr="00E433EE" w:rsidRDefault="00E433EE" w:rsidP="00E433EE">
      <w:pPr>
        <w:tabs>
          <w:tab w:val="left" w:pos="960"/>
        </w:tabs>
        <w:rPr>
          <w:rFonts w:ascii="Arial" w:hAnsi="Arial" w:cs="Arial"/>
          <w:sz w:val="32"/>
        </w:rPr>
      </w:pPr>
      <w:r>
        <w:rPr>
          <w:rFonts w:ascii="Arial" w:hAnsi="Arial" w:cs="Arial"/>
          <w:b/>
          <w:sz w:val="32"/>
        </w:rPr>
        <w:t xml:space="preserve">Internal Improvement </w:t>
      </w:r>
      <w:r w:rsidRPr="00E433EE">
        <w:rPr>
          <w:rFonts w:ascii="Arial" w:hAnsi="Arial" w:cs="Arial"/>
          <w:sz w:val="32"/>
        </w:rPr>
        <w:t>means improving the way we do things internally as a council.</w:t>
      </w:r>
    </w:p>
    <w:p w:rsidR="00E433EE" w:rsidRDefault="00E433EE" w:rsidP="00E433EE">
      <w:pPr>
        <w:tabs>
          <w:tab w:val="left" w:pos="960"/>
        </w:tabs>
        <w:rPr>
          <w:rFonts w:ascii="Arial" w:hAnsi="Arial" w:cs="Arial"/>
          <w:sz w:val="32"/>
        </w:rPr>
      </w:pPr>
      <w:r w:rsidRPr="00E433EE">
        <w:rPr>
          <w:rFonts w:ascii="Arial" w:hAnsi="Arial" w:cs="Arial"/>
          <w:b/>
          <w:sz w:val="32"/>
        </w:rPr>
        <w:lastRenderedPageBreak/>
        <w:t>Support services</w:t>
      </w:r>
      <w:r>
        <w:rPr>
          <w:rFonts w:ascii="Arial" w:hAnsi="Arial" w:cs="Arial"/>
          <w:sz w:val="32"/>
        </w:rPr>
        <w:t xml:space="preserve"> means putting more support into any service whether that be funding or using the services we already have to carry out our functions.</w:t>
      </w:r>
    </w:p>
    <w:sectPr w:rsidR="00E433EE" w:rsidSect="00181D0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AD" w:rsidRDefault="009E06AD" w:rsidP="00076FED">
      <w:pPr>
        <w:spacing w:after="0" w:line="240" w:lineRule="auto"/>
      </w:pPr>
      <w:r>
        <w:separator/>
      </w:r>
    </w:p>
  </w:endnote>
  <w:endnote w:type="continuationSeparator" w:id="0">
    <w:p w:rsidR="009E06AD" w:rsidRDefault="009E06AD" w:rsidP="0007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AD" w:rsidRDefault="009E06AD" w:rsidP="00076FED">
      <w:pPr>
        <w:spacing w:after="0" w:line="240" w:lineRule="auto"/>
      </w:pPr>
      <w:r>
        <w:separator/>
      </w:r>
    </w:p>
  </w:footnote>
  <w:footnote w:type="continuationSeparator" w:id="0">
    <w:p w:rsidR="009E06AD" w:rsidRDefault="009E06AD" w:rsidP="00076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F9"/>
    <w:rsid w:val="00040672"/>
    <w:rsid w:val="00076FED"/>
    <w:rsid w:val="000B598E"/>
    <w:rsid w:val="000E6FBB"/>
    <w:rsid w:val="00177502"/>
    <w:rsid w:val="00181D08"/>
    <w:rsid w:val="001A0A9C"/>
    <w:rsid w:val="001E3D0B"/>
    <w:rsid w:val="00351411"/>
    <w:rsid w:val="003D6E9C"/>
    <w:rsid w:val="003E1CE6"/>
    <w:rsid w:val="004B039F"/>
    <w:rsid w:val="005150E1"/>
    <w:rsid w:val="00603E23"/>
    <w:rsid w:val="00656B89"/>
    <w:rsid w:val="00694805"/>
    <w:rsid w:val="006A05A1"/>
    <w:rsid w:val="007B115C"/>
    <w:rsid w:val="00860E5F"/>
    <w:rsid w:val="008A58B2"/>
    <w:rsid w:val="0092461A"/>
    <w:rsid w:val="00977388"/>
    <w:rsid w:val="009A4CD3"/>
    <w:rsid w:val="009E06AD"/>
    <w:rsid w:val="00A906D3"/>
    <w:rsid w:val="00AA66AE"/>
    <w:rsid w:val="00AE5F33"/>
    <w:rsid w:val="00B97A21"/>
    <w:rsid w:val="00BF32CA"/>
    <w:rsid w:val="00BF7D85"/>
    <w:rsid w:val="00C85D40"/>
    <w:rsid w:val="00CB248B"/>
    <w:rsid w:val="00D20696"/>
    <w:rsid w:val="00DE29DF"/>
    <w:rsid w:val="00E433EE"/>
    <w:rsid w:val="00F94E5C"/>
    <w:rsid w:val="00FB26F9"/>
    <w:rsid w:val="00FC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972A"/>
  <w15:docId w15:val="{48719C5C-F6D4-4C86-A08A-B6D68B98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3D0B"/>
    <w:pPr>
      <w:spacing w:before="48" w:after="120" w:line="291" w:lineRule="atLeast"/>
      <w:outlineLvl w:val="1"/>
    </w:pPr>
    <w:rPr>
      <w:rFonts w:ascii="Helvetica" w:eastAsia="Times New Roman" w:hAnsi="Helvetica" w:cs="Times New Roman"/>
      <w:b/>
      <w:bCs/>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3D0B"/>
    <w:rPr>
      <w:rFonts w:ascii="Helvetica" w:eastAsia="Times New Roman" w:hAnsi="Helvetica" w:cs="Times New Roman"/>
      <w:b/>
      <w:bCs/>
      <w:sz w:val="41"/>
      <w:szCs w:val="41"/>
      <w:lang w:eastAsia="en-GB"/>
    </w:rPr>
  </w:style>
  <w:style w:type="paragraph" w:styleId="Header">
    <w:name w:val="header"/>
    <w:basedOn w:val="Normal"/>
    <w:link w:val="HeaderChar"/>
    <w:uiPriority w:val="99"/>
    <w:unhideWhenUsed/>
    <w:rsid w:val="00076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FED"/>
  </w:style>
  <w:style w:type="paragraph" w:styleId="Footer">
    <w:name w:val="footer"/>
    <w:basedOn w:val="Normal"/>
    <w:link w:val="FooterChar"/>
    <w:uiPriority w:val="99"/>
    <w:unhideWhenUsed/>
    <w:rsid w:val="00076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FED"/>
  </w:style>
  <w:style w:type="paragraph" w:styleId="BalloonText">
    <w:name w:val="Balloon Text"/>
    <w:basedOn w:val="Normal"/>
    <w:link w:val="BalloonTextChar"/>
    <w:uiPriority w:val="99"/>
    <w:semiHidden/>
    <w:unhideWhenUsed/>
    <w:rsid w:val="00177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2"/>
    <w:rPr>
      <w:rFonts w:ascii="Tahoma" w:hAnsi="Tahoma" w:cs="Tahoma"/>
      <w:sz w:val="16"/>
      <w:szCs w:val="16"/>
    </w:rPr>
  </w:style>
  <w:style w:type="table" w:styleId="TableGridLight">
    <w:name w:val="Grid Table Light"/>
    <w:basedOn w:val="TableNormal"/>
    <w:uiPriority w:val="40"/>
    <w:rsid w:val="00BF32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40672"/>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216">
      <w:bodyDiv w:val="1"/>
      <w:marLeft w:val="0"/>
      <w:marRight w:val="0"/>
      <w:marTop w:val="0"/>
      <w:marBottom w:val="0"/>
      <w:divBdr>
        <w:top w:val="none" w:sz="0" w:space="0" w:color="auto"/>
        <w:left w:val="none" w:sz="0" w:space="0" w:color="auto"/>
        <w:bottom w:val="none" w:sz="0" w:space="0" w:color="auto"/>
        <w:right w:val="none" w:sz="0" w:space="0" w:color="auto"/>
      </w:divBdr>
    </w:div>
    <w:div w:id="253050309">
      <w:bodyDiv w:val="1"/>
      <w:marLeft w:val="0"/>
      <w:marRight w:val="0"/>
      <w:marTop w:val="0"/>
      <w:marBottom w:val="0"/>
      <w:divBdr>
        <w:top w:val="none" w:sz="0" w:space="0" w:color="auto"/>
        <w:left w:val="none" w:sz="0" w:space="0" w:color="auto"/>
        <w:bottom w:val="none" w:sz="0" w:space="0" w:color="auto"/>
        <w:right w:val="none" w:sz="0" w:space="0" w:color="auto"/>
      </w:divBdr>
    </w:div>
    <w:div w:id="421339733">
      <w:bodyDiv w:val="1"/>
      <w:marLeft w:val="0"/>
      <w:marRight w:val="0"/>
      <w:marTop w:val="0"/>
      <w:marBottom w:val="0"/>
      <w:divBdr>
        <w:top w:val="none" w:sz="0" w:space="0" w:color="auto"/>
        <w:left w:val="none" w:sz="0" w:space="0" w:color="auto"/>
        <w:bottom w:val="none" w:sz="0" w:space="0" w:color="auto"/>
        <w:right w:val="none" w:sz="0" w:space="0" w:color="auto"/>
      </w:divBdr>
    </w:div>
    <w:div w:id="524174412">
      <w:bodyDiv w:val="1"/>
      <w:marLeft w:val="0"/>
      <w:marRight w:val="0"/>
      <w:marTop w:val="0"/>
      <w:marBottom w:val="0"/>
      <w:divBdr>
        <w:top w:val="none" w:sz="0" w:space="0" w:color="auto"/>
        <w:left w:val="none" w:sz="0" w:space="0" w:color="auto"/>
        <w:bottom w:val="none" w:sz="0" w:space="0" w:color="auto"/>
        <w:right w:val="none" w:sz="0" w:space="0" w:color="auto"/>
      </w:divBdr>
    </w:div>
    <w:div w:id="540939760">
      <w:bodyDiv w:val="1"/>
      <w:marLeft w:val="0"/>
      <w:marRight w:val="0"/>
      <w:marTop w:val="0"/>
      <w:marBottom w:val="0"/>
      <w:divBdr>
        <w:top w:val="none" w:sz="0" w:space="0" w:color="auto"/>
        <w:left w:val="none" w:sz="0" w:space="0" w:color="auto"/>
        <w:bottom w:val="none" w:sz="0" w:space="0" w:color="auto"/>
        <w:right w:val="none" w:sz="0" w:space="0" w:color="auto"/>
      </w:divBdr>
    </w:div>
    <w:div w:id="752094022">
      <w:bodyDiv w:val="1"/>
      <w:marLeft w:val="0"/>
      <w:marRight w:val="0"/>
      <w:marTop w:val="0"/>
      <w:marBottom w:val="0"/>
      <w:divBdr>
        <w:top w:val="none" w:sz="0" w:space="0" w:color="auto"/>
        <w:left w:val="none" w:sz="0" w:space="0" w:color="auto"/>
        <w:bottom w:val="none" w:sz="0" w:space="0" w:color="auto"/>
        <w:right w:val="none" w:sz="0" w:space="0" w:color="auto"/>
      </w:divBdr>
    </w:div>
    <w:div w:id="804587020">
      <w:bodyDiv w:val="1"/>
      <w:marLeft w:val="0"/>
      <w:marRight w:val="0"/>
      <w:marTop w:val="0"/>
      <w:marBottom w:val="0"/>
      <w:divBdr>
        <w:top w:val="none" w:sz="0" w:space="0" w:color="auto"/>
        <w:left w:val="none" w:sz="0" w:space="0" w:color="auto"/>
        <w:bottom w:val="none" w:sz="0" w:space="0" w:color="auto"/>
        <w:right w:val="none" w:sz="0" w:space="0" w:color="auto"/>
      </w:divBdr>
    </w:div>
    <w:div w:id="892232348">
      <w:bodyDiv w:val="1"/>
      <w:marLeft w:val="0"/>
      <w:marRight w:val="0"/>
      <w:marTop w:val="0"/>
      <w:marBottom w:val="0"/>
      <w:divBdr>
        <w:top w:val="none" w:sz="0" w:space="0" w:color="auto"/>
        <w:left w:val="none" w:sz="0" w:space="0" w:color="auto"/>
        <w:bottom w:val="none" w:sz="0" w:space="0" w:color="auto"/>
        <w:right w:val="none" w:sz="0" w:space="0" w:color="auto"/>
      </w:divBdr>
    </w:div>
    <w:div w:id="1697270413">
      <w:bodyDiv w:val="1"/>
      <w:marLeft w:val="0"/>
      <w:marRight w:val="0"/>
      <w:marTop w:val="0"/>
      <w:marBottom w:val="0"/>
      <w:divBdr>
        <w:top w:val="none" w:sz="0" w:space="0" w:color="auto"/>
        <w:left w:val="none" w:sz="0" w:space="0" w:color="auto"/>
        <w:bottom w:val="none" w:sz="0" w:space="0" w:color="auto"/>
        <w:right w:val="none" w:sz="0" w:space="0" w:color="auto"/>
      </w:divBdr>
    </w:div>
    <w:div w:id="2056730008">
      <w:bodyDiv w:val="1"/>
      <w:marLeft w:val="0"/>
      <w:marRight w:val="0"/>
      <w:marTop w:val="0"/>
      <w:marBottom w:val="0"/>
      <w:divBdr>
        <w:top w:val="none" w:sz="0" w:space="0" w:color="auto"/>
        <w:left w:val="none" w:sz="0" w:space="0" w:color="auto"/>
        <w:bottom w:val="none" w:sz="0" w:space="0" w:color="auto"/>
        <w:right w:val="none" w:sz="0" w:space="0" w:color="auto"/>
      </w:divBdr>
    </w:div>
    <w:div w:id="20681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NELDATL2\Data\Policy_Performance_&amp;_Development\Communications\Consultation%20and%20Engagement\Personal%20Data\Budget\2020\Budget%202020%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lincs-dat3\UserAreas$\DulieA\My%20Documents\Downloads\QuestionPro-Tag-Export-1602652312-01-29-2020-T041037%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[Budget 2020 report.xlsx]Sheet3!PivotTable1</c:name>
    <c:fmtId val="-1"/>
  </c:pivotSource>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US" sz="2000" b="1">
                <a:solidFill>
                  <a:sysClr val="windowText" lastClr="000000"/>
                </a:solidFill>
                <a:latin typeface="Arial" panose="020B0604020202020204" pitchFamily="34" charset="0"/>
                <a:cs typeface="Arial" panose="020B0604020202020204" pitchFamily="34" charset="0"/>
              </a:rPr>
              <a:t>Ward Breakdown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US"/>
        </a:p>
      </c:txPr>
    </c:title>
    <c:autoTitleDeleted val="0"/>
    <c:pivotFmts>
      <c:pivotFmt>
        <c:idx val="0"/>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Sheet3!$B$1</c:f>
              <c:strCache>
                <c:ptCount val="1"/>
                <c:pt idx="0">
                  <c:v>Total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Sheet3!$A$2:$A$17</c:f>
              <c:strCache>
                <c:ptCount val="15"/>
                <c:pt idx="0">
                  <c:v>Park</c:v>
                </c:pt>
                <c:pt idx="1">
                  <c:v>Haverstoe</c:v>
                </c:pt>
                <c:pt idx="2">
                  <c:v>Humberston and New Waltham</c:v>
                </c:pt>
                <c:pt idx="3">
                  <c:v>Immingham</c:v>
                </c:pt>
                <c:pt idx="4">
                  <c:v>Freshney</c:v>
                </c:pt>
                <c:pt idx="5">
                  <c:v>Croft Baker</c:v>
                </c:pt>
                <c:pt idx="6">
                  <c:v>Yarborough</c:v>
                </c:pt>
                <c:pt idx="7">
                  <c:v>West Marsh</c:v>
                </c:pt>
                <c:pt idx="8">
                  <c:v>Scartho</c:v>
                </c:pt>
                <c:pt idx="9">
                  <c:v>Heneage</c:v>
                </c:pt>
                <c:pt idx="10">
                  <c:v>Waltham</c:v>
                </c:pt>
                <c:pt idx="11">
                  <c:v>Sidney Sussex</c:v>
                </c:pt>
                <c:pt idx="12">
                  <c:v>Wolds</c:v>
                </c:pt>
                <c:pt idx="13">
                  <c:v>East Marsh</c:v>
                </c:pt>
                <c:pt idx="14">
                  <c:v>South</c:v>
                </c:pt>
              </c:strCache>
            </c:strRef>
          </c:cat>
          <c:val>
            <c:numRef>
              <c:f>Sheet3!$B$2:$B$17</c:f>
              <c:numCache>
                <c:formatCode>General</c:formatCode>
                <c:ptCount val="15"/>
                <c:pt idx="0">
                  <c:v>24</c:v>
                </c:pt>
                <c:pt idx="1">
                  <c:v>19</c:v>
                </c:pt>
                <c:pt idx="2">
                  <c:v>17</c:v>
                </c:pt>
                <c:pt idx="3">
                  <c:v>16</c:v>
                </c:pt>
                <c:pt idx="4">
                  <c:v>16</c:v>
                </c:pt>
                <c:pt idx="5">
                  <c:v>16</c:v>
                </c:pt>
                <c:pt idx="6">
                  <c:v>15</c:v>
                </c:pt>
                <c:pt idx="7">
                  <c:v>14</c:v>
                </c:pt>
                <c:pt idx="8">
                  <c:v>13</c:v>
                </c:pt>
                <c:pt idx="9">
                  <c:v>13</c:v>
                </c:pt>
                <c:pt idx="10">
                  <c:v>12</c:v>
                </c:pt>
                <c:pt idx="11">
                  <c:v>12</c:v>
                </c:pt>
                <c:pt idx="12">
                  <c:v>11</c:v>
                </c:pt>
                <c:pt idx="13">
                  <c:v>10</c:v>
                </c:pt>
                <c:pt idx="14">
                  <c:v>5</c:v>
                </c:pt>
              </c:numCache>
            </c:numRef>
          </c:val>
          <c:extLst>
            <c:ext xmlns:c16="http://schemas.microsoft.com/office/drawing/2014/chart" uri="{C3380CC4-5D6E-409C-BE32-E72D297353CC}">
              <c16:uniqueId val="{00000000-D952-4322-B929-3C41E32E3AB6}"/>
            </c:ext>
          </c:extLst>
        </c:ser>
        <c:dLbls>
          <c:showLegendKey val="0"/>
          <c:showVal val="0"/>
          <c:showCatName val="0"/>
          <c:showSerName val="0"/>
          <c:showPercent val="0"/>
          <c:showBubbleSize val="0"/>
        </c:dLbls>
        <c:gapWidth val="100"/>
        <c:overlap val="-24"/>
        <c:axId val="566941192"/>
        <c:axId val="566941520"/>
      </c:barChart>
      <c:catAx>
        <c:axId val="56694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6941520"/>
        <c:crosses val="autoZero"/>
        <c:auto val="1"/>
        <c:lblAlgn val="ctr"/>
        <c:lblOffset val="100"/>
        <c:noMultiLvlLbl val="0"/>
      </c:catAx>
      <c:valAx>
        <c:axId val="56694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6941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sz="2000" dirty="0" smtClean="0">
                <a:latin typeface="Arial" panose="020B0604020202020204" pitchFamily="34" charset="0"/>
                <a:cs typeface="Arial" panose="020B0604020202020204" pitchFamily="34" charset="0"/>
              </a:rPr>
              <a:t>Age Breakdown</a:t>
            </a:r>
            <a:endParaRPr lang="en-US" sz="2000" dirty="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strCache>
            </c:strRef>
          </c:tx>
          <c:dPt>
            <c:idx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ABC-4475-8698-0F64AB2D676F}"/>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ABC-4475-8698-0F64AB2D676F}"/>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ABC-4475-8698-0F64AB2D676F}"/>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ABC-4475-8698-0F64AB2D676F}"/>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ABC-4475-8698-0F64AB2D676F}"/>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15-19</c:v>
                </c:pt>
                <c:pt idx="1">
                  <c:v>20-34</c:v>
                </c:pt>
                <c:pt idx="2">
                  <c:v>35-49</c:v>
                </c:pt>
                <c:pt idx="3">
                  <c:v>50-64</c:v>
                </c:pt>
                <c:pt idx="4">
                  <c:v>65+</c:v>
                </c:pt>
              </c:strCache>
            </c:strRef>
          </c:cat>
          <c:val>
            <c:numRef>
              <c:f>Sheet1!$B$2:$B$6</c:f>
              <c:numCache>
                <c:formatCode>General</c:formatCode>
                <c:ptCount val="5"/>
                <c:pt idx="0">
                  <c:v>0.01</c:v>
                </c:pt>
                <c:pt idx="1">
                  <c:v>0.16</c:v>
                </c:pt>
                <c:pt idx="2">
                  <c:v>0.33</c:v>
                </c:pt>
                <c:pt idx="3">
                  <c:v>0.32</c:v>
                </c:pt>
                <c:pt idx="4">
                  <c:v>0.18</c:v>
                </c:pt>
              </c:numCache>
            </c:numRef>
          </c:val>
          <c:extLst>
            <c:ext xmlns:c16="http://schemas.microsoft.com/office/drawing/2014/chart" uri="{C3380CC4-5D6E-409C-BE32-E72D297353CC}">
              <c16:uniqueId val="{0000000A-7ABC-4475-8698-0F64AB2D676F}"/>
            </c:ext>
          </c:extLst>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2171731358751889"/>
          <c:y val="0.11101816912775102"/>
          <c:w val="0.16395155901324435"/>
          <c:h val="0.8673813626482285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2000" dirty="0" smtClean="0">
                <a:latin typeface="Arial" panose="020B0604020202020204" pitchFamily="34" charset="0"/>
                <a:cs typeface="Arial" panose="020B0604020202020204" pitchFamily="34" charset="0"/>
              </a:rPr>
              <a:t>Disability</a:t>
            </a:r>
            <a:r>
              <a:rPr lang="en-GB" sz="2000" baseline="0" dirty="0" smtClean="0">
                <a:latin typeface="Arial" panose="020B0604020202020204" pitchFamily="34" charset="0"/>
                <a:cs typeface="Arial" panose="020B0604020202020204" pitchFamily="34" charset="0"/>
              </a:rPr>
              <a:t>, illness or infirmity breakdown</a:t>
            </a:r>
            <a:endParaRPr lang="en-GB" sz="2000" dirty="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D7B-41A0-AC68-C5CF9FA491D8}"/>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D7B-41A0-AC68-C5CF9FA491D8}"/>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D7B-41A0-AC68-C5CF9FA491D8}"/>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Yes</c:v>
                </c:pt>
                <c:pt idx="1">
                  <c:v>No</c:v>
                </c:pt>
                <c:pt idx="2">
                  <c:v>Prefer not to say</c:v>
                </c:pt>
              </c:strCache>
            </c:strRef>
          </c:cat>
          <c:val>
            <c:numRef>
              <c:f>Sheet1!$B$2:$B$4</c:f>
              <c:numCache>
                <c:formatCode>General</c:formatCode>
                <c:ptCount val="3"/>
                <c:pt idx="0">
                  <c:v>0.14000000000000001</c:v>
                </c:pt>
                <c:pt idx="1">
                  <c:v>0.8</c:v>
                </c:pt>
                <c:pt idx="2">
                  <c:v>0.06</c:v>
                </c:pt>
              </c:numCache>
            </c:numRef>
          </c:val>
          <c:extLst>
            <c:ext xmlns:c16="http://schemas.microsoft.com/office/drawing/2014/chart" uri="{C3380CC4-5D6E-409C-BE32-E72D297353CC}">
              <c16:uniqueId val="{00000006-5D7B-41A0-AC68-C5CF9FA491D8}"/>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[QuestionPro-Tag-Export-1602652312-01-29-2020-T041037 (1).xlsx]Summary sheet!PivotTable2</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2000">
                <a:latin typeface="Arial" panose="020B0604020202020204" pitchFamily="34" charset="0"/>
                <a:cs typeface="Arial" panose="020B0604020202020204" pitchFamily="34" charset="0"/>
              </a:rPr>
              <a:t>S</a:t>
            </a:r>
            <a:r>
              <a:rPr lang="en-US" sz="2000" baseline="0">
                <a:latin typeface="Arial" panose="020B0604020202020204" pitchFamily="34" charset="0"/>
                <a:cs typeface="Arial" panose="020B0604020202020204" pitchFamily="34" charset="0"/>
              </a:rPr>
              <a:t>uggestions </a:t>
            </a:r>
          </a:p>
          <a:p>
            <a:pPr>
              <a:defRPr/>
            </a:pPr>
            <a:r>
              <a:rPr lang="en-US" sz="2000" baseline="0">
                <a:latin typeface="Arial" panose="020B0604020202020204" pitchFamily="34" charset="0"/>
                <a:cs typeface="Arial" panose="020B0604020202020204" pitchFamily="34" charset="0"/>
              </a:rPr>
              <a:t>for Improvement</a:t>
            </a:r>
            <a:endParaRPr lang="en-US" sz="2000">
              <a:latin typeface="Arial" panose="020B0604020202020204" pitchFamily="34" charset="0"/>
              <a:cs typeface="Arial" panose="020B0604020202020204" pitchFamily="34" charset="0"/>
            </a:endParaRPr>
          </a:p>
        </c:rich>
      </c:tx>
      <c:layout>
        <c:manualLayout>
          <c:xMode val="edge"/>
          <c:yMode val="edge"/>
          <c:x val="1.8572018159306643E-2"/>
          <c:y val="2.498931484052331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pivotFmt>
      <c:pivotFmt>
        <c:idx val="1"/>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2"/>
        <c:dLbl>
          <c:idx val="0"/>
          <c:layout>
            <c:manualLayout>
              <c:x val="-4.2883543990156051E-2"/>
              <c:y val="-7.5471682647619581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3"/>
        <c:dLbl>
          <c:idx val="0"/>
          <c:layout>
            <c:manualLayout>
              <c:x val="-9.7597031150010144E-2"/>
              <c:y val="-2.6024718154351581E-3"/>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4"/>
        <c:dLbl>
          <c:idx val="0"/>
          <c:layout>
            <c:manualLayout>
              <c:x val="1.035120027348593E-2"/>
              <c:y val="-5.2049436308703172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5"/>
        <c:dLbl>
          <c:idx val="0"/>
          <c:layout>
            <c:manualLayout>
              <c:x val="0.18188537623410991"/>
              <c:y val="-7.2869210832184436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6"/>
        <c:dLbl>
          <c:idx val="0"/>
          <c:layout>
            <c:manualLayout>
              <c:x val="0.14787428962122759"/>
              <c:y val="-1.821730270804613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7"/>
        <c:dLbl>
          <c:idx val="0"/>
          <c:layout>
            <c:manualLayout>
              <c:x val="0.10499074563107147"/>
              <c:y val="2.0819774523481265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8"/>
        <c:dLbl>
          <c:idx val="0"/>
          <c:layout>
            <c:manualLayout>
              <c:x val="6.2107201640915578E-2"/>
              <c:y val="1.0409887261740679E-2"/>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9"/>
        <c:dLbl>
          <c:idx val="0"/>
          <c:layout>
            <c:manualLayout>
              <c:x val="4.1404801093943719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pivotFmt>
      <c:pivotFmt>
        <c:idx val="10"/>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2.905920481202116E-2"/>
              <c:y val="5.98568517550086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1"/>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6.5383210827047844E-2"/>
              <c:y val="9.6291457171100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2"/>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461313732327646"/>
              <c:y val="7.80741544630547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4093714333830315"/>
              <c:y val="4.163954904696252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8307299031573387"/>
              <c:y val="2.3855716058221355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25862692282698929"/>
              <c:y val="-5.46519081241383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751905780447869"/>
              <c:y val="-8.067662627848989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18"/>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751905780447869"/>
              <c:y val="-8.067662627848989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9"/>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25862692282698929"/>
              <c:y val="-5.46519081241383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8307299031573387"/>
              <c:y val="2.3855716058221355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1"/>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4093714333830315"/>
              <c:y val="4.163954904696252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2"/>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461313732327646"/>
              <c:y val="7.80741544630547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3"/>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6.5383210827047844E-2"/>
              <c:y val="9.6291457171100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4"/>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2.905920481202116E-2"/>
              <c:y val="5.98568517550086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26"/>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27"/>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28"/>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29"/>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3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31"/>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32"/>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751905780447869"/>
              <c:y val="-8.067662627848989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3"/>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25862692282698929"/>
              <c:y val="-5.46519081241383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4"/>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8307299031573387"/>
              <c:y val="2.3855716058221355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5"/>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4093714333830315"/>
              <c:y val="4.163954904696252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6"/>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0.10461313732327646"/>
              <c:y val="7.80741544630547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6.5383210827047844E-2"/>
              <c:y val="9.6291457171100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8"/>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
          <c:idx val="0"/>
          <c:layout>
            <c:manualLayout>
              <c:x val="2.905920481202116E-2"/>
              <c:y val="5.98568517550086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4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41"/>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42"/>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43"/>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
        <c:idx val="44"/>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ivotFmt>
    </c:pivotFmts>
    <c:plotArea>
      <c:layout/>
      <c:pieChart>
        <c:varyColors val="1"/>
        <c:ser>
          <c:idx val="0"/>
          <c:order val="0"/>
          <c:tx>
            <c:strRef>
              <c:f>'Summary sheet'!$J$2</c:f>
              <c:strCache>
                <c:ptCount val="1"/>
                <c:pt idx="0">
                  <c:v>Total</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820-4BAF-9068-2E2B3130EB21}"/>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820-4BAF-9068-2E2B3130EB21}"/>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820-4BAF-9068-2E2B3130EB21}"/>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820-4BAF-9068-2E2B3130EB21}"/>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820-4BAF-9068-2E2B3130EB21}"/>
              </c:ext>
            </c:extLst>
          </c:dPt>
          <c:dPt>
            <c:idx val="5"/>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820-4BAF-9068-2E2B3130EB21}"/>
              </c:ext>
            </c:extLst>
          </c:dPt>
          <c:dPt>
            <c:idx val="6"/>
            <c:bubble3D val="0"/>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E820-4BAF-9068-2E2B3130EB21}"/>
              </c:ext>
            </c:extLst>
          </c:dPt>
          <c:dPt>
            <c:idx val="7"/>
            <c:bubble3D val="0"/>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E820-4BAF-9068-2E2B3130EB21}"/>
              </c:ext>
            </c:extLst>
          </c:dPt>
          <c:dPt>
            <c:idx val="8"/>
            <c:bubble3D val="0"/>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E820-4BAF-9068-2E2B3130EB21}"/>
              </c:ext>
            </c:extLst>
          </c:dPt>
          <c:dPt>
            <c:idx val="9"/>
            <c:bubble3D val="0"/>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E820-4BAF-9068-2E2B3130EB21}"/>
              </c:ext>
            </c:extLst>
          </c:dPt>
          <c:dPt>
            <c:idx val="10"/>
            <c:bubble3D val="0"/>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E820-4BAF-9068-2E2B3130EB21}"/>
              </c:ext>
            </c:extLst>
          </c:dPt>
          <c:dPt>
            <c:idx val="11"/>
            <c:bubble3D val="0"/>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E820-4BAF-9068-2E2B3130EB21}"/>
              </c:ext>
            </c:extLst>
          </c:dPt>
          <c:dPt>
            <c:idx val="12"/>
            <c:bubble3D val="0"/>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E820-4BAF-9068-2E2B3130EB21}"/>
              </c:ext>
            </c:extLst>
          </c:dPt>
          <c:dLbls>
            <c:dLbl>
              <c:idx val="0"/>
              <c:layout>
                <c:manualLayout>
                  <c:x val="0.10751905780447869"/>
                  <c:y val="-8.06766262784898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20-4BAF-9068-2E2B3130EB21}"/>
                </c:ext>
              </c:extLst>
            </c:dLbl>
            <c:dLbl>
              <c:idx val="1"/>
              <c:layout>
                <c:manualLayout>
                  <c:x val="0.25862692282698929"/>
                  <c:y val="-5.46519081241383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20-4BAF-9068-2E2B3130EB21}"/>
                </c:ext>
              </c:extLst>
            </c:dLbl>
            <c:dLbl>
              <c:idx val="2"/>
              <c:layout>
                <c:manualLayout>
                  <c:x val="0.18307299031573387"/>
                  <c:y val="2.3855716058221355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20-4BAF-9068-2E2B3130EB21}"/>
                </c:ext>
              </c:extLst>
            </c:dLbl>
            <c:dLbl>
              <c:idx val="3"/>
              <c:layout>
                <c:manualLayout>
                  <c:x val="0.14093714333830315"/>
                  <c:y val="4.16395490469625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20-4BAF-9068-2E2B3130EB21}"/>
                </c:ext>
              </c:extLst>
            </c:dLbl>
            <c:dLbl>
              <c:idx val="4"/>
              <c:layout>
                <c:manualLayout>
                  <c:x val="0.10461313732327646"/>
                  <c:y val="7.8074154463054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820-4BAF-9068-2E2B3130EB21}"/>
                </c:ext>
              </c:extLst>
            </c:dLbl>
            <c:dLbl>
              <c:idx val="5"/>
              <c:layout>
                <c:manualLayout>
                  <c:x val="6.5383210827047844E-2"/>
                  <c:y val="9.62914571711008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820-4BAF-9068-2E2B3130EB21}"/>
                </c:ext>
              </c:extLst>
            </c:dLbl>
            <c:dLbl>
              <c:idx val="6"/>
              <c:layout>
                <c:manualLayout>
                  <c:x val="2.905920481202116E-2"/>
                  <c:y val="5.98568517550086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820-4BAF-9068-2E2B3130EB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sheet'!$I$3:$I$16</c:f>
              <c:strCache>
                <c:ptCount val="13"/>
                <c:pt idx="0">
                  <c:v>Partnership Working</c:v>
                </c:pt>
                <c:pt idx="1">
                  <c:v>Commercialisation / Privatisation</c:v>
                </c:pt>
                <c:pt idx="2">
                  <c:v>Sell Assets</c:v>
                </c:pt>
                <c:pt idx="3">
                  <c:v>Reduce Councillors</c:v>
                </c:pt>
                <c:pt idx="4">
                  <c:v>Child Health</c:v>
                </c:pt>
                <c:pt idx="5">
                  <c:v>Community Capacity</c:v>
                </c:pt>
                <c:pt idx="6">
                  <c:v>Attract Investment</c:v>
                </c:pt>
                <c:pt idx="7">
                  <c:v>Fix Empty Buildings</c:v>
                </c:pt>
                <c:pt idx="8">
                  <c:v>Community Projects</c:v>
                </c:pt>
                <c:pt idx="9">
                  <c:v>Reduce Pay Of High Management</c:v>
                </c:pt>
                <c:pt idx="10">
                  <c:v>Support Services</c:v>
                </c:pt>
                <c:pt idx="11">
                  <c:v>Improve Town</c:v>
                </c:pt>
                <c:pt idx="12">
                  <c:v>Internal Improvement</c:v>
                </c:pt>
              </c:strCache>
            </c:strRef>
          </c:cat>
          <c:val>
            <c:numRef>
              <c:f>'Summary sheet'!$J$3:$J$16</c:f>
              <c:numCache>
                <c:formatCode>General</c:formatCode>
                <c:ptCount val="13"/>
                <c:pt idx="0">
                  <c:v>1.33</c:v>
                </c:pt>
                <c:pt idx="1">
                  <c:v>2.67</c:v>
                </c:pt>
                <c:pt idx="2">
                  <c:v>2.67</c:v>
                </c:pt>
                <c:pt idx="3">
                  <c:v>4</c:v>
                </c:pt>
                <c:pt idx="4">
                  <c:v>5.33</c:v>
                </c:pt>
                <c:pt idx="5">
                  <c:v>5.33</c:v>
                </c:pt>
                <c:pt idx="6">
                  <c:v>8</c:v>
                </c:pt>
                <c:pt idx="7">
                  <c:v>9.33</c:v>
                </c:pt>
                <c:pt idx="8">
                  <c:v>10.67</c:v>
                </c:pt>
                <c:pt idx="9">
                  <c:v>18.670000000000002</c:v>
                </c:pt>
                <c:pt idx="10">
                  <c:v>25.33</c:v>
                </c:pt>
                <c:pt idx="11">
                  <c:v>29.33</c:v>
                </c:pt>
                <c:pt idx="12">
                  <c:v>30.67</c:v>
                </c:pt>
              </c:numCache>
            </c:numRef>
          </c:val>
          <c:extLst>
            <c:ext xmlns:c16="http://schemas.microsoft.com/office/drawing/2014/chart" uri="{C3380CC4-5D6E-409C-BE32-E72D297353CC}">
              <c16:uniqueId val="{0000001A-E820-4BAF-9068-2E2B3130EB2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Tyler (NELC)</dc:creator>
  <cp:keywords/>
  <dc:description/>
  <cp:lastModifiedBy>Darren Lee (NELC)</cp:lastModifiedBy>
  <cp:revision>3</cp:revision>
  <dcterms:created xsi:type="dcterms:W3CDTF">2020-01-31T14:44:00Z</dcterms:created>
  <dcterms:modified xsi:type="dcterms:W3CDTF">2020-01-31T14:45:00Z</dcterms:modified>
</cp:coreProperties>
</file>