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F2" w:rsidRDefault="002511F2" w:rsidP="002511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3E743F">
        <w:rPr>
          <w:rFonts w:ascii="Arial" w:hAnsi="Arial" w:cs="Arial"/>
          <w:b/>
          <w:sz w:val="24"/>
          <w:szCs w:val="24"/>
          <w:u w:val="single"/>
        </w:rPr>
        <w:t>CHO</w:t>
      </w:r>
      <w:bookmarkStart w:id="0" w:name="_GoBack"/>
      <w:bookmarkEnd w:id="0"/>
      <w:r w:rsidR="003E743F">
        <w:rPr>
          <w:rFonts w:ascii="Arial" w:hAnsi="Arial" w:cs="Arial"/>
          <w:b/>
          <w:sz w:val="24"/>
          <w:szCs w:val="24"/>
          <w:u w:val="single"/>
        </w:rPr>
        <w:t>OLS FORUM MEETING – 11</w:t>
      </w:r>
      <w:r w:rsidR="003E743F" w:rsidRPr="003E743F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3E743F">
        <w:rPr>
          <w:rFonts w:ascii="Arial" w:hAnsi="Arial" w:cs="Arial"/>
          <w:b/>
          <w:sz w:val="24"/>
          <w:szCs w:val="24"/>
          <w:u w:val="single"/>
        </w:rPr>
        <w:t xml:space="preserve"> MARCH 2020</w:t>
      </w:r>
    </w:p>
    <w:p w:rsidR="002511F2" w:rsidRDefault="003E743F" w:rsidP="002511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FUNDING FORMULA FOR SCHOOLS 2020-21 UPDATE</w:t>
      </w:r>
      <w:r w:rsidR="002511F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E743F" w:rsidRDefault="003E743F" w:rsidP="002511F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511F2" w:rsidRDefault="005C00D4" w:rsidP="005C00D4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Introduction</w:t>
      </w:r>
    </w:p>
    <w:p w:rsidR="00DB0CFA" w:rsidRDefault="00E00887" w:rsidP="00DB0CF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</w:t>
      </w:r>
      <w:r w:rsidR="007D7D2B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th December 201</w:t>
      </w:r>
      <w:r w:rsidR="0039279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the Department for Education (</w:t>
      </w:r>
      <w:proofErr w:type="spellStart"/>
      <w:r>
        <w:rPr>
          <w:rFonts w:ascii="Arial" w:hAnsi="Arial" w:cs="Arial"/>
          <w:sz w:val="24"/>
          <w:szCs w:val="24"/>
        </w:rPr>
        <w:t>DfE</w:t>
      </w:r>
      <w:proofErr w:type="spellEnd"/>
      <w:r>
        <w:rPr>
          <w:rFonts w:ascii="Arial" w:hAnsi="Arial" w:cs="Arial"/>
          <w:sz w:val="24"/>
          <w:szCs w:val="24"/>
        </w:rPr>
        <w:t>) issued the final funding allocations for the 20</w:t>
      </w:r>
      <w:r w:rsidR="00392794">
        <w:rPr>
          <w:rFonts w:ascii="Arial" w:hAnsi="Arial" w:cs="Arial"/>
          <w:sz w:val="24"/>
          <w:szCs w:val="24"/>
        </w:rPr>
        <w:t>20-21</w:t>
      </w:r>
      <w:r>
        <w:rPr>
          <w:rFonts w:ascii="Arial" w:hAnsi="Arial" w:cs="Arial"/>
          <w:sz w:val="24"/>
          <w:szCs w:val="24"/>
        </w:rPr>
        <w:t xml:space="preserve"> financial year together with a revised APT updated for the October 201</w:t>
      </w:r>
      <w:r w:rsidR="0039279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School census data.</w:t>
      </w:r>
    </w:p>
    <w:p w:rsidR="00E00887" w:rsidRPr="00DB0CFA" w:rsidRDefault="00E00887" w:rsidP="00DB0CF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3E743F">
        <w:rPr>
          <w:rFonts w:ascii="Arial" w:hAnsi="Arial" w:cs="Arial"/>
          <w:sz w:val="24"/>
          <w:szCs w:val="24"/>
        </w:rPr>
        <w:t>e purpose of this report is to update Schools Forum members on the discussions with the Working Party held on the 10</w:t>
      </w:r>
      <w:r w:rsidR="003E743F" w:rsidRPr="003E743F">
        <w:rPr>
          <w:rFonts w:ascii="Arial" w:hAnsi="Arial" w:cs="Arial"/>
          <w:sz w:val="24"/>
          <w:szCs w:val="24"/>
          <w:vertAlign w:val="superscript"/>
        </w:rPr>
        <w:t>th</w:t>
      </w:r>
      <w:r w:rsidR="003E743F">
        <w:rPr>
          <w:rFonts w:ascii="Arial" w:hAnsi="Arial" w:cs="Arial"/>
          <w:sz w:val="24"/>
          <w:szCs w:val="24"/>
        </w:rPr>
        <w:t xml:space="preserve"> January 2020 on</w:t>
      </w:r>
      <w:r w:rsidR="00BC61F4">
        <w:rPr>
          <w:rFonts w:ascii="Arial" w:hAnsi="Arial" w:cs="Arial"/>
          <w:sz w:val="24"/>
          <w:szCs w:val="24"/>
        </w:rPr>
        <w:t xml:space="preserve"> the effect of the updated data, the re-modelling undertaken and the final proposed funding formula for </w:t>
      </w:r>
      <w:r w:rsidR="00754F9F" w:rsidRPr="002E0CB6">
        <w:rPr>
          <w:rFonts w:ascii="Arial" w:hAnsi="Arial" w:cs="Arial"/>
          <w:sz w:val="24"/>
          <w:szCs w:val="24"/>
        </w:rPr>
        <w:t>2020-21.</w:t>
      </w:r>
    </w:p>
    <w:p w:rsidR="00BC61F4" w:rsidRDefault="00BC61F4" w:rsidP="005C00D4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Impact of the Changes</w:t>
      </w:r>
    </w:p>
    <w:p w:rsidR="00BC61F4" w:rsidRDefault="00BC61F4" w:rsidP="00BC61F4">
      <w:pPr>
        <w:ind w:left="720"/>
        <w:rPr>
          <w:rFonts w:ascii="Arial" w:hAnsi="Arial" w:cs="Arial"/>
          <w:sz w:val="24"/>
          <w:szCs w:val="24"/>
        </w:rPr>
      </w:pPr>
      <w:r w:rsidRPr="00BC61F4">
        <w:rPr>
          <w:rFonts w:ascii="Arial" w:hAnsi="Arial" w:cs="Arial"/>
          <w:sz w:val="24"/>
          <w:szCs w:val="24"/>
        </w:rPr>
        <w:t xml:space="preserve">The updated </w:t>
      </w:r>
      <w:r>
        <w:rPr>
          <w:rFonts w:ascii="Arial" w:hAnsi="Arial" w:cs="Arial"/>
          <w:sz w:val="24"/>
          <w:szCs w:val="24"/>
        </w:rPr>
        <w:t xml:space="preserve">School Census </w:t>
      </w:r>
      <w:r w:rsidRPr="00BC61F4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 shows an increase in pupil numbers of </w:t>
      </w:r>
      <w:r w:rsidR="000160BA">
        <w:rPr>
          <w:rFonts w:ascii="Arial" w:hAnsi="Arial" w:cs="Arial"/>
          <w:sz w:val="24"/>
          <w:szCs w:val="24"/>
        </w:rPr>
        <w:t>357</w:t>
      </w:r>
      <w:r>
        <w:rPr>
          <w:rFonts w:ascii="Arial" w:hAnsi="Arial" w:cs="Arial"/>
          <w:sz w:val="24"/>
          <w:szCs w:val="24"/>
        </w:rPr>
        <w:t>. This is split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6"/>
        <w:gridCol w:w="4140"/>
      </w:tblGrid>
      <w:tr w:rsidR="00BC61F4" w:rsidTr="00BC61F4">
        <w:tc>
          <w:tcPr>
            <w:tcW w:w="4621" w:type="dxa"/>
          </w:tcPr>
          <w:p w:rsidR="00BC61F4" w:rsidRPr="00BC61F4" w:rsidRDefault="00BC61F4" w:rsidP="00BC61F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C61F4">
              <w:rPr>
                <w:rFonts w:ascii="Arial" w:hAnsi="Arial" w:cs="Arial"/>
                <w:b/>
                <w:sz w:val="24"/>
                <w:szCs w:val="24"/>
                <w:u w:val="single"/>
              </w:rPr>
              <w:t>Sector</w:t>
            </w:r>
          </w:p>
        </w:tc>
        <w:tc>
          <w:tcPr>
            <w:tcW w:w="4621" w:type="dxa"/>
          </w:tcPr>
          <w:p w:rsidR="00BC61F4" w:rsidRPr="00BC61F4" w:rsidRDefault="00BC61F4" w:rsidP="00BC61F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C61F4">
              <w:rPr>
                <w:rFonts w:ascii="Arial" w:hAnsi="Arial" w:cs="Arial"/>
                <w:b/>
                <w:sz w:val="24"/>
                <w:szCs w:val="24"/>
                <w:u w:val="single"/>
              </w:rPr>
              <w:t>Pupil Numbers</w:t>
            </w:r>
          </w:p>
        </w:tc>
      </w:tr>
      <w:tr w:rsidR="00BC61F4" w:rsidTr="00BC61F4">
        <w:tc>
          <w:tcPr>
            <w:tcW w:w="4621" w:type="dxa"/>
          </w:tcPr>
          <w:p w:rsidR="00BC61F4" w:rsidRDefault="00BC61F4" w:rsidP="00BC6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BC61F4" w:rsidRDefault="00BC61F4" w:rsidP="00BC6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F4" w:rsidTr="00BC61F4">
        <w:tc>
          <w:tcPr>
            <w:tcW w:w="4621" w:type="dxa"/>
          </w:tcPr>
          <w:p w:rsidR="00BC61F4" w:rsidRDefault="00BC61F4" w:rsidP="00BC6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</w:t>
            </w:r>
          </w:p>
        </w:tc>
        <w:tc>
          <w:tcPr>
            <w:tcW w:w="4621" w:type="dxa"/>
          </w:tcPr>
          <w:p w:rsidR="00BC61F4" w:rsidRDefault="000160BA" w:rsidP="00BC6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BC61F4" w:rsidTr="00BC61F4">
        <w:tc>
          <w:tcPr>
            <w:tcW w:w="4621" w:type="dxa"/>
          </w:tcPr>
          <w:p w:rsidR="00BC61F4" w:rsidRDefault="00BC61F4" w:rsidP="00BC6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Secondary</w:t>
            </w:r>
          </w:p>
        </w:tc>
        <w:tc>
          <w:tcPr>
            <w:tcW w:w="4621" w:type="dxa"/>
          </w:tcPr>
          <w:p w:rsidR="00BC61F4" w:rsidRDefault="000160BA" w:rsidP="00913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BC61F4" w:rsidTr="00BC61F4">
        <w:tc>
          <w:tcPr>
            <w:tcW w:w="4621" w:type="dxa"/>
          </w:tcPr>
          <w:p w:rsidR="00BC61F4" w:rsidRDefault="00BC61F4" w:rsidP="00BC6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BC61F4" w:rsidRDefault="00BC61F4" w:rsidP="00BC6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F4" w:rsidTr="00BC61F4">
        <w:tc>
          <w:tcPr>
            <w:tcW w:w="4621" w:type="dxa"/>
          </w:tcPr>
          <w:p w:rsidR="00BC61F4" w:rsidRPr="00BC61F4" w:rsidRDefault="00BC61F4" w:rsidP="00BC61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61F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4621" w:type="dxa"/>
          </w:tcPr>
          <w:p w:rsidR="00BC61F4" w:rsidRPr="00BC61F4" w:rsidRDefault="000160BA" w:rsidP="00BC6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357</w:t>
            </w:r>
          </w:p>
        </w:tc>
      </w:tr>
    </w:tbl>
    <w:p w:rsidR="00BC61F4" w:rsidRDefault="00BC61F4" w:rsidP="00BC61F4">
      <w:pPr>
        <w:ind w:left="720"/>
        <w:rPr>
          <w:rFonts w:ascii="Arial" w:hAnsi="Arial" w:cs="Arial"/>
          <w:sz w:val="24"/>
          <w:szCs w:val="24"/>
        </w:rPr>
      </w:pPr>
    </w:p>
    <w:p w:rsidR="009136BE" w:rsidRDefault="009136BE" w:rsidP="00BC61F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total number of pupils across each phase </w:t>
      </w:r>
      <w:r w:rsidR="00112020">
        <w:rPr>
          <w:rFonts w:ascii="Arial" w:hAnsi="Arial" w:cs="Arial"/>
          <w:sz w:val="24"/>
          <w:szCs w:val="24"/>
        </w:rPr>
        <w:t>over the last two years is as follows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6"/>
        <w:gridCol w:w="2047"/>
        <w:gridCol w:w="2047"/>
        <w:gridCol w:w="2076"/>
      </w:tblGrid>
      <w:tr w:rsidR="00112020" w:rsidTr="00112020">
        <w:tc>
          <w:tcPr>
            <w:tcW w:w="2310" w:type="dxa"/>
          </w:tcPr>
          <w:p w:rsidR="00112020" w:rsidRPr="00112020" w:rsidRDefault="00112020" w:rsidP="0011202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12020">
              <w:rPr>
                <w:rFonts w:ascii="Arial" w:hAnsi="Arial" w:cs="Arial"/>
                <w:b/>
                <w:sz w:val="24"/>
                <w:szCs w:val="24"/>
                <w:u w:val="single"/>
              </w:rPr>
              <w:t>Phase</w:t>
            </w:r>
          </w:p>
        </w:tc>
        <w:tc>
          <w:tcPr>
            <w:tcW w:w="2310" w:type="dxa"/>
          </w:tcPr>
          <w:p w:rsidR="00112020" w:rsidRPr="00112020" w:rsidRDefault="00112020" w:rsidP="003927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12020">
              <w:rPr>
                <w:rFonts w:ascii="Arial" w:hAnsi="Arial" w:cs="Arial"/>
                <w:b/>
                <w:sz w:val="24"/>
                <w:szCs w:val="24"/>
                <w:u w:val="single"/>
              </w:rPr>
              <w:t>20</w:t>
            </w:r>
            <w:r w:rsidR="00392794">
              <w:rPr>
                <w:rFonts w:ascii="Arial" w:hAnsi="Arial" w:cs="Arial"/>
                <w:b/>
                <w:sz w:val="24"/>
                <w:szCs w:val="24"/>
                <w:u w:val="single"/>
              </w:rPr>
              <w:t>20-21</w:t>
            </w:r>
          </w:p>
        </w:tc>
        <w:tc>
          <w:tcPr>
            <w:tcW w:w="2311" w:type="dxa"/>
          </w:tcPr>
          <w:p w:rsidR="00112020" w:rsidRPr="00112020" w:rsidRDefault="00112020" w:rsidP="003927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12020">
              <w:rPr>
                <w:rFonts w:ascii="Arial" w:hAnsi="Arial" w:cs="Arial"/>
                <w:b/>
                <w:sz w:val="24"/>
                <w:szCs w:val="24"/>
                <w:u w:val="single"/>
              </w:rPr>
              <w:t>201</w:t>
            </w:r>
            <w:r w:rsidR="00392794">
              <w:rPr>
                <w:rFonts w:ascii="Arial" w:hAnsi="Arial" w:cs="Arial"/>
                <w:b/>
                <w:sz w:val="24"/>
                <w:szCs w:val="24"/>
                <w:u w:val="single"/>
              </w:rPr>
              <w:t>9</w:t>
            </w:r>
            <w:r w:rsidRPr="00112020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="00392794">
              <w:rPr>
                <w:rFonts w:ascii="Arial" w:hAnsi="Arial" w:cs="Arial"/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2311" w:type="dxa"/>
          </w:tcPr>
          <w:p w:rsidR="00112020" w:rsidRPr="00112020" w:rsidRDefault="00112020" w:rsidP="0011202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12020">
              <w:rPr>
                <w:rFonts w:ascii="Arial" w:hAnsi="Arial" w:cs="Arial"/>
                <w:b/>
                <w:sz w:val="24"/>
                <w:szCs w:val="24"/>
                <w:u w:val="single"/>
              </w:rPr>
              <w:t>Change</w:t>
            </w:r>
          </w:p>
        </w:tc>
      </w:tr>
      <w:tr w:rsidR="00112020" w:rsidTr="00112020">
        <w:tc>
          <w:tcPr>
            <w:tcW w:w="2310" w:type="dxa"/>
          </w:tcPr>
          <w:p w:rsidR="00112020" w:rsidRDefault="00112020" w:rsidP="00BC6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</w:t>
            </w:r>
          </w:p>
        </w:tc>
        <w:tc>
          <w:tcPr>
            <w:tcW w:w="2310" w:type="dxa"/>
          </w:tcPr>
          <w:p w:rsidR="00112020" w:rsidRDefault="000160BA" w:rsidP="00112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13,668</w:t>
            </w:r>
          </w:p>
        </w:tc>
        <w:tc>
          <w:tcPr>
            <w:tcW w:w="2311" w:type="dxa"/>
          </w:tcPr>
          <w:p w:rsidR="00112020" w:rsidRDefault="00112020" w:rsidP="00112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13,576</w:t>
            </w:r>
          </w:p>
        </w:tc>
        <w:tc>
          <w:tcPr>
            <w:tcW w:w="2311" w:type="dxa"/>
          </w:tcPr>
          <w:p w:rsidR="00112020" w:rsidRDefault="000160BA" w:rsidP="00112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112020" w:rsidTr="00112020">
        <w:tc>
          <w:tcPr>
            <w:tcW w:w="2310" w:type="dxa"/>
          </w:tcPr>
          <w:p w:rsidR="00112020" w:rsidRDefault="00112020" w:rsidP="00BC6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Secondary</w:t>
            </w:r>
          </w:p>
        </w:tc>
        <w:tc>
          <w:tcPr>
            <w:tcW w:w="2310" w:type="dxa"/>
          </w:tcPr>
          <w:p w:rsidR="00112020" w:rsidRDefault="000160BA" w:rsidP="00112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8,467</w:t>
            </w:r>
          </w:p>
        </w:tc>
        <w:tc>
          <w:tcPr>
            <w:tcW w:w="2311" w:type="dxa"/>
          </w:tcPr>
          <w:p w:rsidR="00112020" w:rsidRDefault="00112020" w:rsidP="00392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</w:t>
            </w:r>
            <w:r w:rsidR="0039279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311" w:type="dxa"/>
          </w:tcPr>
          <w:p w:rsidR="00112020" w:rsidRDefault="000160BA" w:rsidP="00112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112020" w:rsidTr="00112020">
        <w:tc>
          <w:tcPr>
            <w:tcW w:w="2310" w:type="dxa"/>
          </w:tcPr>
          <w:p w:rsidR="00112020" w:rsidRDefault="00112020" w:rsidP="00BC6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112020" w:rsidRDefault="000160BA" w:rsidP="00112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22,135</w:t>
            </w:r>
          </w:p>
        </w:tc>
        <w:tc>
          <w:tcPr>
            <w:tcW w:w="2311" w:type="dxa"/>
          </w:tcPr>
          <w:p w:rsidR="00112020" w:rsidRDefault="00392794" w:rsidP="00112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21,778</w:t>
            </w:r>
          </w:p>
        </w:tc>
        <w:tc>
          <w:tcPr>
            <w:tcW w:w="2311" w:type="dxa"/>
          </w:tcPr>
          <w:p w:rsidR="00112020" w:rsidRDefault="000160BA" w:rsidP="00112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</w:t>
            </w:r>
          </w:p>
        </w:tc>
      </w:tr>
    </w:tbl>
    <w:p w:rsidR="00112020" w:rsidRDefault="00112020" w:rsidP="00BC61F4">
      <w:pPr>
        <w:ind w:left="720"/>
        <w:rPr>
          <w:rFonts w:ascii="Arial" w:hAnsi="Arial" w:cs="Arial"/>
          <w:sz w:val="24"/>
          <w:szCs w:val="24"/>
        </w:rPr>
      </w:pPr>
    </w:p>
    <w:p w:rsidR="00112020" w:rsidRDefault="00112020" w:rsidP="00BC61F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Within individual schools however there have been significant </w:t>
      </w:r>
      <w:r w:rsidR="0065539D">
        <w:rPr>
          <w:rFonts w:ascii="Arial" w:hAnsi="Arial" w:cs="Arial"/>
          <w:sz w:val="24"/>
          <w:szCs w:val="24"/>
        </w:rPr>
        <w:t>movements. These are detailed blow for each phase:</w:t>
      </w:r>
    </w:p>
    <w:p w:rsidR="0065539D" w:rsidRPr="0065539D" w:rsidRDefault="0065539D" w:rsidP="00BC61F4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65539D">
        <w:rPr>
          <w:rFonts w:ascii="Arial" w:hAnsi="Arial" w:cs="Arial"/>
          <w:b/>
          <w:sz w:val="24"/>
          <w:szCs w:val="24"/>
          <w:u w:val="single"/>
        </w:rPr>
        <w:t>Primary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4"/>
        <w:gridCol w:w="4152"/>
      </w:tblGrid>
      <w:tr w:rsidR="0065539D" w:rsidTr="00FB61B4">
        <w:tc>
          <w:tcPr>
            <w:tcW w:w="4144" w:type="dxa"/>
          </w:tcPr>
          <w:p w:rsidR="0065539D" w:rsidRPr="0065539D" w:rsidRDefault="0065539D" w:rsidP="006553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5539D">
              <w:rPr>
                <w:rFonts w:ascii="Arial" w:hAnsi="Arial" w:cs="Arial"/>
                <w:b/>
                <w:sz w:val="24"/>
                <w:szCs w:val="24"/>
                <w:u w:val="single"/>
              </w:rPr>
              <w:t>Pupil number changes Oct 2018 – Oct 2019</w:t>
            </w:r>
          </w:p>
        </w:tc>
        <w:tc>
          <w:tcPr>
            <w:tcW w:w="4152" w:type="dxa"/>
          </w:tcPr>
          <w:p w:rsidR="0065539D" w:rsidRPr="0065539D" w:rsidRDefault="0065539D" w:rsidP="006553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5539D">
              <w:rPr>
                <w:rFonts w:ascii="Arial" w:hAnsi="Arial" w:cs="Arial"/>
                <w:b/>
                <w:sz w:val="24"/>
                <w:szCs w:val="24"/>
                <w:u w:val="single"/>
              </w:rPr>
              <w:t>No of primary schools impacted</w:t>
            </w:r>
          </w:p>
        </w:tc>
      </w:tr>
      <w:tr w:rsidR="0065539D" w:rsidTr="00FB61B4">
        <w:tc>
          <w:tcPr>
            <w:tcW w:w="4144" w:type="dxa"/>
          </w:tcPr>
          <w:p w:rsidR="0065539D" w:rsidRDefault="00CE4B6D" w:rsidP="00BC6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0 - 10</w:t>
            </w:r>
          </w:p>
        </w:tc>
        <w:tc>
          <w:tcPr>
            <w:tcW w:w="4152" w:type="dxa"/>
          </w:tcPr>
          <w:p w:rsidR="0065539D" w:rsidRDefault="00FB61B4" w:rsidP="00FB6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CE4B6D" w:rsidTr="00FB61B4">
        <w:tc>
          <w:tcPr>
            <w:tcW w:w="4144" w:type="dxa"/>
          </w:tcPr>
          <w:p w:rsidR="00CE4B6D" w:rsidRDefault="00CE4B6D" w:rsidP="00BC6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11 - 20</w:t>
            </w:r>
          </w:p>
        </w:tc>
        <w:tc>
          <w:tcPr>
            <w:tcW w:w="4152" w:type="dxa"/>
          </w:tcPr>
          <w:p w:rsidR="00CE4B6D" w:rsidRDefault="00FB61B4" w:rsidP="00FB6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539D" w:rsidTr="00FB61B4">
        <w:tc>
          <w:tcPr>
            <w:tcW w:w="4144" w:type="dxa"/>
          </w:tcPr>
          <w:p w:rsidR="0065539D" w:rsidRDefault="00CE4B6D" w:rsidP="00BC6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21 - 30</w:t>
            </w:r>
          </w:p>
        </w:tc>
        <w:tc>
          <w:tcPr>
            <w:tcW w:w="4152" w:type="dxa"/>
          </w:tcPr>
          <w:p w:rsidR="0065539D" w:rsidRDefault="00FB61B4" w:rsidP="00FB6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40E07" w:rsidTr="00FB61B4">
        <w:tc>
          <w:tcPr>
            <w:tcW w:w="4144" w:type="dxa"/>
          </w:tcPr>
          <w:p w:rsidR="00740E07" w:rsidRDefault="00740E07" w:rsidP="00BC6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+ </w:t>
            </w:r>
          </w:p>
        </w:tc>
        <w:tc>
          <w:tcPr>
            <w:tcW w:w="4152" w:type="dxa"/>
          </w:tcPr>
          <w:p w:rsidR="00740E07" w:rsidRDefault="00FB61B4" w:rsidP="00FB6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539D" w:rsidTr="00FB61B4">
        <w:tc>
          <w:tcPr>
            <w:tcW w:w="4144" w:type="dxa"/>
          </w:tcPr>
          <w:p w:rsidR="0065539D" w:rsidRPr="00CE4B6D" w:rsidRDefault="00CE4B6D" w:rsidP="00740E07">
            <w:pPr>
              <w:rPr>
                <w:rFonts w:ascii="Arial" w:hAnsi="Arial" w:cs="Arial"/>
                <w:sz w:val="24"/>
                <w:szCs w:val="24"/>
              </w:rPr>
            </w:pPr>
            <w:r w:rsidRPr="00CE4B6D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r w:rsidR="00740E0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CE4B6D">
              <w:rPr>
                <w:rFonts w:ascii="Arial" w:hAnsi="Arial" w:cs="Arial"/>
                <w:sz w:val="24"/>
                <w:szCs w:val="24"/>
              </w:rPr>
              <w:t>– (10)</w:t>
            </w:r>
          </w:p>
        </w:tc>
        <w:tc>
          <w:tcPr>
            <w:tcW w:w="4152" w:type="dxa"/>
          </w:tcPr>
          <w:p w:rsidR="0065539D" w:rsidRDefault="00FB61B4" w:rsidP="00FB6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5539D" w:rsidTr="00FB61B4">
        <w:tc>
          <w:tcPr>
            <w:tcW w:w="4144" w:type="dxa"/>
          </w:tcPr>
          <w:p w:rsidR="0065539D" w:rsidRDefault="00CE4B6D" w:rsidP="00BC6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(11) – (20)</w:t>
            </w:r>
          </w:p>
        </w:tc>
        <w:tc>
          <w:tcPr>
            <w:tcW w:w="4152" w:type="dxa"/>
          </w:tcPr>
          <w:p w:rsidR="0065539D" w:rsidRDefault="00FB61B4" w:rsidP="00FB6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E4B6D" w:rsidTr="00FB61B4">
        <w:tc>
          <w:tcPr>
            <w:tcW w:w="4144" w:type="dxa"/>
          </w:tcPr>
          <w:p w:rsidR="00CE4B6D" w:rsidRDefault="00CE4B6D" w:rsidP="00BC6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(21) – (30)</w:t>
            </w:r>
          </w:p>
        </w:tc>
        <w:tc>
          <w:tcPr>
            <w:tcW w:w="4152" w:type="dxa"/>
          </w:tcPr>
          <w:p w:rsidR="00CE4B6D" w:rsidRDefault="00FB61B4" w:rsidP="00FB6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E4B6D" w:rsidTr="00FB61B4">
        <w:tc>
          <w:tcPr>
            <w:tcW w:w="4144" w:type="dxa"/>
          </w:tcPr>
          <w:p w:rsidR="00CE4B6D" w:rsidRPr="00CE4B6D" w:rsidRDefault="00CE4B6D" w:rsidP="00BC61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B6D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4152" w:type="dxa"/>
          </w:tcPr>
          <w:p w:rsidR="00CE4B6D" w:rsidRPr="00CE4B6D" w:rsidRDefault="00392794" w:rsidP="000553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</w:tr>
    </w:tbl>
    <w:p w:rsidR="0065539D" w:rsidRDefault="0065539D" w:rsidP="00BC61F4">
      <w:pPr>
        <w:ind w:left="720"/>
        <w:rPr>
          <w:rFonts w:ascii="Arial" w:hAnsi="Arial" w:cs="Arial"/>
          <w:sz w:val="24"/>
          <w:szCs w:val="24"/>
        </w:rPr>
      </w:pPr>
    </w:p>
    <w:p w:rsidR="0065539D" w:rsidRPr="0065539D" w:rsidRDefault="0065539D" w:rsidP="00BC61F4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65539D">
        <w:rPr>
          <w:rFonts w:ascii="Arial" w:hAnsi="Arial" w:cs="Arial"/>
          <w:b/>
          <w:sz w:val="24"/>
          <w:szCs w:val="24"/>
          <w:u w:val="single"/>
        </w:rPr>
        <w:t>Secondary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5"/>
        <w:gridCol w:w="4161"/>
      </w:tblGrid>
      <w:tr w:rsidR="0065539D" w:rsidTr="00FB61B4">
        <w:tc>
          <w:tcPr>
            <w:tcW w:w="4135" w:type="dxa"/>
          </w:tcPr>
          <w:p w:rsidR="0065539D" w:rsidRPr="0065539D" w:rsidRDefault="0065539D" w:rsidP="006553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5539D">
              <w:rPr>
                <w:rFonts w:ascii="Arial" w:hAnsi="Arial" w:cs="Arial"/>
                <w:b/>
                <w:sz w:val="24"/>
                <w:szCs w:val="24"/>
                <w:u w:val="single"/>
              </w:rPr>
              <w:t>Pupil number changes Oct 2018 – Oct 2019</w:t>
            </w:r>
          </w:p>
        </w:tc>
        <w:tc>
          <w:tcPr>
            <w:tcW w:w="4161" w:type="dxa"/>
          </w:tcPr>
          <w:p w:rsidR="0065539D" w:rsidRPr="0065539D" w:rsidRDefault="0065539D" w:rsidP="00CE4B6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5539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No of </w:t>
            </w:r>
            <w:r w:rsidR="00CE4B6D">
              <w:rPr>
                <w:rFonts w:ascii="Arial" w:hAnsi="Arial" w:cs="Arial"/>
                <w:b/>
                <w:sz w:val="24"/>
                <w:szCs w:val="24"/>
                <w:u w:val="single"/>
              </w:rPr>
              <w:t>secondary</w:t>
            </w:r>
            <w:r w:rsidRPr="0065539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schools impacted</w:t>
            </w:r>
          </w:p>
        </w:tc>
      </w:tr>
      <w:tr w:rsidR="0065539D" w:rsidRPr="00FB61B4" w:rsidTr="00FB61B4">
        <w:tc>
          <w:tcPr>
            <w:tcW w:w="4135" w:type="dxa"/>
          </w:tcPr>
          <w:p w:rsidR="0065539D" w:rsidRPr="00FB61B4" w:rsidRDefault="00CE4B6D" w:rsidP="00FB61B4">
            <w:pPr>
              <w:rPr>
                <w:rFonts w:ascii="Arial" w:hAnsi="Arial" w:cs="Arial"/>
                <w:sz w:val="24"/>
                <w:szCs w:val="24"/>
              </w:rPr>
            </w:pPr>
            <w:r w:rsidRPr="00FB61B4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FB61B4" w:rsidRPr="00FB61B4">
              <w:rPr>
                <w:rFonts w:ascii="Arial" w:hAnsi="Arial" w:cs="Arial"/>
                <w:sz w:val="24"/>
                <w:szCs w:val="24"/>
              </w:rPr>
              <w:t>-</w:t>
            </w:r>
            <w:r w:rsidRPr="00FB61B4"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</w:tc>
        <w:tc>
          <w:tcPr>
            <w:tcW w:w="4161" w:type="dxa"/>
          </w:tcPr>
          <w:p w:rsidR="0065539D" w:rsidRPr="00FB61B4" w:rsidRDefault="00FB61B4" w:rsidP="00FB6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1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5539D" w:rsidRPr="00FB61B4" w:rsidTr="00FB61B4">
        <w:tc>
          <w:tcPr>
            <w:tcW w:w="4135" w:type="dxa"/>
          </w:tcPr>
          <w:p w:rsidR="0065539D" w:rsidRPr="00FB61B4" w:rsidRDefault="00CE4B6D" w:rsidP="00BC61F4">
            <w:pPr>
              <w:rPr>
                <w:rFonts w:ascii="Arial" w:hAnsi="Arial" w:cs="Arial"/>
                <w:sz w:val="24"/>
                <w:szCs w:val="24"/>
              </w:rPr>
            </w:pPr>
            <w:r w:rsidRPr="00FB61B4">
              <w:rPr>
                <w:rFonts w:ascii="Arial" w:hAnsi="Arial" w:cs="Arial"/>
                <w:sz w:val="24"/>
                <w:szCs w:val="24"/>
              </w:rPr>
              <w:t>26 – 50</w:t>
            </w:r>
          </w:p>
        </w:tc>
        <w:tc>
          <w:tcPr>
            <w:tcW w:w="4161" w:type="dxa"/>
          </w:tcPr>
          <w:p w:rsidR="0065539D" w:rsidRPr="00FB61B4" w:rsidRDefault="00FB61B4" w:rsidP="00FB6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1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5539D" w:rsidRPr="00FB61B4" w:rsidTr="00FB61B4">
        <w:tc>
          <w:tcPr>
            <w:tcW w:w="4135" w:type="dxa"/>
          </w:tcPr>
          <w:p w:rsidR="0065539D" w:rsidRPr="00FB61B4" w:rsidRDefault="00CE4B6D" w:rsidP="00BC61F4">
            <w:pPr>
              <w:rPr>
                <w:rFonts w:ascii="Arial" w:hAnsi="Arial" w:cs="Arial"/>
                <w:sz w:val="24"/>
                <w:szCs w:val="24"/>
              </w:rPr>
            </w:pPr>
            <w:r w:rsidRPr="00FB61B4">
              <w:rPr>
                <w:rFonts w:ascii="Arial" w:hAnsi="Arial" w:cs="Arial"/>
                <w:sz w:val="24"/>
                <w:szCs w:val="24"/>
              </w:rPr>
              <w:t>51 – 75</w:t>
            </w:r>
          </w:p>
        </w:tc>
        <w:tc>
          <w:tcPr>
            <w:tcW w:w="4161" w:type="dxa"/>
          </w:tcPr>
          <w:p w:rsidR="0065539D" w:rsidRPr="00FB61B4" w:rsidRDefault="00FB61B4" w:rsidP="00FB6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1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539D" w:rsidRPr="00FB61B4" w:rsidTr="00FB61B4">
        <w:tc>
          <w:tcPr>
            <w:tcW w:w="4135" w:type="dxa"/>
          </w:tcPr>
          <w:p w:rsidR="0065539D" w:rsidRPr="00FB61B4" w:rsidRDefault="00CE4B6D" w:rsidP="00BC61F4">
            <w:pPr>
              <w:rPr>
                <w:rFonts w:ascii="Arial" w:hAnsi="Arial" w:cs="Arial"/>
                <w:sz w:val="24"/>
                <w:szCs w:val="24"/>
              </w:rPr>
            </w:pPr>
            <w:r w:rsidRPr="00FB61B4">
              <w:rPr>
                <w:rFonts w:ascii="Arial" w:hAnsi="Arial" w:cs="Arial"/>
                <w:sz w:val="24"/>
                <w:szCs w:val="24"/>
              </w:rPr>
              <w:t>76 – 100</w:t>
            </w:r>
          </w:p>
        </w:tc>
        <w:tc>
          <w:tcPr>
            <w:tcW w:w="4161" w:type="dxa"/>
          </w:tcPr>
          <w:p w:rsidR="0065539D" w:rsidRPr="00FB61B4" w:rsidRDefault="00FB61B4" w:rsidP="00FB6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1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B61B4" w:rsidRPr="00FB61B4" w:rsidTr="00FB61B4">
        <w:tc>
          <w:tcPr>
            <w:tcW w:w="4135" w:type="dxa"/>
          </w:tcPr>
          <w:p w:rsidR="00FB61B4" w:rsidRPr="00FB61B4" w:rsidRDefault="00FB61B4" w:rsidP="00BC61F4">
            <w:pPr>
              <w:rPr>
                <w:rFonts w:ascii="Arial" w:hAnsi="Arial" w:cs="Arial"/>
                <w:sz w:val="24"/>
                <w:szCs w:val="24"/>
              </w:rPr>
            </w:pPr>
            <w:r w:rsidRPr="00FB61B4">
              <w:rPr>
                <w:rFonts w:ascii="Arial" w:hAnsi="Arial" w:cs="Arial"/>
                <w:sz w:val="24"/>
                <w:szCs w:val="24"/>
              </w:rPr>
              <w:t>100 +</w:t>
            </w:r>
          </w:p>
        </w:tc>
        <w:tc>
          <w:tcPr>
            <w:tcW w:w="4161" w:type="dxa"/>
          </w:tcPr>
          <w:p w:rsidR="00FB61B4" w:rsidRPr="00FB61B4" w:rsidRDefault="00FB61B4" w:rsidP="00FB6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1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539D" w:rsidRPr="00FB61B4" w:rsidTr="00FB61B4">
        <w:tc>
          <w:tcPr>
            <w:tcW w:w="4135" w:type="dxa"/>
          </w:tcPr>
          <w:p w:rsidR="0065539D" w:rsidRPr="00FB61B4" w:rsidRDefault="00CE4B6D" w:rsidP="00FB61B4">
            <w:pPr>
              <w:rPr>
                <w:rFonts w:ascii="Arial" w:hAnsi="Arial" w:cs="Arial"/>
                <w:sz w:val="24"/>
                <w:szCs w:val="24"/>
              </w:rPr>
            </w:pPr>
            <w:r w:rsidRPr="00FB61B4">
              <w:rPr>
                <w:rFonts w:ascii="Arial" w:hAnsi="Arial" w:cs="Arial"/>
                <w:sz w:val="24"/>
                <w:szCs w:val="24"/>
              </w:rPr>
              <w:t>(</w:t>
            </w:r>
            <w:r w:rsidR="00FB61B4" w:rsidRPr="00FB61B4">
              <w:rPr>
                <w:rFonts w:ascii="Arial" w:hAnsi="Arial" w:cs="Arial"/>
                <w:sz w:val="24"/>
                <w:szCs w:val="24"/>
              </w:rPr>
              <w:t>1</w:t>
            </w:r>
            <w:r w:rsidRPr="00FB61B4">
              <w:rPr>
                <w:rFonts w:ascii="Arial" w:hAnsi="Arial" w:cs="Arial"/>
                <w:sz w:val="24"/>
                <w:szCs w:val="24"/>
              </w:rPr>
              <w:t>) – (25)</w:t>
            </w:r>
          </w:p>
        </w:tc>
        <w:tc>
          <w:tcPr>
            <w:tcW w:w="4161" w:type="dxa"/>
          </w:tcPr>
          <w:p w:rsidR="0065539D" w:rsidRPr="00FB61B4" w:rsidRDefault="00FB61B4" w:rsidP="00FB6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1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539D" w:rsidRPr="00FB61B4" w:rsidTr="00FB61B4">
        <w:tc>
          <w:tcPr>
            <w:tcW w:w="4135" w:type="dxa"/>
          </w:tcPr>
          <w:p w:rsidR="0065539D" w:rsidRPr="00FB61B4" w:rsidRDefault="00CE4B6D" w:rsidP="00BC61F4">
            <w:pPr>
              <w:rPr>
                <w:rFonts w:ascii="Arial" w:hAnsi="Arial" w:cs="Arial"/>
                <w:sz w:val="24"/>
                <w:szCs w:val="24"/>
              </w:rPr>
            </w:pPr>
            <w:r w:rsidRPr="00FB61B4">
              <w:rPr>
                <w:rFonts w:ascii="Arial" w:hAnsi="Arial" w:cs="Arial"/>
                <w:sz w:val="24"/>
                <w:szCs w:val="24"/>
              </w:rPr>
              <w:t>(26) – (50)</w:t>
            </w:r>
          </w:p>
        </w:tc>
        <w:tc>
          <w:tcPr>
            <w:tcW w:w="4161" w:type="dxa"/>
          </w:tcPr>
          <w:p w:rsidR="0065539D" w:rsidRPr="00FB61B4" w:rsidRDefault="00FB61B4" w:rsidP="00FB6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1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E4B6D" w:rsidTr="00FB61B4">
        <w:tc>
          <w:tcPr>
            <w:tcW w:w="4135" w:type="dxa"/>
          </w:tcPr>
          <w:p w:rsidR="00CE4B6D" w:rsidRPr="00FB61B4" w:rsidRDefault="00CE4B6D" w:rsidP="00BC61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61B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4161" w:type="dxa"/>
          </w:tcPr>
          <w:p w:rsidR="00CE4B6D" w:rsidRPr="00CE4B6D" w:rsidRDefault="00CE4B6D" w:rsidP="000553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1B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</w:tbl>
    <w:p w:rsidR="0065539D" w:rsidRDefault="0065539D" w:rsidP="00BC61F4">
      <w:pPr>
        <w:ind w:left="720"/>
        <w:rPr>
          <w:rFonts w:ascii="Arial" w:hAnsi="Arial" w:cs="Arial"/>
          <w:sz w:val="24"/>
          <w:szCs w:val="24"/>
        </w:rPr>
      </w:pPr>
    </w:p>
    <w:p w:rsidR="00BC61F4" w:rsidRDefault="00112020" w:rsidP="00BC61F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impact of the pupil number increases</w:t>
      </w:r>
      <w:r w:rsidR="00974295">
        <w:rPr>
          <w:rFonts w:ascii="Arial" w:hAnsi="Arial" w:cs="Arial"/>
          <w:sz w:val="24"/>
          <w:szCs w:val="24"/>
        </w:rPr>
        <w:t xml:space="preserve"> and the other </w:t>
      </w:r>
      <w:r w:rsidR="00DF495F">
        <w:rPr>
          <w:rFonts w:ascii="Arial" w:hAnsi="Arial" w:cs="Arial"/>
          <w:sz w:val="24"/>
          <w:szCs w:val="24"/>
        </w:rPr>
        <w:t>updated data</w:t>
      </w:r>
      <w:r w:rsidR="00974295">
        <w:rPr>
          <w:rFonts w:ascii="Arial" w:hAnsi="Arial" w:cs="Arial"/>
          <w:sz w:val="24"/>
          <w:szCs w:val="24"/>
        </w:rPr>
        <w:t xml:space="preserve"> </w:t>
      </w:r>
      <w:r w:rsidR="00392794">
        <w:rPr>
          <w:rFonts w:ascii="Arial" w:hAnsi="Arial" w:cs="Arial"/>
          <w:sz w:val="24"/>
          <w:szCs w:val="24"/>
        </w:rPr>
        <w:t xml:space="preserve">plus the confirmation of the growth factor </w:t>
      </w:r>
      <w:r w:rsidR="00974295">
        <w:rPr>
          <w:rFonts w:ascii="Arial" w:hAnsi="Arial" w:cs="Arial"/>
          <w:sz w:val="24"/>
          <w:szCs w:val="24"/>
        </w:rPr>
        <w:t>gives a final allocation for the Schools Block of £10</w:t>
      </w:r>
      <w:r w:rsidR="00392794">
        <w:rPr>
          <w:rFonts w:ascii="Arial" w:hAnsi="Arial" w:cs="Arial"/>
          <w:sz w:val="24"/>
          <w:szCs w:val="24"/>
        </w:rPr>
        <w:t>6</w:t>
      </w:r>
      <w:r w:rsidR="009742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="0039279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2</w:t>
      </w:r>
      <w:r w:rsidR="00974295">
        <w:rPr>
          <w:rFonts w:ascii="Arial" w:hAnsi="Arial" w:cs="Arial"/>
          <w:sz w:val="24"/>
          <w:szCs w:val="24"/>
        </w:rPr>
        <w:t>m. When the initial modelling work was undertaken</w:t>
      </w:r>
      <w:r w:rsidR="00DF495F">
        <w:rPr>
          <w:rFonts w:ascii="Arial" w:hAnsi="Arial" w:cs="Arial"/>
          <w:sz w:val="24"/>
          <w:szCs w:val="24"/>
        </w:rPr>
        <w:t xml:space="preserve"> the indicative allocation was </w:t>
      </w:r>
      <w:r w:rsidR="00DF495F" w:rsidRPr="004F6ED4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10</w:t>
      </w:r>
      <w:r w:rsidR="0039279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392794">
        <w:rPr>
          <w:rFonts w:ascii="Arial" w:hAnsi="Arial" w:cs="Arial"/>
          <w:sz w:val="24"/>
          <w:szCs w:val="24"/>
        </w:rPr>
        <w:t>000</w:t>
      </w:r>
      <w:r w:rsidR="00DF495F" w:rsidRPr="004F6ED4">
        <w:rPr>
          <w:rFonts w:ascii="Arial" w:hAnsi="Arial" w:cs="Arial"/>
          <w:sz w:val="24"/>
          <w:szCs w:val="24"/>
        </w:rPr>
        <w:t>m</w:t>
      </w:r>
      <w:r w:rsidR="00392794">
        <w:rPr>
          <w:rFonts w:ascii="Arial" w:hAnsi="Arial" w:cs="Arial"/>
          <w:sz w:val="24"/>
          <w:szCs w:val="24"/>
        </w:rPr>
        <w:t xml:space="preserve"> but modelling was undertaken on £104.400m which assumed an unchanged </w:t>
      </w:r>
      <w:r w:rsidR="005D26A0">
        <w:rPr>
          <w:rFonts w:ascii="Arial" w:hAnsi="Arial" w:cs="Arial"/>
          <w:sz w:val="24"/>
          <w:szCs w:val="24"/>
        </w:rPr>
        <w:t xml:space="preserve">NFF </w:t>
      </w:r>
      <w:r w:rsidR="00392794">
        <w:rPr>
          <w:rFonts w:ascii="Arial" w:hAnsi="Arial" w:cs="Arial"/>
          <w:sz w:val="24"/>
          <w:szCs w:val="24"/>
        </w:rPr>
        <w:t xml:space="preserve">growth factor allocation from 2019-20. </w:t>
      </w:r>
      <w:r w:rsidR="005D26A0">
        <w:rPr>
          <w:rFonts w:ascii="Arial" w:hAnsi="Arial" w:cs="Arial"/>
          <w:sz w:val="24"/>
          <w:szCs w:val="24"/>
        </w:rPr>
        <w:t xml:space="preserve">There is therefore an additional amount of £2.462m to allocate although some of this amount is as a result of additional pupil numbers. </w:t>
      </w:r>
    </w:p>
    <w:p w:rsidR="004F6ED4" w:rsidRDefault="00DF495F" w:rsidP="00BC61F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consequence </w:t>
      </w:r>
      <w:r w:rsidR="005D26A0">
        <w:rPr>
          <w:rFonts w:ascii="Arial" w:hAnsi="Arial" w:cs="Arial"/>
          <w:sz w:val="24"/>
          <w:szCs w:val="24"/>
        </w:rPr>
        <w:t xml:space="preserve">of the above </w:t>
      </w:r>
      <w:r>
        <w:rPr>
          <w:rFonts w:ascii="Arial" w:hAnsi="Arial" w:cs="Arial"/>
          <w:sz w:val="24"/>
          <w:szCs w:val="24"/>
        </w:rPr>
        <w:t xml:space="preserve">it </w:t>
      </w:r>
      <w:r w:rsidR="0011202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as </w:t>
      </w:r>
      <w:r w:rsidR="009D2CEB">
        <w:rPr>
          <w:rFonts w:ascii="Arial" w:hAnsi="Arial" w:cs="Arial"/>
          <w:sz w:val="24"/>
          <w:szCs w:val="24"/>
        </w:rPr>
        <w:t xml:space="preserve">been </w:t>
      </w:r>
      <w:r>
        <w:rPr>
          <w:rFonts w:ascii="Arial" w:hAnsi="Arial" w:cs="Arial"/>
          <w:sz w:val="24"/>
          <w:szCs w:val="24"/>
        </w:rPr>
        <w:t>necessary to refine the funding formula to ensure full allocation of the Schools Block. Such refinement needed to be aware of the National Funding formula (NFF) values</w:t>
      </w:r>
      <w:r w:rsidR="00CD5660">
        <w:rPr>
          <w:rFonts w:ascii="Arial" w:hAnsi="Arial" w:cs="Arial"/>
          <w:sz w:val="24"/>
          <w:szCs w:val="24"/>
        </w:rPr>
        <w:t xml:space="preserve"> and changes to these</w:t>
      </w:r>
      <w:r w:rsidR="005D26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the </w:t>
      </w:r>
      <w:proofErr w:type="spellStart"/>
      <w:r>
        <w:rPr>
          <w:rFonts w:ascii="Arial" w:hAnsi="Arial" w:cs="Arial"/>
          <w:sz w:val="24"/>
          <w:szCs w:val="24"/>
        </w:rPr>
        <w:t>DfE</w:t>
      </w:r>
      <w:proofErr w:type="spellEnd"/>
      <w:r>
        <w:rPr>
          <w:rFonts w:ascii="Arial" w:hAnsi="Arial" w:cs="Arial"/>
          <w:sz w:val="24"/>
          <w:szCs w:val="24"/>
        </w:rPr>
        <w:t xml:space="preserve"> views around the </w:t>
      </w:r>
      <w:r w:rsidR="00CD5660">
        <w:rPr>
          <w:rFonts w:ascii="Arial" w:hAnsi="Arial" w:cs="Arial"/>
          <w:sz w:val="24"/>
          <w:szCs w:val="24"/>
        </w:rPr>
        <w:t>Primary:</w:t>
      </w:r>
      <w:r>
        <w:rPr>
          <w:rFonts w:ascii="Arial" w:hAnsi="Arial" w:cs="Arial"/>
          <w:sz w:val="24"/>
          <w:szCs w:val="24"/>
        </w:rPr>
        <w:t xml:space="preserve"> Secondary ratio of it being </w:t>
      </w:r>
      <w:r w:rsidR="003E743F">
        <w:rPr>
          <w:rFonts w:ascii="Arial" w:hAnsi="Arial" w:cs="Arial"/>
          <w:sz w:val="24"/>
          <w:szCs w:val="24"/>
        </w:rPr>
        <w:t xml:space="preserve">around </w:t>
      </w:r>
      <w:r w:rsidR="00CD5660"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z w:val="24"/>
          <w:szCs w:val="24"/>
        </w:rPr>
        <w:t>1.2</w:t>
      </w:r>
      <w:r w:rsidR="00CD566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2E6956">
        <w:rPr>
          <w:rFonts w:ascii="Arial" w:hAnsi="Arial" w:cs="Arial"/>
          <w:sz w:val="24"/>
          <w:szCs w:val="24"/>
        </w:rPr>
        <w:t xml:space="preserve"> </w:t>
      </w:r>
    </w:p>
    <w:p w:rsidR="00DF495F" w:rsidRDefault="00DF495F" w:rsidP="005C00D4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Modelling changes proposed</w:t>
      </w:r>
    </w:p>
    <w:p w:rsidR="00DF495F" w:rsidRDefault="005C1675" w:rsidP="00DF495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initial modelling shared with the </w:t>
      </w:r>
      <w:r w:rsidR="00CD5660">
        <w:rPr>
          <w:rFonts w:ascii="Arial" w:hAnsi="Arial" w:cs="Arial"/>
          <w:sz w:val="24"/>
          <w:szCs w:val="24"/>
        </w:rPr>
        <w:t xml:space="preserve">Schools Forum and </w:t>
      </w:r>
      <w:r>
        <w:rPr>
          <w:rFonts w:ascii="Arial" w:hAnsi="Arial" w:cs="Arial"/>
          <w:sz w:val="24"/>
          <w:szCs w:val="24"/>
        </w:rPr>
        <w:t>the schools during the consultation process all NFF values had been used with the exception of the following: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0"/>
        <w:gridCol w:w="1849"/>
        <w:gridCol w:w="2156"/>
        <w:gridCol w:w="1931"/>
      </w:tblGrid>
      <w:tr w:rsidR="00100724" w:rsidTr="00CD5660">
        <w:tc>
          <w:tcPr>
            <w:tcW w:w="2423" w:type="dxa"/>
          </w:tcPr>
          <w:p w:rsidR="00CD5660" w:rsidRPr="00BC61F4" w:rsidRDefault="00CD5660" w:rsidP="005C167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Factor</w:t>
            </w:r>
          </w:p>
        </w:tc>
        <w:tc>
          <w:tcPr>
            <w:tcW w:w="1913" w:type="dxa"/>
          </w:tcPr>
          <w:p w:rsidR="00CD5660" w:rsidRPr="00BC61F4" w:rsidRDefault="00CD5660" w:rsidP="008634D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NFF unit value £</w:t>
            </w:r>
          </w:p>
        </w:tc>
        <w:tc>
          <w:tcPr>
            <w:tcW w:w="2210" w:type="dxa"/>
          </w:tcPr>
          <w:p w:rsidR="00CD5660" w:rsidRPr="00BC61F4" w:rsidRDefault="00CD5660" w:rsidP="0010072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NELC 20</w:t>
            </w:r>
            <w:r w:rsidR="00100724">
              <w:rPr>
                <w:rFonts w:ascii="Arial" w:hAnsi="Arial" w:cs="Arial"/>
                <w:b/>
                <w:sz w:val="24"/>
                <w:szCs w:val="24"/>
                <w:u w:val="single"/>
              </w:rPr>
              <w:t>20-21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10072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initially proposed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unit value £</w:t>
            </w:r>
          </w:p>
        </w:tc>
        <w:tc>
          <w:tcPr>
            <w:tcW w:w="1976" w:type="dxa"/>
          </w:tcPr>
          <w:p w:rsidR="00CD5660" w:rsidRDefault="00CD5660" w:rsidP="008634D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Variance £</w:t>
            </w:r>
          </w:p>
        </w:tc>
      </w:tr>
      <w:tr w:rsidR="00100724" w:rsidTr="00CD5660">
        <w:tc>
          <w:tcPr>
            <w:tcW w:w="2423" w:type="dxa"/>
          </w:tcPr>
          <w:p w:rsidR="00CD5660" w:rsidRDefault="00CD5660" w:rsidP="00863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:rsidR="00CD5660" w:rsidRDefault="00CD5660" w:rsidP="00863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</w:tcPr>
          <w:p w:rsidR="00CD5660" w:rsidRDefault="00CD5660" w:rsidP="00863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</w:tcPr>
          <w:p w:rsidR="00CD5660" w:rsidRDefault="00CD5660" w:rsidP="00863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724" w:rsidTr="00CD5660">
        <w:tc>
          <w:tcPr>
            <w:tcW w:w="2423" w:type="dxa"/>
          </w:tcPr>
          <w:p w:rsidR="00CD5660" w:rsidRDefault="00CD5660" w:rsidP="008634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</w:t>
            </w:r>
          </w:p>
        </w:tc>
        <w:tc>
          <w:tcPr>
            <w:tcW w:w="1913" w:type="dxa"/>
          </w:tcPr>
          <w:p w:rsidR="00CD5660" w:rsidRDefault="00CD5660" w:rsidP="005D2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</w:t>
            </w:r>
            <w:r w:rsidR="005D26A0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2210" w:type="dxa"/>
          </w:tcPr>
          <w:p w:rsidR="00CD5660" w:rsidRDefault="00CD5660" w:rsidP="00863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D26A0">
              <w:rPr>
                <w:rFonts w:ascii="Arial" w:hAnsi="Arial" w:cs="Arial"/>
                <w:sz w:val="24"/>
                <w:szCs w:val="24"/>
              </w:rPr>
              <w:t>,077</w:t>
            </w:r>
          </w:p>
        </w:tc>
        <w:tc>
          <w:tcPr>
            <w:tcW w:w="1976" w:type="dxa"/>
          </w:tcPr>
          <w:p w:rsidR="00CD5660" w:rsidRDefault="005D26A0" w:rsidP="00863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100724" w:rsidTr="00CD5660">
        <w:tc>
          <w:tcPr>
            <w:tcW w:w="2423" w:type="dxa"/>
          </w:tcPr>
          <w:p w:rsidR="00CD5660" w:rsidRDefault="00CD5660" w:rsidP="008634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Secondary – KS3</w:t>
            </w:r>
          </w:p>
        </w:tc>
        <w:tc>
          <w:tcPr>
            <w:tcW w:w="1913" w:type="dxa"/>
          </w:tcPr>
          <w:p w:rsidR="00CD5660" w:rsidRDefault="005D26A0" w:rsidP="005D2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4,018</w:t>
            </w:r>
          </w:p>
        </w:tc>
        <w:tc>
          <w:tcPr>
            <w:tcW w:w="2210" w:type="dxa"/>
          </w:tcPr>
          <w:p w:rsidR="00CD5660" w:rsidRDefault="005D26A0" w:rsidP="005D2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4,018</w:t>
            </w:r>
          </w:p>
        </w:tc>
        <w:tc>
          <w:tcPr>
            <w:tcW w:w="1976" w:type="dxa"/>
          </w:tcPr>
          <w:p w:rsidR="00CD5660" w:rsidRDefault="005D26A0" w:rsidP="00863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0724" w:rsidTr="00CD5660">
        <w:tc>
          <w:tcPr>
            <w:tcW w:w="2423" w:type="dxa"/>
          </w:tcPr>
          <w:p w:rsidR="00CD5660" w:rsidRDefault="00CD5660" w:rsidP="008634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Secondary – KS4</w:t>
            </w:r>
          </w:p>
        </w:tc>
        <w:tc>
          <w:tcPr>
            <w:tcW w:w="1913" w:type="dxa"/>
          </w:tcPr>
          <w:p w:rsidR="00CD5660" w:rsidRDefault="00CD5660" w:rsidP="005D2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5D26A0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2210" w:type="dxa"/>
          </w:tcPr>
          <w:p w:rsidR="00CD5660" w:rsidRDefault="00CD5660" w:rsidP="005D2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5D26A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76" w:type="dxa"/>
          </w:tcPr>
          <w:p w:rsidR="00CD5660" w:rsidRDefault="005D26A0" w:rsidP="00863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</w:tbl>
    <w:p w:rsidR="007A7E53" w:rsidRDefault="007A7E53" w:rsidP="007A7E53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5D26A0" w:rsidRDefault="005D26A0" w:rsidP="007A7E53">
      <w:pPr>
        <w:pStyle w:val="ListParagraph"/>
        <w:rPr>
          <w:rFonts w:ascii="Arial" w:hAnsi="Arial" w:cs="Arial"/>
          <w:sz w:val="24"/>
          <w:szCs w:val="24"/>
        </w:rPr>
      </w:pPr>
    </w:p>
    <w:p w:rsidR="008E6FD4" w:rsidRDefault="0040758D" w:rsidP="0010072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receipt of the final schools block allocation</w:t>
      </w:r>
      <w:r w:rsidR="0065539D">
        <w:rPr>
          <w:rFonts w:ascii="Arial" w:hAnsi="Arial" w:cs="Arial"/>
          <w:sz w:val="24"/>
          <w:szCs w:val="24"/>
        </w:rPr>
        <w:t xml:space="preserve"> and updated </w:t>
      </w:r>
      <w:proofErr w:type="spellStart"/>
      <w:r w:rsidR="0065539D"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</w:rPr>
        <w:t>o</w:t>
      </w:r>
      <w:r w:rsidR="0065539D">
        <w:rPr>
          <w:rFonts w:ascii="Arial" w:hAnsi="Arial" w:cs="Arial"/>
          <w:sz w:val="24"/>
          <w:szCs w:val="24"/>
        </w:rPr>
        <w:t>r</w:t>
      </w:r>
      <w:r w:rsidR="00100724">
        <w:rPr>
          <w:rFonts w:ascii="Arial" w:hAnsi="Arial" w:cs="Arial"/>
          <w:sz w:val="24"/>
          <w:szCs w:val="24"/>
        </w:rPr>
        <w:t>ma</w:t>
      </w:r>
      <w:proofErr w:type="spellEnd"/>
      <w:r w:rsidR="00100724">
        <w:rPr>
          <w:rFonts w:ascii="Arial" w:hAnsi="Arial" w:cs="Arial"/>
          <w:sz w:val="24"/>
          <w:szCs w:val="24"/>
        </w:rPr>
        <w:t xml:space="preserve"> then further refinement I</w:t>
      </w:r>
      <w:r>
        <w:rPr>
          <w:rFonts w:ascii="Arial" w:hAnsi="Arial" w:cs="Arial"/>
          <w:sz w:val="24"/>
          <w:szCs w:val="24"/>
        </w:rPr>
        <w:t xml:space="preserve">s necessary. </w:t>
      </w:r>
      <w:r w:rsidR="00100724">
        <w:rPr>
          <w:rFonts w:ascii="Arial" w:hAnsi="Arial" w:cs="Arial"/>
          <w:sz w:val="24"/>
          <w:szCs w:val="24"/>
        </w:rPr>
        <w:t>Given that other than the above all other factor values are at the NFF then the proposal is to amend the AWPU’s as follows:</w:t>
      </w:r>
    </w:p>
    <w:p w:rsidR="00100724" w:rsidRDefault="00100724" w:rsidP="00100724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0"/>
        <w:gridCol w:w="1849"/>
        <w:gridCol w:w="2156"/>
        <w:gridCol w:w="1931"/>
      </w:tblGrid>
      <w:tr w:rsidR="00100724" w:rsidTr="006C79B3">
        <w:tc>
          <w:tcPr>
            <w:tcW w:w="2423" w:type="dxa"/>
          </w:tcPr>
          <w:p w:rsidR="00100724" w:rsidRPr="00BC61F4" w:rsidRDefault="00100724" w:rsidP="006C79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Factor</w:t>
            </w:r>
          </w:p>
        </w:tc>
        <w:tc>
          <w:tcPr>
            <w:tcW w:w="1913" w:type="dxa"/>
          </w:tcPr>
          <w:p w:rsidR="00100724" w:rsidRPr="00BC61F4" w:rsidRDefault="00100724" w:rsidP="006C79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NFF unit value £</w:t>
            </w:r>
          </w:p>
        </w:tc>
        <w:tc>
          <w:tcPr>
            <w:tcW w:w="2210" w:type="dxa"/>
          </w:tcPr>
          <w:p w:rsidR="00100724" w:rsidRPr="00BC61F4" w:rsidRDefault="00100724" w:rsidP="0010072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NELC 2020-21 final proposed  unit value £</w:t>
            </w:r>
          </w:p>
        </w:tc>
        <w:tc>
          <w:tcPr>
            <w:tcW w:w="1976" w:type="dxa"/>
          </w:tcPr>
          <w:p w:rsidR="00100724" w:rsidRDefault="00100724" w:rsidP="006C79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Variance £</w:t>
            </w:r>
          </w:p>
        </w:tc>
      </w:tr>
      <w:tr w:rsidR="00100724" w:rsidTr="006C79B3">
        <w:tc>
          <w:tcPr>
            <w:tcW w:w="2423" w:type="dxa"/>
          </w:tcPr>
          <w:p w:rsidR="00100724" w:rsidRDefault="00100724" w:rsidP="006C7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:rsidR="00100724" w:rsidRDefault="00100724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</w:tcPr>
          <w:p w:rsidR="00100724" w:rsidRDefault="00100724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</w:tcPr>
          <w:p w:rsidR="00100724" w:rsidRDefault="00100724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724" w:rsidTr="006C79B3">
        <w:tc>
          <w:tcPr>
            <w:tcW w:w="2423" w:type="dxa"/>
          </w:tcPr>
          <w:p w:rsidR="00100724" w:rsidRDefault="00100724" w:rsidP="006C7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</w:t>
            </w:r>
          </w:p>
        </w:tc>
        <w:tc>
          <w:tcPr>
            <w:tcW w:w="1913" w:type="dxa"/>
          </w:tcPr>
          <w:p w:rsidR="00100724" w:rsidRDefault="00100724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2,857</w:t>
            </w:r>
          </w:p>
        </w:tc>
        <w:tc>
          <w:tcPr>
            <w:tcW w:w="2210" w:type="dxa"/>
          </w:tcPr>
          <w:p w:rsidR="00100724" w:rsidRDefault="00100724" w:rsidP="0010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3,125</w:t>
            </w:r>
          </w:p>
        </w:tc>
        <w:tc>
          <w:tcPr>
            <w:tcW w:w="1976" w:type="dxa"/>
          </w:tcPr>
          <w:p w:rsidR="00100724" w:rsidRDefault="00100724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</w:tr>
      <w:tr w:rsidR="00100724" w:rsidTr="006C79B3">
        <w:tc>
          <w:tcPr>
            <w:tcW w:w="2423" w:type="dxa"/>
          </w:tcPr>
          <w:p w:rsidR="00100724" w:rsidRDefault="00100724" w:rsidP="006C7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Secondary – KS3</w:t>
            </w:r>
          </w:p>
        </w:tc>
        <w:tc>
          <w:tcPr>
            <w:tcW w:w="1913" w:type="dxa"/>
          </w:tcPr>
          <w:p w:rsidR="00100724" w:rsidRDefault="00100724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4,018</w:t>
            </w:r>
          </w:p>
        </w:tc>
        <w:tc>
          <w:tcPr>
            <w:tcW w:w="2210" w:type="dxa"/>
          </w:tcPr>
          <w:p w:rsidR="00100724" w:rsidRDefault="00100724" w:rsidP="0010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4,130</w:t>
            </w:r>
          </w:p>
        </w:tc>
        <w:tc>
          <w:tcPr>
            <w:tcW w:w="1976" w:type="dxa"/>
          </w:tcPr>
          <w:p w:rsidR="00100724" w:rsidRDefault="00100724" w:rsidP="0010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</w:tr>
      <w:tr w:rsidR="00100724" w:rsidTr="006C79B3">
        <w:tc>
          <w:tcPr>
            <w:tcW w:w="2423" w:type="dxa"/>
          </w:tcPr>
          <w:p w:rsidR="00100724" w:rsidRDefault="00100724" w:rsidP="006C7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Secondary – KS4</w:t>
            </w:r>
          </w:p>
        </w:tc>
        <w:tc>
          <w:tcPr>
            <w:tcW w:w="1913" w:type="dxa"/>
          </w:tcPr>
          <w:p w:rsidR="00100724" w:rsidRDefault="00100724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4,561</w:t>
            </w:r>
          </w:p>
        </w:tc>
        <w:tc>
          <w:tcPr>
            <w:tcW w:w="2210" w:type="dxa"/>
          </w:tcPr>
          <w:p w:rsidR="00100724" w:rsidRDefault="00100724" w:rsidP="0010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4,825</w:t>
            </w:r>
          </w:p>
        </w:tc>
        <w:tc>
          <w:tcPr>
            <w:tcW w:w="1976" w:type="dxa"/>
          </w:tcPr>
          <w:p w:rsidR="00100724" w:rsidRDefault="00100724" w:rsidP="0010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</w:tbl>
    <w:p w:rsidR="00100724" w:rsidRDefault="00100724" w:rsidP="00100724">
      <w:pPr>
        <w:pStyle w:val="ListParagraph"/>
        <w:rPr>
          <w:rFonts w:ascii="Arial" w:hAnsi="Arial" w:cs="Arial"/>
          <w:sz w:val="24"/>
          <w:szCs w:val="24"/>
        </w:rPr>
      </w:pPr>
    </w:p>
    <w:p w:rsidR="003E743F" w:rsidRDefault="003E743F" w:rsidP="0010072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Whilst the above moves the KS3 factor away from the NFF value this is considered necessary to prevent the other two factors </w:t>
      </w:r>
      <w:r w:rsidR="00CB5816">
        <w:rPr>
          <w:rFonts w:ascii="Arial" w:hAnsi="Arial" w:cs="Arial"/>
          <w:sz w:val="24"/>
          <w:szCs w:val="24"/>
        </w:rPr>
        <w:t xml:space="preserve">values </w:t>
      </w:r>
      <w:r>
        <w:rPr>
          <w:rFonts w:ascii="Arial" w:hAnsi="Arial" w:cs="Arial"/>
          <w:sz w:val="24"/>
          <w:szCs w:val="24"/>
        </w:rPr>
        <w:t xml:space="preserve">becoming significantly different from </w:t>
      </w:r>
      <w:r w:rsidR="00CB581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NFF</w:t>
      </w:r>
      <w:r w:rsidR="00CB5816">
        <w:rPr>
          <w:rFonts w:ascii="Arial" w:hAnsi="Arial" w:cs="Arial"/>
          <w:sz w:val="24"/>
          <w:szCs w:val="24"/>
        </w:rPr>
        <w:t xml:space="preserve"> values.</w:t>
      </w:r>
    </w:p>
    <w:p w:rsidR="00CD5660" w:rsidRDefault="00CD5660" w:rsidP="007A7E53">
      <w:pPr>
        <w:pStyle w:val="ListParagraph"/>
        <w:rPr>
          <w:rFonts w:ascii="Arial" w:hAnsi="Arial" w:cs="Arial"/>
          <w:sz w:val="24"/>
          <w:szCs w:val="24"/>
        </w:rPr>
      </w:pPr>
    </w:p>
    <w:p w:rsidR="00DB0CFA" w:rsidRDefault="00CB5816" w:rsidP="005C00D4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Submitted</w:t>
      </w:r>
      <w:r w:rsidR="00DF495F">
        <w:rPr>
          <w:rFonts w:ascii="Arial" w:hAnsi="Arial" w:cs="Arial"/>
          <w:b/>
          <w:sz w:val="24"/>
          <w:szCs w:val="24"/>
          <w:u w:val="single"/>
        </w:rPr>
        <w:t xml:space="preserve"> Final Funding Formula 20</w:t>
      </w:r>
      <w:r w:rsidR="00100724">
        <w:rPr>
          <w:rFonts w:ascii="Arial" w:hAnsi="Arial" w:cs="Arial"/>
          <w:b/>
          <w:sz w:val="24"/>
          <w:szCs w:val="24"/>
          <w:u w:val="single"/>
        </w:rPr>
        <w:t>20-21</w:t>
      </w:r>
    </w:p>
    <w:p w:rsidR="007A7E53" w:rsidRDefault="007A7E53" w:rsidP="007A7E53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7A7E53" w:rsidRDefault="007A7E53" w:rsidP="007A7E53">
      <w:pPr>
        <w:pStyle w:val="ListParagraph"/>
        <w:rPr>
          <w:rFonts w:ascii="Arial" w:hAnsi="Arial" w:cs="Arial"/>
          <w:sz w:val="24"/>
          <w:szCs w:val="24"/>
        </w:rPr>
      </w:pPr>
      <w:r w:rsidRPr="007A7E53">
        <w:rPr>
          <w:rFonts w:ascii="Arial" w:hAnsi="Arial" w:cs="Arial"/>
          <w:sz w:val="24"/>
          <w:szCs w:val="24"/>
        </w:rPr>
        <w:t>If the changes highlighted above are accepted then the 20</w:t>
      </w:r>
      <w:r w:rsidR="00100724">
        <w:rPr>
          <w:rFonts w:ascii="Arial" w:hAnsi="Arial" w:cs="Arial"/>
          <w:sz w:val="24"/>
          <w:szCs w:val="24"/>
        </w:rPr>
        <w:t>20-21</w:t>
      </w:r>
      <w:r w:rsidRPr="007A7E53">
        <w:rPr>
          <w:rFonts w:ascii="Arial" w:hAnsi="Arial" w:cs="Arial"/>
          <w:sz w:val="24"/>
          <w:szCs w:val="24"/>
        </w:rPr>
        <w:t xml:space="preserve"> Schools funding formula will:</w:t>
      </w:r>
    </w:p>
    <w:p w:rsidR="00812B18" w:rsidRDefault="00812B18" w:rsidP="007A7E53">
      <w:pPr>
        <w:pStyle w:val="ListParagraph"/>
        <w:rPr>
          <w:rFonts w:ascii="Arial" w:hAnsi="Arial" w:cs="Arial"/>
          <w:sz w:val="24"/>
          <w:szCs w:val="24"/>
        </w:rPr>
      </w:pPr>
    </w:p>
    <w:p w:rsidR="00812B18" w:rsidRDefault="00812B18" w:rsidP="00812B1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 the NFF and its unit values except for the below:</w:t>
      </w:r>
    </w:p>
    <w:p w:rsidR="00812B18" w:rsidRDefault="00812B18" w:rsidP="00812B1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6"/>
        <w:gridCol w:w="1855"/>
        <w:gridCol w:w="2139"/>
        <w:gridCol w:w="1936"/>
      </w:tblGrid>
      <w:tr w:rsidR="00D90ACC" w:rsidTr="00AA4A00">
        <w:tc>
          <w:tcPr>
            <w:tcW w:w="2366" w:type="dxa"/>
          </w:tcPr>
          <w:p w:rsidR="00D90ACC" w:rsidRPr="00BC61F4" w:rsidRDefault="00D90ACC" w:rsidP="008634D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Factor</w:t>
            </w:r>
          </w:p>
        </w:tc>
        <w:tc>
          <w:tcPr>
            <w:tcW w:w="1855" w:type="dxa"/>
          </w:tcPr>
          <w:p w:rsidR="00D90ACC" w:rsidRPr="00BC61F4" w:rsidRDefault="00D90ACC" w:rsidP="008634D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NFF unit value £</w:t>
            </w:r>
          </w:p>
        </w:tc>
        <w:tc>
          <w:tcPr>
            <w:tcW w:w="2139" w:type="dxa"/>
          </w:tcPr>
          <w:p w:rsidR="00D90ACC" w:rsidRPr="00BC61F4" w:rsidRDefault="00D90ACC" w:rsidP="0036132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NELC 20</w:t>
            </w:r>
            <w:r w:rsidR="00361324">
              <w:rPr>
                <w:rFonts w:ascii="Arial" w:hAnsi="Arial" w:cs="Arial"/>
                <w:b/>
                <w:sz w:val="24"/>
                <w:szCs w:val="24"/>
                <w:u w:val="single"/>
              </w:rPr>
              <w:t>20-21 final proposed u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nit value £</w:t>
            </w:r>
          </w:p>
        </w:tc>
        <w:tc>
          <w:tcPr>
            <w:tcW w:w="1936" w:type="dxa"/>
          </w:tcPr>
          <w:p w:rsidR="00D90ACC" w:rsidRDefault="00D90ACC" w:rsidP="008634D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Variance £</w:t>
            </w:r>
          </w:p>
        </w:tc>
      </w:tr>
      <w:tr w:rsidR="00D90ACC" w:rsidTr="00AA4A00">
        <w:tc>
          <w:tcPr>
            <w:tcW w:w="2366" w:type="dxa"/>
          </w:tcPr>
          <w:p w:rsidR="00D90ACC" w:rsidRDefault="00D90ACC" w:rsidP="00863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</w:tcPr>
          <w:p w:rsidR="00D90ACC" w:rsidRDefault="00D90ACC" w:rsidP="00863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D90ACC" w:rsidRDefault="00D90ACC" w:rsidP="00863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D90ACC" w:rsidRDefault="00D90ACC" w:rsidP="00863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ACC" w:rsidTr="00AA4A00">
        <w:tc>
          <w:tcPr>
            <w:tcW w:w="2366" w:type="dxa"/>
          </w:tcPr>
          <w:p w:rsidR="00D90ACC" w:rsidRDefault="00D90ACC" w:rsidP="008634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</w:t>
            </w:r>
          </w:p>
        </w:tc>
        <w:tc>
          <w:tcPr>
            <w:tcW w:w="1855" w:type="dxa"/>
          </w:tcPr>
          <w:p w:rsidR="00D90ACC" w:rsidRDefault="00D90ACC" w:rsidP="0036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</w:t>
            </w:r>
            <w:r w:rsidR="00361324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2139" w:type="dxa"/>
          </w:tcPr>
          <w:p w:rsidR="00D90ACC" w:rsidRDefault="00D90ACC" w:rsidP="0036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36132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936" w:type="dxa"/>
          </w:tcPr>
          <w:p w:rsidR="00D90ACC" w:rsidRDefault="00361324" w:rsidP="0036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</w:tr>
      <w:tr w:rsidR="00D90ACC" w:rsidTr="00AA4A00">
        <w:tc>
          <w:tcPr>
            <w:tcW w:w="2366" w:type="dxa"/>
          </w:tcPr>
          <w:p w:rsidR="00D90ACC" w:rsidRDefault="00D90ACC" w:rsidP="008634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Secondary – KS3</w:t>
            </w:r>
          </w:p>
        </w:tc>
        <w:tc>
          <w:tcPr>
            <w:tcW w:w="1855" w:type="dxa"/>
          </w:tcPr>
          <w:p w:rsidR="00D90ACC" w:rsidRDefault="00361324" w:rsidP="0036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4,018</w:t>
            </w:r>
          </w:p>
        </w:tc>
        <w:tc>
          <w:tcPr>
            <w:tcW w:w="2139" w:type="dxa"/>
          </w:tcPr>
          <w:p w:rsidR="00D90ACC" w:rsidRDefault="00361324" w:rsidP="0036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4,130</w:t>
            </w:r>
          </w:p>
        </w:tc>
        <w:tc>
          <w:tcPr>
            <w:tcW w:w="1936" w:type="dxa"/>
          </w:tcPr>
          <w:p w:rsidR="00D90ACC" w:rsidRDefault="00361324" w:rsidP="0036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</w:tr>
      <w:tr w:rsidR="00D90ACC" w:rsidTr="00AA4A00">
        <w:tc>
          <w:tcPr>
            <w:tcW w:w="2366" w:type="dxa"/>
          </w:tcPr>
          <w:p w:rsidR="00D90ACC" w:rsidRDefault="00D90ACC" w:rsidP="008634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Secondary – KS4</w:t>
            </w:r>
          </w:p>
        </w:tc>
        <w:tc>
          <w:tcPr>
            <w:tcW w:w="1855" w:type="dxa"/>
          </w:tcPr>
          <w:p w:rsidR="00D90ACC" w:rsidRDefault="00D90ACC" w:rsidP="0036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361324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2139" w:type="dxa"/>
          </w:tcPr>
          <w:p w:rsidR="00D90ACC" w:rsidRDefault="00D90ACC" w:rsidP="0036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361324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936" w:type="dxa"/>
          </w:tcPr>
          <w:p w:rsidR="00D90ACC" w:rsidRDefault="005421FE" w:rsidP="00361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6132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</w:tbl>
    <w:p w:rsidR="00812B18" w:rsidRPr="007A7E53" w:rsidRDefault="00812B18" w:rsidP="00812B1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A7E53" w:rsidRPr="00812B18" w:rsidRDefault="00AA4A00" w:rsidP="00812B1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 </w:t>
      </w:r>
      <w:r w:rsidR="008E6FD4">
        <w:rPr>
          <w:rFonts w:ascii="Arial" w:hAnsi="Arial" w:cs="Arial"/>
          <w:sz w:val="24"/>
          <w:szCs w:val="24"/>
        </w:rPr>
        <w:t xml:space="preserve">the previous </w:t>
      </w:r>
      <w:r w:rsidR="00A6224F">
        <w:rPr>
          <w:rFonts w:ascii="Arial" w:hAnsi="Arial" w:cs="Arial"/>
          <w:sz w:val="24"/>
          <w:szCs w:val="24"/>
        </w:rPr>
        <w:t>year’s</w:t>
      </w:r>
      <w:r w:rsidR="008E6FD4">
        <w:rPr>
          <w:rFonts w:ascii="Arial" w:hAnsi="Arial" w:cs="Arial"/>
          <w:sz w:val="24"/>
          <w:szCs w:val="24"/>
        </w:rPr>
        <w:t xml:space="preserve"> </w:t>
      </w:r>
      <w:r w:rsidR="00361324">
        <w:rPr>
          <w:rFonts w:ascii="Arial" w:hAnsi="Arial" w:cs="Arial"/>
          <w:sz w:val="24"/>
          <w:szCs w:val="24"/>
        </w:rPr>
        <w:t xml:space="preserve">2019-20 </w:t>
      </w:r>
      <w:r w:rsidR="008E6FD4">
        <w:rPr>
          <w:rFonts w:ascii="Arial" w:hAnsi="Arial" w:cs="Arial"/>
          <w:sz w:val="24"/>
          <w:szCs w:val="24"/>
        </w:rPr>
        <w:t>AWPU values</w:t>
      </w:r>
    </w:p>
    <w:p w:rsidR="00812B18" w:rsidRDefault="00812B18" w:rsidP="00812B1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12B18">
        <w:rPr>
          <w:rFonts w:ascii="Arial" w:hAnsi="Arial" w:cs="Arial"/>
          <w:sz w:val="24"/>
          <w:szCs w:val="24"/>
        </w:rPr>
        <w:t>Maintain</w:t>
      </w:r>
      <w:r w:rsidR="00334020">
        <w:rPr>
          <w:rFonts w:ascii="Arial" w:hAnsi="Arial" w:cs="Arial"/>
          <w:sz w:val="24"/>
          <w:szCs w:val="24"/>
        </w:rPr>
        <w:t>s</w:t>
      </w:r>
      <w:r w:rsidRPr="00812B18">
        <w:rPr>
          <w:rFonts w:ascii="Arial" w:hAnsi="Arial" w:cs="Arial"/>
          <w:sz w:val="24"/>
          <w:szCs w:val="24"/>
        </w:rPr>
        <w:t xml:space="preserve"> the current </w:t>
      </w:r>
      <w:proofErr w:type="spellStart"/>
      <w:r>
        <w:rPr>
          <w:rFonts w:ascii="Arial" w:hAnsi="Arial" w:cs="Arial"/>
          <w:sz w:val="24"/>
          <w:szCs w:val="24"/>
        </w:rPr>
        <w:t>Primary</w:t>
      </w:r>
      <w:proofErr w:type="gramStart"/>
      <w:r>
        <w:rPr>
          <w:rFonts w:ascii="Arial" w:hAnsi="Arial" w:cs="Arial"/>
          <w:sz w:val="24"/>
          <w:szCs w:val="24"/>
        </w:rPr>
        <w:t>:Secondary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ratio of 1:1.28 which </w:t>
      </w:r>
      <w:proofErr w:type="spellStart"/>
      <w:r w:rsidR="008E6FD4">
        <w:rPr>
          <w:rFonts w:ascii="Arial" w:hAnsi="Arial" w:cs="Arial"/>
          <w:sz w:val="24"/>
          <w:szCs w:val="24"/>
        </w:rPr>
        <w:t>DfE</w:t>
      </w:r>
      <w:proofErr w:type="spellEnd"/>
      <w:r w:rsidR="008E6FD4">
        <w:rPr>
          <w:rFonts w:ascii="Arial" w:hAnsi="Arial" w:cs="Arial"/>
          <w:sz w:val="24"/>
          <w:szCs w:val="24"/>
        </w:rPr>
        <w:t xml:space="preserve"> expect</w:t>
      </w:r>
      <w:r>
        <w:rPr>
          <w:rFonts w:ascii="Arial" w:hAnsi="Arial" w:cs="Arial"/>
          <w:sz w:val="24"/>
          <w:szCs w:val="24"/>
        </w:rPr>
        <w:t>.</w:t>
      </w:r>
    </w:p>
    <w:p w:rsidR="00812B18" w:rsidRPr="00342993" w:rsidRDefault="00812B18" w:rsidP="00812B1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4D7D47">
        <w:rPr>
          <w:rFonts w:ascii="Arial" w:hAnsi="Arial" w:cs="Arial"/>
          <w:sz w:val="24"/>
          <w:szCs w:val="24"/>
        </w:rPr>
        <w:t>Ha</w:t>
      </w:r>
      <w:r w:rsidR="00334020" w:rsidRPr="004D7D47">
        <w:rPr>
          <w:rFonts w:ascii="Arial" w:hAnsi="Arial" w:cs="Arial"/>
          <w:sz w:val="24"/>
          <w:szCs w:val="24"/>
        </w:rPr>
        <w:t>s</w:t>
      </w:r>
      <w:r w:rsidRPr="004D7D47">
        <w:rPr>
          <w:rFonts w:ascii="Arial" w:hAnsi="Arial" w:cs="Arial"/>
          <w:sz w:val="24"/>
          <w:szCs w:val="24"/>
        </w:rPr>
        <w:t xml:space="preserve"> </w:t>
      </w:r>
      <w:r w:rsidR="00C923EA" w:rsidRPr="004D7D47">
        <w:rPr>
          <w:rFonts w:ascii="Arial" w:hAnsi="Arial" w:cs="Arial"/>
          <w:sz w:val="24"/>
          <w:szCs w:val="24"/>
        </w:rPr>
        <w:t xml:space="preserve">additional funding for </w:t>
      </w:r>
      <w:r w:rsidR="00547D22">
        <w:rPr>
          <w:rFonts w:ascii="Arial" w:hAnsi="Arial" w:cs="Arial"/>
          <w:sz w:val="24"/>
          <w:szCs w:val="24"/>
        </w:rPr>
        <w:t>2</w:t>
      </w:r>
      <w:r w:rsidR="00342993">
        <w:rPr>
          <w:rFonts w:ascii="Arial" w:hAnsi="Arial" w:cs="Arial"/>
          <w:sz w:val="24"/>
          <w:szCs w:val="24"/>
        </w:rPr>
        <w:t xml:space="preserve"> primary schools and </w:t>
      </w:r>
      <w:r w:rsidR="00547D22">
        <w:rPr>
          <w:rFonts w:ascii="Arial" w:hAnsi="Arial" w:cs="Arial"/>
          <w:sz w:val="24"/>
          <w:szCs w:val="24"/>
        </w:rPr>
        <w:t>2</w:t>
      </w:r>
      <w:r w:rsidR="00C923EA" w:rsidRPr="004D7D47">
        <w:rPr>
          <w:rFonts w:ascii="Arial" w:hAnsi="Arial" w:cs="Arial"/>
          <w:sz w:val="24"/>
          <w:szCs w:val="24"/>
        </w:rPr>
        <w:t xml:space="preserve"> secondary schools </w:t>
      </w:r>
      <w:r w:rsidR="00C923EA" w:rsidRPr="00342993">
        <w:rPr>
          <w:rFonts w:ascii="Arial" w:hAnsi="Arial" w:cs="Arial"/>
          <w:sz w:val="24"/>
          <w:szCs w:val="24"/>
        </w:rPr>
        <w:t>in order to meet the minimum funding levels.</w:t>
      </w:r>
    </w:p>
    <w:p w:rsidR="00C923EA" w:rsidRPr="00F655D2" w:rsidRDefault="00C923EA" w:rsidP="00812B1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F655D2">
        <w:rPr>
          <w:rFonts w:ascii="Arial" w:hAnsi="Arial" w:cs="Arial"/>
          <w:sz w:val="24"/>
          <w:szCs w:val="24"/>
        </w:rPr>
        <w:t xml:space="preserve">MFG + </w:t>
      </w:r>
      <w:r w:rsidR="00342993" w:rsidRPr="00F655D2">
        <w:rPr>
          <w:rFonts w:ascii="Arial" w:hAnsi="Arial" w:cs="Arial"/>
          <w:sz w:val="24"/>
          <w:szCs w:val="24"/>
        </w:rPr>
        <w:t>1.84</w:t>
      </w:r>
      <w:r w:rsidRPr="00F655D2">
        <w:rPr>
          <w:rFonts w:ascii="Arial" w:hAnsi="Arial" w:cs="Arial"/>
          <w:sz w:val="24"/>
          <w:szCs w:val="24"/>
        </w:rPr>
        <w:t>% compared to + 0.</w:t>
      </w:r>
      <w:r w:rsidR="00342993" w:rsidRPr="00F655D2">
        <w:rPr>
          <w:rFonts w:ascii="Arial" w:hAnsi="Arial" w:cs="Arial"/>
          <w:sz w:val="24"/>
          <w:szCs w:val="24"/>
        </w:rPr>
        <w:t>20</w:t>
      </w:r>
      <w:r w:rsidRPr="00F655D2">
        <w:rPr>
          <w:rFonts w:ascii="Arial" w:hAnsi="Arial" w:cs="Arial"/>
          <w:sz w:val="24"/>
          <w:szCs w:val="24"/>
        </w:rPr>
        <w:t>% in 201</w:t>
      </w:r>
      <w:r w:rsidR="00342993" w:rsidRPr="00F655D2">
        <w:rPr>
          <w:rFonts w:ascii="Arial" w:hAnsi="Arial" w:cs="Arial"/>
          <w:sz w:val="24"/>
          <w:szCs w:val="24"/>
        </w:rPr>
        <w:t xml:space="preserve">9-20. As a result schools that gain will be allowed to keep all of these. </w:t>
      </w:r>
    </w:p>
    <w:p w:rsidR="00812B18" w:rsidRDefault="00812B18" w:rsidP="00812B1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</w:t>
      </w:r>
      <w:r w:rsidR="0033402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F655D2">
        <w:rPr>
          <w:rFonts w:ascii="Arial" w:hAnsi="Arial" w:cs="Arial"/>
          <w:sz w:val="24"/>
          <w:szCs w:val="24"/>
        </w:rPr>
        <w:t>75.</w:t>
      </w:r>
      <w:r w:rsidR="00F655D2" w:rsidRPr="00F655D2">
        <w:rPr>
          <w:rFonts w:ascii="Arial" w:hAnsi="Arial" w:cs="Arial"/>
          <w:sz w:val="24"/>
          <w:szCs w:val="24"/>
        </w:rPr>
        <w:t>00</w:t>
      </w:r>
      <w:r w:rsidRPr="00F655D2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of the funding through Basic pupil factors – Age Weighted Pupil Factors (AWPU).</w:t>
      </w:r>
      <w:r w:rsidR="00E158DD">
        <w:rPr>
          <w:rFonts w:ascii="Arial" w:hAnsi="Arial" w:cs="Arial"/>
          <w:sz w:val="24"/>
          <w:szCs w:val="24"/>
        </w:rPr>
        <w:t xml:space="preserve"> This was 75.</w:t>
      </w:r>
      <w:r w:rsidR="00342993">
        <w:rPr>
          <w:rFonts w:ascii="Arial" w:hAnsi="Arial" w:cs="Arial"/>
          <w:sz w:val="24"/>
          <w:szCs w:val="24"/>
        </w:rPr>
        <w:t>5</w:t>
      </w:r>
      <w:r w:rsidR="00E158DD">
        <w:rPr>
          <w:rFonts w:ascii="Arial" w:hAnsi="Arial" w:cs="Arial"/>
          <w:sz w:val="24"/>
          <w:szCs w:val="24"/>
        </w:rPr>
        <w:t>2% in 201</w:t>
      </w:r>
      <w:r w:rsidR="00342993">
        <w:rPr>
          <w:rFonts w:ascii="Arial" w:hAnsi="Arial" w:cs="Arial"/>
          <w:sz w:val="24"/>
          <w:szCs w:val="24"/>
        </w:rPr>
        <w:t>9-20</w:t>
      </w:r>
      <w:r w:rsidR="00E158DD">
        <w:rPr>
          <w:rFonts w:ascii="Arial" w:hAnsi="Arial" w:cs="Arial"/>
          <w:sz w:val="24"/>
          <w:szCs w:val="24"/>
        </w:rPr>
        <w:t>.</w:t>
      </w:r>
    </w:p>
    <w:p w:rsidR="00812B18" w:rsidRDefault="00812B18" w:rsidP="00812B1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Put</w:t>
      </w:r>
      <w:r w:rsidR="0033402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9</w:t>
      </w:r>
      <w:r w:rsidR="00F655D2">
        <w:rPr>
          <w:rFonts w:ascii="Arial" w:hAnsi="Arial" w:cs="Arial"/>
          <w:sz w:val="24"/>
          <w:szCs w:val="24"/>
        </w:rPr>
        <w:t>3.16</w:t>
      </w:r>
      <w:r>
        <w:rPr>
          <w:rFonts w:ascii="Arial" w:hAnsi="Arial" w:cs="Arial"/>
          <w:sz w:val="24"/>
          <w:szCs w:val="24"/>
        </w:rPr>
        <w:t>% of the funding through Pupil led factors – Age Weighted Pupil Factors (AWPU), deprivation, prior attainment etc.</w:t>
      </w:r>
      <w:r w:rsidR="00E158DD">
        <w:rPr>
          <w:rFonts w:ascii="Arial" w:hAnsi="Arial" w:cs="Arial"/>
          <w:sz w:val="24"/>
          <w:szCs w:val="24"/>
        </w:rPr>
        <w:t xml:space="preserve"> This was 9</w:t>
      </w:r>
      <w:r w:rsidR="00342993">
        <w:rPr>
          <w:rFonts w:ascii="Arial" w:hAnsi="Arial" w:cs="Arial"/>
          <w:sz w:val="24"/>
          <w:szCs w:val="24"/>
        </w:rPr>
        <w:t>2.80</w:t>
      </w:r>
      <w:r w:rsidR="00E158DD">
        <w:rPr>
          <w:rFonts w:ascii="Arial" w:hAnsi="Arial" w:cs="Arial"/>
          <w:sz w:val="24"/>
          <w:szCs w:val="24"/>
        </w:rPr>
        <w:t>% in 201</w:t>
      </w:r>
      <w:r w:rsidR="00342993">
        <w:rPr>
          <w:rFonts w:ascii="Arial" w:hAnsi="Arial" w:cs="Arial"/>
          <w:sz w:val="24"/>
          <w:szCs w:val="24"/>
        </w:rPr>
        <w:t>9-20</w:t>
      </w:r>
      <w:r w:rsidR="00E158DD">
        <w:rPr>
          <w:rFonts w:ascii="Arial" w:hAnsi="Arial" w:cs="Arial"/>
          <w:sz w:val="24"/>
          <w:szCs w:val="24"/>
        </w:rPr>
        <w:t>.</w:t>
      </w:r>
    </w:p>
    <w:p w:rsidR="00812B18" w:rsidRDefault="00812B18" w:rsidP="00812B1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Allocate</w:t>
      </w:r>
      <w:r w:rsidR="00BC079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6A0C91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% of the schools block. See below:</w:t>
      </w:r>
    </w:p>
    <w:p w:rsidR="00812B18" w:rsidRPr="00812B18" w:rsidRDefault="00812B18" w:rsidP="00812B1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0"/>
        <w:gridCol w:w="4136"/>
      </w:tblGrid>
      <w:tr w:rsidR="00812B18" w:rsidTr="00E158DD">
        <w:tc>
          <w:tcPr>
            <w:tcW w:w="4160" w:type="dxa"/>
          </w:tcPr>
          <w:p w:rsidR="00812B18" w:rsidRPr="00BC61F4" w:rsidRDefault="00812B18" w:rsidP="008634D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C61F4">
              <w:rPr>
                <w:rFonts w:ascii="Arial" w:hAnsi="Arial" w:cs="Arial"/>
                <w:b/>
                <w:sz w:val="24"/>
                <w:szCs w:val="24"/>
                <w:u w:val="single"/>
              </w:rPr>
              <w:t>Sector</w:t>
            </w:r>
          </w:p>
        </w:tc>
        <w:tc>
          <w:tcPr>
            <w:tcW w:w="4136" w:type="dxa"/>
          </w:tcPr>
          <w:p w:rsidR="00812B18" w:rsidRPr="00BC61F4" w:rsidRDefault="00A93F8E" w:rsidP="008634D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£’000</w:t>
            </w:r>
          </w:p>
        </w:tc>
      </w:tr>
      <w:tr w:rsidR="00812B18" w:rsidTr="00E158DD">
        <w:tc>
          <w:tcPr>
            <w:tcW w:w="4160" w:type="dxa"/>
          </w:tcPr>
          <w:p w:rsidR="00812B18" w:rsidRDefault="00812B18" w:rsidP="00863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6" w:type="dxa"/>
          </w:tcPr>
          <w:p w:rsidR="00812B18" w:rsidRDefault="00812B18" w:rsidP="00863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B18" w:rsidTr="00E158DD">
        <w:tc>
          <w:tcPr>
            <w:tcW w:w="4160" w:type="dxa"/>
          </w:tcPr>
          <w:p w:rsidR="00812B18" w:rsidRDefault="00A93F8E" w:rsidP="00342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42993">
              <w:rPr>
                <w:rFonts w:ascii="Arial" w:hAnsi="Arial" w:cs="Arial"/>
                <w:sz w:val="24"/>
                <w:szCs w:val="24"/>
              </w:rPr>
              <w:t>20-21</w:t>
            </w:r>
            <w:r>
              <w:rPr>
                <w:rFonts w:ascii="Arial" w:hAnsi="Arial" w:cs="Arial"/>
                <w:sz w:val="24"/>
                <w:szCs w:val="24"/>
              </w:rPr>
              <w:t xml:space="preserve"> final allocation</w:t>
            </w:r>
          </w:p>
        </w:tc>
        <w:tc>
          <w:tcPr>
            <w:tcW w:w="4136" w:type="dxa"/>
          </w:tcPr>
          <w:p w:rsidR="00812B18" w:rsidRDefault="00A93F8E" w:rsidP="00B32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42993">
              <w:rPr>
                <w:rFonts w:ascii="Arial" w:hAnsi="Arial" w:cs="Arial"/>
                <w:sz w:val="24"/>
                <w:szCs w:val="24"/>
              </w:rPr>
              <w:t>6</w:t>
            </w:r>
            <w:r w:rsidR="00B32FD7">
              <w:rPr>
                <w:rFonts w:ascii="Arial" w:hAnsi="Arial" w:cs="Arial"/>
                <w:sz w:val="24"/>
                <w:szCs w:val="24"/>
              </w:rPr>
              <w:t>.</w:t>
            </w:r>
            <w:r w:rsidR="00342993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</w:tr>
      <w:tr w:rsidR="00A6224F" w:rsidTr="00E158DD">
        <w:tc>
          <w:tcPr>
            <w:tcW w:w="4160" w:type="dxa"/>
          </w:tcPr>
          <w:p w:rsidR="00A6224F" w:rsidRDefault="00A6224F" w:rsidP="00863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6" w:type="dxa"/>
          </w:tcPr>
          <w:p w:rsidR="00A6224F" w:rsidRDefault="00A6224F" w:rsidP="00E15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B18" w:rsidTr="00E158DD">
        <w:tc>
          <w:tcPr>
            <w:tcW w:w="4160" w:type="dxa"/>
          </w:tcPr>
          <w:p w:rsidR="00812B18" w:rsidRDefault="00A93F8E" w:rsidP="00342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42993">
              <w:rPr>
                <w:rFonts w:ascii="Arial" w:hAnsi="Arial" w:cs="Arial"/>
                <w:sz w:val="24"/>
                <w:szCs w:val="24"/>
              </w:rPr>
              <w:t>20-21</w:t>
            </w:r>
            <w:r>
              <w:rPr>
                <w:rFonts w:ascii="Arial" w:hAnsi="Arial" w:cs="Arial"/>
                <w:sz w:val="24"/>
                <w:szCs w:val="24"/>
              </w:rPr>
              <w:t xml:space="preserve"> proposed allocation to schools</w:t>
            </w:r>
            <w:r w:rsidR="00B32FD7">
              <w:rPr>
                <w:rFonts w:ascii="Arial" w:hAnsi="Arial" w:cs="Arial"/>
                <w:sz w:val="24"/>
                <w:szCs w:val="24"/>
              </w:rPr>
              <w:t xml:space="preserve"> ( excluding business rates rates)</w:t>
            </w:r>
          </w:p>
        </w:tc>
        <w:tc>
          <w:tcPr>
            <w:tcW w:w="4136" w:type="dxa"/>
          </w:tcPr>
          <w:p w:rsidR="00812B18" w:rsidRPr="002E0CB6" w:rsidRDefault="00D76B61" w:rsidP="00E15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CB6">
              <w:rPr>
                <w:rFonts w:ascii="Arial" w:hAnsi="Arial" w:cs="Arial"/>
                <w:sz w:val="24"/>
                <w:szCs w:val="24"/>
              </w:rPr>
              <w:t>106.204</w:t>
            </w:r>
          </w:p>
        </w:tc>
      </w:tr>
      <w:tr w:rsidR="003808BD" w:rsidRPr="00B95D57" w:rsidTr="00E158DD">
        <w:tc>
          <w:tcPr>
            <w:tcW w:w="4160" w:type="dxa"/>
          </w:tcPr>
          <w:p w:rsidR="003808BD" w:rsidRPr="00B95D57" w:rsidRDefault="003808BD" w:rsidP="00B32FD7">
            <w:pPr>
              <w:rPr>
                <w:rFonts w:ascii="Arial" w:hAnsi="Arial" w:cs="Arial"/>
                <w:sz w:val="24"/>
                <w:szCs w:val="24"/>
              </w:rPr>
            </w:pPr>
            <w:r w:rsidRPr="00B95D57">
              <w:rPr>
                <w:rFonts w:ascii="Arial" w:hAnsi="Arial" w:cs="Arial"/>
                <w:sz w:val="24"/>
                <w:szCs w:val="24"/>
              </w:rPr>
              <w:t>Assumed business rates (</w:t>
            </w:r>
            <w:r w:rsidR="00B32FD7" w:rsidRPr="00B95D57">
              <w:rPr>
                <w:rFonts w:ascii="Arial" w:hAnsi="Arial" w:cs="Arial"/>
                <w:sz w:val="24"/>
                <w:szCs w:val="24"/>
              </w:rPr>
              <w:t xml:space="preserve">increase of </w:t>
            </w:r>
            <w:r w:rsidRPr="00B95D57">
              <w:rPr>
                <w:rFonts w:ascii="Arial" w:hAnsi="Arial" w:cs="Arial"/>
                <w:sz w:val="24"/>
                <w:szCs w:val="24"/>
              </w:rPr>
              <w:t>2.5%)</w:t>
            </w:r>
          </w:p>
        </w:tc>
        <w:tc>
          <w:tcPr>
            <w:tcW w:w="4136" w:type="dxa"/>
          </w:tcPr>
          <w:p w:rsidR="003808BD" w:rsidRPr="00B95D57" w:rsidRDefault="00B32FD7" w:rsidP="00B32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D57">
              <w:rPr>
                <w:rFonts w:ascii="Arial" w:hAnsi="Arial" w:cs="Arial"/>
                <w:sz w:val="24"/>
                <w:szCs w:val="24"/>
              </w:rPr>
              <w:t>0.658</w:t>
            </w:r>
          </w:p>
        </w:tc>
      </w:tr>
      <w:tr w:rsidR="003808BD" w:rsidRPr="00B95D57" w:rsidTr="00E158DD">
        <w:tc>
          <w:tcPr>
            <w:tcW w:w="4160" w:type="dxa"/>
          </w:tcPr>
          <w:p w:rsidR="003808BD" w:rsidRPr="00B95D57" w:rsidRDefault="003808BD" w:rsidP="00342993">
            <w:pPr>
              <w:rPr>
                <w:rFonts w:ascii="Arial" w:hAnsi="Arial" w:cs="Arial"/>
                <w:sz w:val="24"/>
                <w:szCs w:val="24"/>
              </w:rPr>
            </w:pPr>
            <w:r w:rsidRPr="00B95D57">
              <w:rPr>
                <w:rFonts w:ascii="Arial" w:hAnsi="Arial" w:cs="Arial"/>
                <w:sz w:val="24"/>
                <w:szCs w:val="24"/>
              </w:rPr>
              <w:t>Total allocation 20</w:t>
            </w:r>
            <w:r w:rsidR="00342993" w:rsidRPr="00B95D57">
              <w:rPr>
                <w:rFonts w:ascii="Arial" w:hAnsi="Arial" w:cs="Arial"/>
                <w:sz w:val="24"/>
                <w:szCs w:val="24"/>
              </w:rPr>
              <w:t>20-21</w:t>
            </w:r>
          </w:p>
        </w:tc>
        <w:tc>
          <w:tcPr>
            <w:tcW w:w="4136" w:type="dxa"/>
          </w:tcPr>
          <w:p w:rsidR="003808BD" w:rsidRPr="00B95D57" w:rsidRDefault="00B32FD7" w:rsidP="00B32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D57">
              <w:rPr>
                <w:rFonts w:ascii="Arial" w:hAnsi="Arial" w:cs="Arial"/>
                <w:sz w:val="24"/>
                <w:szCs w:val="24"/>
              </w:rPr>
              <w:t>106.862</w:t>
            </w:r>
          </w:p>
        </w:tc>
      </w:tr>
      <w:tr w:rsidR="00A6224F" w:rsidRPr="00B95D57" w:rsidTr="00E158DD">
        <w:tc>
          <w:tcPr>
            <w:tcW w:w="4160" w:type="dxa"/>
          </w:tcPr>
          <w:p w:rsidR="00A6224F" w:rsidRPr="00B95D57" w:rsidRDefault="00A6224F" w:rsidP="00863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6" w:type="dxa"/>
          </w:tcPr>
          <w:p w:rsidR="00A6224F" w:rsidRPr="00B95D57" w:rsidRDefault="00A6224F" w:rsidP="00E15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F8E" w:rsidRPr="00B95D57" w:rsidTr="00E158DD">
        <w:tc>
          <w:tcPr>
            <w:tcW w:w="4160" w:type="dxa"/>
          </w:tcPr>
          <w:p w:rsidR="00A93F8E" w:rsidRPr="00B95D57" w:rsidRDefault="00A93F8E" w:rsidP="008634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5D57">
              <w:rPr>
                <w:rFonts w:ascii="Arial" w:hAnsi="Arial" w:cs="Arial"/>
                <w:b/>
                <w:sz w:val="24"/>
                <w:szCs w:val="24"/>
              </w:rPr>
              <w:t>Under</w:t>
            </w:r>
            <w:r w:rsidR="004D748E" w:rsidRPr="00B95D57"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  <w:r w:rsidR="006A0C91" w:rsidRPr="00B95D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748E" w:rsidRPr="00B95D57">
              <w:rPr>
                <w:rFonts w:ascii="Arial" w:hAnsi="Arial" w:cs="Arial"/>
                <w:b/>
                <w:sz w:val="24"/>
                <w:szCs w:val="24"/>
              </w:rPr>
              <w:t>over</w:t>
            </w:r>
            <w:r w:rsidRPr="00B95D57">
              <w:rPr>
                <w:rFonts w:ascii="Arial" w:hAnsi="Arial" w:cs="Arial"/>
                <w:b/>
                <w:sz w:val="24"/>
                <w:szCs w:val="24"/>
              </w:rPr>
              <w:t xml:space="preserve"> allocated</w:t>
            </w:r>
          </w:p>
        </w:tc>
        <w:tc>
          <w:tcPr>
            <w:tcW w:w="4136" w:type="dxa"/>
          </w:tcPr>
          <w:p w:rsidR="00A93F8E" w:rsidRPr="00B95D57" w:rsidRDefault="006A0C91" w:rsidP="00863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D5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812B18" w:rsidRPr="00B95D57" w:rsidRDefault="00812B18" w:rsidP="007A7E53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D75F9" w:rsidRDefault="00AD75F9" w:rsidP="007A7E53">
      <w:pPr>
        <w:pStyle w:val="ListParagraph"/>
        <w:rPr>
          <w:rFonts w:ascii="Arial" w:hAnsi="Arial" w:cs="Arial"/>
          <w:sz w:val="24"/>
          <w:szCs w:val="24"/>
        </w:rPr>
      </w:pPr>
      <w:r w:rsidRPr="00B95D57">
        <w:rPr>
          <w:rFonts w:ascii="Arial" w:hAnsi="Arial" w:cs="Arial"/>
          <w:sz w:val="24"/>
          <w:szCs w:val="24"/>
        </w:rPr>
        <w:t>The rates position for 20</w:t>
      </w:r>
      <w:r w:rsidR="002E0CB6" w:rsidRPr="00B95D57">
        <w:rPr>
          <w:rFonts w:ascii="Arial" w:hAnsi="Arial" w:cs="Arial"/>
          <w:sz w:val="24"/>
          <w:szCs w:val="24"/>
        </w:rPr>
        <w:t>20-21</w:t>
      </w:r>
      <w:r w:rsidRPr="00B95D57">
        <w:rPr>
          <w:rFonts w:ascii="Arial" w:hAnsi="Arial" w:cs="Arial"/>
          <w:sz w:val="24"/>
          <w:szCs w:val="24"/>
        </w:rPr>
        <w:t xml:space="preserve"> is still to be finalised so a working assumption of a 2.5% increase</w:t>
      </w:r>
      <w:r w:rsidR="00B32FD7" w:rsidRPr="00B95D57">
        <w:rPr>
          <w:rFonts w:ascii="Arial" w:hAnsi="Arial" w:cs="Arial"/>
          <w:sz w:val="24"/>
          <w:szCs w:val="24"/>
        </w:rPr>
        <w:t xml:space="preserve"> on financial year 2019-20 actuals</w:t>
      </w:r>
      <w:r w:rsidRPr="00B95D57">
        <w:rPr>
          <w:rFonts w:ascii="Arial" w:hAnsi="Arial" w:cs="Arial"/>
          <w:sz w:val="24"/>
          <w:szCs w:val="24"/>
        </w:rPr>
        <w:t xml:space="preserve"> has been factored into the above.</w:t>
      </w:r>
      <w:r w:rsidR="0070755F" w:rsidRPr="00B95D57">
        <w:rPr>
          <w:rFonts w:ascii="Arial" w:hAnsi="Arial" w:cs="Arial"/>
          <w:sz w:val="24"/>
          <w:szCs w:val="24"/>
        </w:rPr>
        <w:t xml:space="preserve">  All schools however are funded based upon actual cost, in the case of academies an on line application to the ESFA is required.</w:t>
      </w:r>
    </w:p>
    <w:p w:rsidR="00CB5816" w:rsidRDefault="00CB5816" w:rsidP="007A7E53">
      <w:pPr>
        <w:pStyle w:val="ListParagraph"/>
        <w:rPr>
          <w:rFonts w:ascii="Arial" w:hAnsi="Arial" w:cs="Arial"/>
          <w:sz w:val="24"/>
          <w:szCs w:val="24"/>
        </w:rPr>
      </w:pPr>
    </w:p>
    <w:p w:rsidR="00CB5816" w:rsidRPr="00AD75F9" w:rsidRDefault="00CB5816" w:rsidP="007A7E5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formula submission was forwarded to the </w:t>
      </w:r>
      <w:proofErr w:type="spellStart"/>
      <w:r>
        <w:rPr>
          <w:rFonts w:ascii="Arial" w:hAnsi="Arial" w:cs="Arial"/>
          <w:sz w:val="24"/>
          <w:szCs w:val="24"/>
        </w:rPr>
        <w:t>DfE</w:t>
      </w:r>
      <w:proofErr w:type="spellEnd"/>
      <w:r>
        <w:rPr>
          <w:rFonts w:ascii="Arial" w:hAnsi="Arial" w:cs="Arial"/>
          <w:sz w:val="24"/>
          <w:szCs w:val="24"/>
        </w:rPr>
        <w:t xml:space="preserve"> by their deadline (21</w:t>
      </w:r>
      <w:r w:rsidRPr="00CB581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January 2020) and notification received from them on the February 2020 that it appeared to comply with the regulations.</w:t>
      </w:r>
    </w:p>
    <w:p w:rsidR="004D748E" w:rsidRDefault="004D748E" w:rsidP="007A7E53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7A7E53" w:rsidRDefault="007A7E53" w:rsidP="005C00D4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Recommendation</w:t>
      </w:r>
    </w:p>
    <w:p w:rsidR="007A7E53" w:rsidRPr="007A7E53" w:rsidRDefault="007A7E53" w:rsidP="007A7E53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7A7E53" w:rsidRDefault="007A7E53" w:rsidP="007A7E5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re</w:t>
      </w:r>
      <w:r w:rsidR="00CB5816">
        <w:rPr>
          <w:rFonts w:ascii="Arial" w:hAnsi="Arial" w:cs="Arial"/>
          <w:sz w:val="24"/>
          <w:szCs w:val="24"/>
        </w:rPr>
        <w:t xml:space="preserve">quested </w:t>
      </w:r>
      <w:r>
        <w:rPr>
          <w:rFonts w:ascii="Arial" w:hAnsi="Arial" w:cs="Arial"/>
          <w:sz w:val="24"/>
          <w:szCs w:val="24"/>
        </w:rPr>
        <w:t xml:space="preserve">that </w:t>
      </w:r>
      <w:r w:rsidR="00CB5816">
        <w:rPr>
          <w:rFonts w:ascii="Arial" w:hAnsi="Arial" w:cs="Arial"/>
          <w:sz w:val="24"/>
          <w:szCs w:val="24"/>
        </w:rPr>
        <w:t xml:space="preserve">Schools Forum ratify </w:t>
      </w:r>
      <w:r>
        <w:rPr>
          <w:rFonts w:ascii="Arial" w:hAnsi="Arial" w:cs="Arial"/>
          <w:sz w:val="24"/>
          <w:szCs w:val="24"/>
        </w:rPr>
        <w:t xml:space="preserve">the working party </w:t>
      </w:r>
      <w:r w:rsidR="00CB5816">
        <w:rPr>
          <w:rFonts w:ascii="Arial" w:hAnsi="Arial" w:cs="Arial"/>
          <w:sz w:val="24"/>
          <w:szCs w:val="24"/>
        </w:rPr>
        <w:t>decisions in respect of the final</w:t>
      </w:r>
      <w:r>
        <w:rPr>
          <w:rFonts w:ascii="Arial" w:hAnsi="Arial" w:cs="Arial"/>
          <w:sz w:val="24"/>
          <w:szCs w:val="24"/>
        </w:rPr>
        <w:t xml:space="preserve"> schools funding formula proposed for 20</w:t>
      </w:r>
      <w:r w:rsidR="00342993">
        <w:rPr>
          <w:rFonts w:ascii="Arial" w:hAnsi="Arial" w:cs="Arial"/>
          <w:sz w:val="24"/>
          <w:szCs w:val="24"/>
        </w:rPr>
        <w:t>20-21</w:t>
      </w:r>
      <w:r>
        <w:rPr>
          <w:rFonts w:ascii="Arial" w:hAnsi="Arial" w:cs="Arial"/>
          <w:sz w:val="24"/>
          <w:szCs w:val="24"/>
        </w:rPr>
        <w:t>.</w:t>
      </w:r>
    </w:p>
    <w:p w:rsidR="004C17B2" w:rsidRDefault="004C17B2" w:rsidP="007A7E53">
      <w:pPr>
        <w:pStyle w:val="ListParagraph"/>
        <w:rPr>
          <w:rFonts w:ascii="Arial" w:hAnsi="Arial" w:cs="Arial"/>
          <w:sz w:val="24"/>
          <w:szCs w:val="24"/>
        </w:rPr>
      </w:pPr>
    </w:p>
    <w:p w:rsidR="004C17B2" w:rsidRDefault="004C17B2" w:rsidP="007A7E53">
      <w:pPr>
        <w:pStyle w:val="ListParagraph"/>
        <w:rPr>
          <w:rFonts w:ascii="Arial" w:hAnsi="Arial" w:cs="Arial"/>
          <w:sz w:val="24"/>
          <w:szCs w:val="24"/>
        </w:rPr>
      </w:pPr>
    </w:p>
    <w:p w:rsidR="004C17B2" w:rsidRDefault="00CB5816" w:rsidP="007A7E5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Officer: </w:t>
      </w:r>
      <w:r w:rsidR="004C17B2">
        <w:rPr>
          <w:rFonts w:ascii="Arial" w:hAnsi="Arial" w:cs="Arial"/>
          <w:sz w:val="24"/>
          <w:szCs w:val="24"/>
        </w:rPr>
        <w:t>David Kirven</w:t>
      </w:r>
      <w:r>
        <w:rPr>
          <w:rFonts w:ascii="Arial" w:hAnsi="Arial" w:cs="Arial"/>
          <w:sz w:val="24"/>
          <w:szCs w:val="24"/>
        </w:rPr>
        <w:t xml:space="preserve">, </w:t>
      </w:r>
      <w:r w:rsidR="004C17B2">
        <w:rPr>
          <w:rFonts w:ascii="Arial" w:hAnsi="Arial" w:cs="Arial"/>
          <w:sz w:val="24"/>
          <w:szCs w:val="24"/>
        </w:rPr>
        <w:t>Strategic Lead – Business Partnering</w:t>
      </w:r>
    </w:p>
    <w:p w:rsidR="004C17B2" w:rsidRDefault="004C17B2" w:rsidP="007A7E53">
      <w:pPr>
        <w:pStyle w:val="ListParagraph"/>
        <w:rPr>
          <w:rFonts w:ascii="Arial" w:hAnsi="Arial" w:cs="Arial"/>
          <w:sz w:val="24"/>
          <w:szCs w:val="24"/>
        </w:rPr>
      </w:pPr>
    </w:p>
    <w:p w:rsidR="002511F2" w:rsidRDefault="00CB5816" w:rsidP="004C17B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February</w:t>
      </w:r>
      <w:r w:rsidR="004C17B2">
        <w:rPr>
          <w:rFonts w:ascii="Arial" w:hAnsi="Arial" w:cs="Arial"/>
          <w:sz w:val="24"/>
          <w:szCs w:val="24"/>
        </w:rPr>
        <w:t xml:space="preserve"> 20</w:t>
      </w:r>
      <w:r w:rsidR="00342993">
        <w:rPr>
          <w:rFonts w:ascii="Arial" w:hAnsi="Arial" w:cs="Arial"/>
          <w:sz w:val="24"/>
          <w:szCs w:val="24"/>
        </w:rPr>
        <w:t>20</w:t>
      </w:r>
    </w:p>
    <w:p w:rsidR="004C17B2" w:rsidRDefault="004C17B2" w:rsidP="004C17B2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2511F2" w:rsidRDefault="002511F2" w:rsidP="002511F2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342993" w:rsidRDefault="00342993" w:rsidP="002511F2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342993" w:rsidRDefault="00342993" w:rsidP="002511F2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342993" w:rsidRDefault="00342993" w:rsidP="002511F2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697E6A" w:rsidRPr="008454FC" w:rsidRDefault="00697E6A" w:rsidP="00697E6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54FC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National Funding Formula Values </w:t>
      </w:r>
      <w:r>
        <w:rPr>
          <w:rFonts w:ascii="Arial" w:hAnsi="Arial" w:cs="Arial"/>
          <w:b/>
          <w:sz w:val="24"/>
          <w:szCs w:val="24"/>
          <w:u w:val="single"/>
        </w:rPr>
        <w:t xml:space="preserve">&amp; NELC Values </w:t>
      </w:r>
      <w:r w:rsidRPr="008454FC">
        <w:rPr>
          <w:rFonts w:ascii="Arial" w:hAnsi="Arial" w:cs="Arial"/>
          <w:b/>
          <w:sz w:val="24"/>
          <w:szCs w:val="24"/>
          <w:u w:val="single"/>
        </w:rPr>
        <w:t>2020-21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32"/>
        <w:gridCol w:w="1328"/>
        <w:gridCol w:w="1246"/>
        <w:gridCol w:w="1057"/>
        <w:gridCol w:w="1250"/>
        <w:gridCol w:w="1246"/>
        <w:gridCol w:w="1057"/>
      </w:tblGrid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454FC">
              <w:rPr>
                <w:rFonts w:ascii="Arial" w:hAnsi="Arial" w:cs="Arial"/>
                <w:b/>
                <w:sz w:val="24"/>
                <w:szCs w:val="24"/>
                <w:u w:val="single"/>
              </w:rPr>
              <w:t>National Funding Formula Factor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454FC">
              <w:rPr>
                <w:rFonts w:ascii="Arial" w:hAnsi="Arial" w:cs="Arial"/>
                <w:b/>
                <w:sz w:val="24"/>
                <w:szCs w:val="24"/>
                <w:u w:val="single"/>
              </w:rPr>
              <w:t>NFF 2020-21 Values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454FC">
              <w:rPr>
                <w:rFonts w:ascii="Arial" w:hAnsi="Arial" w:cs="Arial"/>
                <w:b/>
                <w:sz w:val="24"/>
                <w:szCs w:val="24"/>
                <w:u w:val="single"/>
              </w:rPr>
              <w:t>NFF 2019-20 Values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454FC">
              <w:rPr>
                <w:rFonts w:ascii="Arial" w:hAnsi="Arial" w:cs="Arial"/>
                <w:b/>
                <w:sz w:val="24"/>
                <w:szCs w:val="24"/>
                <w:u w:val="single"/>
              </w:rPr>
              <w:t>% change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454FC">
              <w:rPr>
                <w:rFonts w:ascii="Arial" w:hAnsi="Arial" w:cs="Arial"/>
                <w:b/>
                <w:sz w:val="24"/>
                <w:szCs w:val="24"/>
                <w:u w:val="single"/>
              </w:rPr>
              <w:t>NELC Value used 2020-21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454FC">
              <w:rPr>
                <w:rFonts w:ascii="Arial" w:hAnsi="Arial" w:cs="Arial"/>
                <w:b/>
                <w:sz w:val="24"/>
                <w:szCs w:val="24"/>
                <w:u w:val="single"/>
              </w:rPr>
              <w:t>NELC Value used 2019-20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454FC">
              <w:rPr>
                <w:rFonts w:ascii="Arial" w:hAnsi="Arial" w:cs="Arial"/>
                <w:b/>
                <w:sz w:val="24"/>
                <w:szCs w:val="24"/>
                <w:u w:val="single"/>
              </w:rPr>
              <w:t>% change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454FC">
              <w:rPr>
                <w:rFonts w:ascii="Arial" w:hAnsi="Arial" w:cs="Arial"/>
                <w:b/>
                <w:sz w:val="24"/>
                <w:szCs w:val="24"/>
                <w:u w:val="single"/>
              </w:rPr>
              <w:t>£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454FC">
              <w:rPr>
                <w:rFonts w:ascii="Arial" w:hAnsi="Arial" w:cs="Arial"/>
                <w:b/>
                <w:sz w:val="24"/>
                <w:szCs w:val="24"/>
                <w:u w:val="single"/>
              </w:rPr>
              <w:t>£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454FC">
              <w:rPr>
                <w:rFonts w:ascii="Arial" w:hAnsi="Arial" w:cs="Arial"/>
                <w:b/>
                <w:sz w:val="24"/>
                <w:szCs w:val="24"/>
                <w:u w:val="single"/>
              </w:rPr>
              <w:t>£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454FC">
              <w:rPr>
                <w:rFonts w:ascii="Arial" w:hAnsi="Arial" w:cs="Arial"/>
                <w:b/>
                <w:sz w:val="24"/>
                <w:szCs w:val="24"/>
                <w:u w:val="single"/>
              </w:rPr>
              <w:t>£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AWPU – Primary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2,857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2,747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1267" w:type="dxa"/>
          </w:tcPr>
          <w:p w:rsidR="00697E6A" w:rsidRPr="008454FC" w:rsidRDefault="00697E6A" w:rsidP="0069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3,</w:t>
            </w: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3,050</w:t>
            </w:r>
          </w:p>
        </w:tc>
        <w:tc>
          <w:tcPr>
            <w:tcW w:w="941" w:type="dxa"/>
          </w:tcPr>
          <w:p w:rsidR="00697E6A" w:rsidRPr="008454FC" w:rsidRDefault="00697E6A" w:rsidP="0069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AWPU Secondary KS3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4,018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3,863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4,130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3,880</w:t>
            </w:r>
          </w:p>
        </w:tc>
        <w:tc>
          <w:tcPr>
            <w:tcW w:w="941" w:type="dxa"/>
          </w:tcPr>
          <w:p w:rsidR="00697E6A" w:rsidRPr="008454FC" w:rsidRDefault="00697E6A" w:rsidP="0069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AWPU Secondary KS4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4,561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4,386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4,</w:t>
            </w:r>
            <w:r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4,600</w:t>
            </w:r>
          </w:p>
        </w:tc>
        <w:tc>
          <w:tcPr>
            <w:tcW w:w="941" w:type="dxa"/>
          </w:tcPr>
          <w:p w:rsidR="00697E6A" w:rsidRPr="008454FC" w:rsidRDefault="00697E6A" w:rsidP="0069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Primary Minimum per pupil funding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3,750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3,500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3,750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3,500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Secondary Minimum per pupil funding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4,800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4,800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Current FSM top up – primary &amp; secondary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 xml:space="preserve">FMS6 FSM top up – primary 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FMS6 FSM top up – secondary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IDACI Band A - Primary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IDACI Band B - Primary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IDACI Band C - Primary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IDACI Band D - Primary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IDACI Band E - Primary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IDACI Band F - Primary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IDACI Band A - Secondary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r w:rsidRPr="008454FC">
              <w:rPr>
                <w:rFonts w:ascii="Arial" w:hAnsi="Arial" w:cs="Arial"/>
                <w:sz w:val="24"/>
                <w:szCs w:val="24"/>
              </w:rPr>
              <w:t>IDACI Band B - Secondary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r w:rsidRPr="008454FC">
              <w:rPr>
                <w:rFonts w:ascii="Arial" w:hAnsi="Arial" w:cs="Arial"/>
                <w:sz w:val="24"/>
                <w:szCs w:val="24"/>
              </w:rPr>
              <w:t>IDACI Band C - Secondary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r w:rsidRPr="008454FC">
              <w:rPr>
                <w:rFonts w:ascii="Arial" w:hAnsi="Arial" w:cs="Arial"/>
                <w:sz w:val="24"/>
                <w:szCs w:val="24"/>
              </w:rPr>
              <w:lastRenderedPageBreak/>
              <w:t>IDACI Band D - Secondary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r w:rsidRPr="008454FC">
              <w:rPr>
                <w:rFonts w:ascii="Arial" w:hAnsi="Arial" w:cs="Arial"/>
                <w:sz w:val="24"/>
                <w:szCs w:val="24"/>
              </w:rPr>
              <w:t>IDACI Band E - Secondary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r w:rsidRPr="008454FC">
              <w:rPr>
                <w:rFonts w:ascii="Arial" w:hAnsi="Arial" w:cs="Arial"/>
                <w:sz w:val="24"/>
                <w:szCs w:val="24"/>
              </w:rPr>
              <w:t>IDACI Band F - Secondary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Low prior attainment - primary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1,065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1,022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1,065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Low prior attainment – secondary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1,610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1,550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1,610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1,550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EAL – primary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EAL - secondary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1,440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1,385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1,440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1,385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Primary Mobility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No value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Secondary mobility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1,250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No value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Lump sum – primary &amp; secondary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114,400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110,000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114,400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110,000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Sparsity - primary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26,000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25,000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26,000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25,000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Sparsity - secondary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67,600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65,000</w:t>
            </w: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67,600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65,000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</w:tr>
      <w:tr w:rsidR="00697E6A" w:rsidRPr="008454FC" w:rsidTr="006C79B3">
        <w:tc>
          <w:tcPr>
            <w:tcW w:w="1872" w:type="dxa"/>
          </w:tcPr>
          <w:p w:rsidR="00697E6A" w:rsidRPr="008454FC" w:rsidRDefault="00697E6A" w:rsidP="006C79B3">
            <w:pPr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 xml:space="preserve">Primary: Secondary ratio </w:t>
            </w:r>
            <w:proofErr w:type="spellStart"/>
            <w:r w:rsidRPr="008454FC"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 w:rsidRPr="008454FC">
              <w:rPr>
                <w:rFonts w:ascii="Arial" w:hAnsi="Arial" w:cs="Arial"/>
                <w:sz w:val="24"/>
                <w:szCs w:val="24"/>
              </w:rPr>
              <w:t xml:space="preserve"> expectation</w:t>
            </w:r>
          </w:p>
        </w:tc>
        <w:tc>
          <w:tcPr>
            <w:tcW w:w="135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1:1.27</w:t>
            </w:r>
          </w:p>
        </w:tc>
        <w:tc>
          <w:tcPr>
            <w:tcW w:w="1263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4FC">
              <w:rPr>
                <w:rFonts w:ascii="Arial" w:hAnsi="Arial" w:cs="Arial"/>
                <w:sz w:val="24"/>
                <w:szCs w:val="24"/>
              </w:rPr>
              <w:t>1:1.28</w:t>
            </w:r>
          </w:p>
        </w:tc>
        <w:tc>
          <w:tcPr>
            <w:tcW w:w="941" w:type="dxa"/>
          </w:tcPr>
          <w:p w:rsidR="00697E6A" w:rsidRPr="008454FC" w:rsidRDefault="00697E6A" w:rsidP="006C7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7E6A" w:rsidRPr="008454FC" w:rsidRDefault="00697E6A" w:rsidP="00697E6A">
      <w:pPr>
        <w:rPr>
          <w:rFonts w:ascii="Arial" w:hAnsi="Arial" w:cs="Arial"/>
          <w:sz w:val="24"/>
          <w:szCs w:val="24"/>
        </w:rPr>
      </w:pPr>
    </w:p>
    <w:p w:rsidR="00697E6A" w:rsidRPr="00DD0D9A" w:rsidRDefault="00697E6A" w:rsidP="00697E6A"/>
    <w:p w:rsidR="00123DE7" w:rsidRPr="00123DE7" w:rsidRDefault="00123DE7" w:rsidP="00123DE7">
      <w:pPr>
        <w:rPr>
          <w:rFonts w:ascii="Arial" w:hAnsi="Arial" w:cs="Arial"/>
          <w:sz w:val="24"/>
          <w:szCs w:val="24"/>
        </w:rPr>
      </w:pPr>
    </w:p>
    <w:p w:rsidR="00123DE7" w:rsidRDefault="00123DE7" w:rsidP="00123DE7">
      <w:pPr>
        <w:rPr>
          <w:rFonts w:ascii="Arial" w:hAnsi="Arial" w:cs="Arial"/>
          <w:b/>
          <w:sz w:val="24"/>
          <w:szCs w:val="24"/>
          <w:u w:val="single"/>
        </w:rPr>
      </w:pPr>
    </w:p>
    <w:p w:rsidR="00123DE7" w:rsidRDefault="00123DE7" w:rsidP="00123DE7">
      <w:pPr>
        <w:rPr>
          <w:rFonts w:ascii="Arial" w:hAnsi="Arial" w:cs="Arial"/>
          <w:b/>
          <w:sz w:val="24"/>
          <w:szCs w:val="24"/>
          <w:u w:val="single"/>
        </w:rPr>
      </w:pPr>
    </w:p>
    <w:p w:rsidR="00123DE7" w:rsidRDefault="00123DE7" w:rsidP="00123DE7">
      <w:pPr>
        <w:rPr>
          <w:rFonts w:ascii="Arial" w:hAnsi="Arial" w:cs="Arial"/>
          <w:b/>
          <w:sz w:val="24"/>
          <w:szCs w:val="24"/>
          <w:u w:val="single"/>
        </w:rPr>
      </w:pPr>
    </w:p>
    <w:sectPr w:rsidR="00123DE7" w:rsidSect="0013278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84" w:rsidRDefault="00F97384" w:rsidP="00184C05">
      <w:pPr>
        <w:spacing w:after="0" w:line="240" w:lineRule="auto"/>
      </w:pPr>
      <w:r>
        <w:separator/>
      </w:r>
    </w:p>
  </w:endnote>
  <w:endnote w:type="continuationSeparator" w:id="0">
    <w:p w:rsidR="00F97384" w:rsidRDefault="00F97384" w:rsidP="0018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540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1F4" w:rsidRDefault="00BC61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B8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C61F4" w:rsidRDefault="00BC6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84" w:rsidRDefault="00F97384" w:rsidP="00184C05">
      <w:pPr>
        <w:spacing w:after="0" w:line="240" w:lineRule="auto"/>
      </w:pPr>
      <w:r>
        <w:separator/>
      </w:r>
    </w:p>
  </w:footnote>
  <w:footnote w:type="continuationSeparator" w:id="0">
    <w:p w:rsidR="00F97384" w:rsidRDefault="00F97384" w:rsidP="0018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8A" w:rsidRPr="00646B81" w:rsidRDefault="00646B81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646B81">
      <w:rPr>
        <w:rFonts w:ascii="Arial" w:hAnsi="Arial" w:cs="Arial"/>
        <w:sz w:val="24"/>
        <w:szCs w:val="24"/>
      </w:rPr>
      <w:t>ITEM 4/20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7AD"/>
    <w:multiLevelType w:val="hybridMultilevel"/>
    <w:tmpl w:val="1B32A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75B6"/>
    <w:multiLevelType w:val="hybridMultilevel"/>
    <w:tmpl w:val="3B9ADC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2B673D"/>
    <w:multiLevelType w:val="hybridMultilevel"/>
    <w:tmpl w:val="A2EE22F4"/>
    <w:lvl w:ilvl="0" w:tplc="E3ACE79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3EBE"/>
    <w:multiLevelType w:val="hybridMultilevel"/>
    <w:tmpl w:val="90A4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2F0E"/>
    <w:multiLevelType w:val="hybridMultilevel"/>
    <w:tmpl w:val="C80E3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16CC6"/>
    <w:multiLevelType w:val="hybridMultilevel"/>
    <w:tmpl w:val="5718C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84F3C"/>
    <w:multiLevelType w:val="hybridMultilevel"/>
    <w:tmpl w:val="5C58F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C182F"/>
    <w:multiLevelType w:val="hybridMultilevel"/>
    <w:tmpl w:val="CAFE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A73CC"/>
    <w:multiLevelType w:val="hybridMultilevel"/>
    <w:tmpl w:val="E6165CD6"/>
    <w:lvl w:ilvl="0" w:tplc="9506928E">
      <w:start w:val="7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41F1E"/>
    <w:multiLevelType w:val="hybridMultilevel"/>
    <w:tmpl w:val="D6A4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74EE3"/>
    <w:multiLevelType w:val="hybridMultilevel"/>
    <w:tmpl w:val="5C58F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04729"/>
    <w:multiLevelType w:val="hybridMultilevel"/>
    <w:tmpl w:val="4AC00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780DB5"/>
    <w:multiLevelType w:val="hybridMultilevel"/>
    <w:tmpl w:val="4142F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4E5477"/>
    <w:multiLevelType w:val="hybridMultilevel"/>
    <w:tmpl w:val="3B6A9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0D6CD8"/>
    <w:multiLevelType w:val="hybridMultilevel"/>
    <w:tmpl w:val="EA7AE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E1636"/>
    <w:multiLevelType w:val="hybridMultilevel"/>
    <w:tmpl w:val="70921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455EE9"/>
    <w:multiLevelType w:val="hybridMultilevel"/>
    <w:tmpl w:val="95D81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91FC7"/>
    <w:multiLevelType w:val="hybridMultilevel"/>
    <w:tmpl w:val="745685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590F63"/>
    <w:multiLevelType w:val="hybridMultilevel"/>
    <w:tmpl w:val="FA70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57EAA"/>
    <w:multiLevelType w:val="hybridMultilevel"/>
    <w:tmpl w:val="049C2B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9C6A49"/>
    <w:multiLevelType w:val="hybridMultilevel"/>
    <w:tmpl w:val="A848694A"/>
    <w:lvl w:ilvl="0" w:tplc="3A706C06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F1149"/>
    <w:multiLevelType w:val="hybridMultilevel"/>
    <w:tmpl w:val="7A3CE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85E1B"/>
    <w:multiLevelType w:val="hybridMultilevel"/>
    <w:tmpl w:val="153E5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67FB4"/>
    <w:multiLevelType w:val="hybridMultilevel"/>
    <w:tmpl w:val="CD1E78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EE2EA7"/>
    <w:multiLevelType w:val="hybridMultilevel"/>
    <w:tmpl w:val="E918C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BA1837"/>
    <w:multiLevelType w:val="hybridMultilevel"/>
    <w:tmpl w:val="69FC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E4C1C"/>
    <w:multiLevelType w:val="hybridMultilevel"/>
    <w:tmpl w:val="0B88E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9F6EFC"/>
    <w:multiLevelType w:val="hybridMultilevel"/>
    <w:tmpl w:val="17B010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8"/>
  </w:num>
  <w:num w:numId="5">
    <w:abstractNumId w:val="26"/>
  </w:num>
  <w:num w:numId="6">
    <w:abstractNumId w:val="3"/>
  </w:num>
  <w:num w:numId="7">
    <w:abstractNumId w:val="0"/>
  </w:num>
  <w:num w:numId="8">
    <w:abstractNumId w:val="16"/>
  </w:num>
  <w:num w:numId="9">
    <w:abstractNumId w:val="7"/>
  </w:num>
  <w:num w:numId="10">
    <w:abstractNumId w:val="21"/>
  </w:num>
  <w:num w:numId="11">
    <w:abstractNumId w:val="14"/>
  </w:num>
  <w:num w:numId="12">
    <w:abstractNumId w:val="13"/>
  </w:num>
  <w:num w:numId="13">
    <w:abstractNumId w:val="25"/>
  </w:num>
  <w:num w:numId="14">
    <w:abstractNumId w:val="22"/>
  </w:num>
  <w:num w:numId="15">
    <w:abstractNumId w:val="11"/>
  </w:num>
  <w:num w:numId="16">
    <w:abstractNumId w:val="19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1"/>
  </w:num>
  <w:num w:numId="22">
    <w:abstractNumId w:val="27"/>
  </w:num>
  <w:num w:numId="23">
    <w:abstractNumId w:val="15"/>
  </w:num>
  <w:num w:numId="24">
    <w:abstractNumId w:val="4"/>
  </w:num>
  <w:num w:numId="25">
    <w:abstractNumId w:val="12"/>
  </w:num>
  <w:num w:numId="26">
    <w:abstractNumId w:val="8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E1"/>
    <w:rsid w:val="0000623D"/>
    <w:rsid w:val="00015376"/>
    <w:rsid w:val="000160BA"/>
    <w:rsid w:val="00022EC0"/>
    <w:rsid w:val="000237E6"/>
    <w:rsid w:val="00024E66"/>
    <w:rsid w:val="000347A0"/>
    <w:rsid w:val="00047156"/>
    <w:rsid w:val="00055371"/>
    <w:rsid w:val="000570FF"/>
    <w:rsid w:val="00063F24"/>
    <w:rsid w:val="000649A6"/>
    <w:rsid w:val="00067BC6"/>
    <w:rsid w:val="00072DE9"/>
    <w:rsid w:val="000A3032"/>
    <w:rsid w:val="000B30DE"/>
    <w:rsid w:val="000C2099"/>
    <w:rsid w:val="000D564F"/>
    <w:rsid w:val="00100724"/>
    <w:rsid w:val="00112020"/>
    <w:rsid w:val="00112B8F"/>
    <w:rsid w:val="001153E4"/>
    <w:rsid w:val="00122D05"/>
    <w:rsid w:val="00123DE7"/>
    <w:rsid w:val="00132787"/>
    <w:rsid w:val="00134BCD"/>
    <w:rsid w:val="00155ADA"/>
    <w:rsid w:val="00155FFB"/>
    <w:rsid w:val="00164D45"/>
    <w:rsid w:val="001653ED"/>
    <w:rsid w:val="00184C05"/>
    <w:rsid w:val="00186813"/>
    <w:rsid w:val="00191E2A"/>
    <w:rsid w:val="00195259"/>
    <w:rsid w:val="00195CCA"/>
    <w:rsid w:val="001B4F60"/>
    <w:rsid w:val="001B6317"/>
    <w:rsid w:val="001B6B88"/>
    <w:rsid w:val="001C1606"/>
    <w:rsid w:val="001C1FBF"/>
    <w:rsid w:val="001C4158"/>
    <w:rsid w:val="001E2953"/>
    <w:rsid w:val="001E42FA"/>
    <w:rsid w:val="001E5CEF"/>
    <w:rsid w:val="001F275A"/>
    <w:rsid w:val="001F4227"/>
    <w:rsid w:val="0020295F"/>
    <w:rsid w:val="002052C0"/>
    <w:rsid w:val="002114DC"/>
    <w:rsid w:val="0022418F"/>
    <w:rsid w:val="00226717"/>
    <w:rsid w:val="00234D5A"/>
    <w:rsid w:val="00235922"/>
    <w:rsid w:val="002511F2"/>
    <w:rsid w:val="00252365"/>
    <w:rsid w:val="0026047F"/>
    <w:rsid w:val="00263901"/>
    <w:rsid w:val="002739C4"/>
    <w:rsid w:val="00285D61"/>
    <w:rsid w:val="00285E78"/>
    <w:rsid w:val="002A0C0C"/>
    <w:rsid w:val="002A4D76"/>
    <w:rsid w:val="002B2382"/>
    <w:rsid w:val="002E0CB6"/>
    <w:rsid w:val="002E6956"/>
    <w:rsid w:val="002F400D"/>
    <w:rsid w:val="00317217"/>
    <w:rsid w:val="0032150B"/>
    <w:rsid w:val="00334020"/>
    <w:rsid w:val="003371F3"/>
    <w:rsid w:val="003423F5"/>
    <w:rsid w:val="00342993"/>
    <w:rsid w:val="003611FE"/>
    <w:rsid w:val="00361324"/>
    <w:rsid w:val="00364ECC"/>
    <w:rsid w:val="00377FDA"/>
    <w:rsid w:val="003808BD"/>
    <w:rsid w:val="00383A1A"/>
    <w:rsid w:val="00390543"/>
    <w:rsid w:val="00392794"/>
    <w:rsid w:val="00396554"/>
    <w:rsid w:val="003A3A4E"/>
    <w:rsid w:val="003B48DF"/>
    <w:rsid w:val="003C27F5"/>
    <w:rsid w:val="003D0427"/>
    <w:rsid w:val="003E3DC7"/>
    <w:rsid w:val="003E743F"/>
    <w:rsid w:val="00405D65"/>
    <w:rsid w:val="00406936"/>
    <w:rsid w:val="0040758D"/>
    <w:rsid w:val="00410A42"/>
    <w:rsid w:val="004358CC"/>
    <w:rsid w:val="00442276"/>
    <w:rsid w:val="00445717"/>
    <w:rsid w:val="00460F38"/>
    <w:rsid w:val="004614FB"/>
    <w:rsid w:val="00465AD8"/>
    <w:rsid w:val="004806FB"/>
    <w:rsid w:val="00484775"/>
    <w:rsid w:val="004A11CA"/>
    <w:rsid w:val="004A34F3"/>
    <w:rsid w:val="004A6A26"/>
    <w:rsid w:val="004A77E9"/>
    <w:rsid w:val="004C17B2"/>
    <w:rsid w:val="004D110C"/>
    <w:rsid w:val="004D748E"/>
    <w:rsid w:val="004D7D47"/>
    <w:rsid w:val="004E1091"/>
    <w:rsid w:val="004E3721"/>
    <w:rsid w:val="004E74B8"/>
    <w:rsid w:val="004F6ED4"/>
    <w:rsid w:val="00500F99"/>
    <w:rsid w:val="00503BE1"/>
    <w:rsid w:val="005071E6"/>
    <w:rsid w:val="00526AC9"/>
    <w:rsid w:val="005325C7"/>
    <w:rsid w:val="005421FE"/>
    <w:rsid w:val="005422FF"/>
    <w:rsid w:val="00547D22"/>
    <w:rsid w:val="00574C2A"/>
    <w:rsid w:val="005966B5"/>
    <w:rsid w:val="005A11ED"/>
    <w:rsid w:val="005A4E6F"/>
    <w:rsid w:val="005C00D4"/>
    <w:rsid w:val="005C1675"/>
    <w:rsid w:val="005C7AAC"/>
    <w:rsid w:val="005D1554"/>
    <w:rsid w:val="005D26A0"/>
    <w:rsid w:val="005E32A6"/>
    <w:rsid w:val="005E6913"/>
    <w:rsid w:val="006065BA"/>
    <w:rsid w:val="0063263F"/>
    <w:rsid w:val="006347EA"/>
    <w:rsid w:val="00646B81"/>
    <w:rsid w:val="00653FE6"/>
    <w:rsid w:val="0065539D"/>
    <w:rsid w:val="00676349"/>
    <w:rsid w:val="0067689C"/>
    <w:rsid w:val="00680499"/>
    <w:rsid w:val="00682B6E"/>
    <w:rsid w:val="00697E6A"/>
    <w:rsid w:val="006A0C91"/>
    <w:rsid w:val="006E32D5"/>
    <w:rsid w:val="006F15BB"/>
    <w:rsid w:val="006F3F80"/>
    <w:rsid w:val="006F4262"/>
    <w:rsid w:val="006F51C4"/>
    <w:rsid w:val="006F7D4B"/>
    <w:rsid w:val="00700BB0"/>
    <w:rsid w:val="0070755F"/>
    <w:rsid w:val="00723CFF"/>
    <w:rsid w:val="0072478A"/>
    <w:rsid w:val="0073771C"/>
    <w:rsid w:val="0074008C"/>
    <w:rsid w:val="00740E07"/>
    <w:rsid w:val="00750B9A"/>
    <w:rsid w:val="00754F9F"/>
    <w:rsid w:val="00776FEB"/>
    <w:rsid w:val="00783561"/>
    <w:rsid w:val="00786FBC"/>
    <w:rsid w:val="0079154C"/>
    <w:rsid w:val="007A6163"/>
    <w:rsid w:val="007A7E53"/>
    <w:rsid w:val="007B4073"/>
    <w:rsid w:val="007C2456"/>
    <w:rsid w:val="007C377D"/>
    <w:rsid w:val="007D36DD"/>
    <w:rsid w:val="007D4D12"/>
    <w:rsid w:val="007D7D2B"/>
    <w:rsid w:val="007F24A9"/>
    <w:rsid w:val="007F4B2B"/>
    <w:rsid w:val="007F71CB"/>
    <w:rsid w:val="00805A0E"/>
    <w:rsid w:val="00812B18"/>
    <w:rsid w:val="00824918"/>
    <w:rsid w:val="00836DEC"/>
    <w:rsid w:val="00840089"/>
    <w:rsid w:val="00850FAC"/>
    <w:rsid w:val="0086561A"/>
    <w:rsid w:val="008809FF"/>
    <w:rsid w:val="00883D39"/>
    <w:rsid w:val="008A1C2A"/>
    <w:rsid w:val="008A6F78"/>
    <w:rsid w:val="008D36E1"/>
    <w:rsid w:val="008D37C1"/>
    <w:rsid w:val="008E6FD4"/>
    <w:rsid w:val="008F0067"/>
    <w:rsid w:val="00907859"/>
    <w:rsid w:val="009136BE"/>
    <w:rsid w:val="00914FBB"/>
    <w:rsid w:val="0093270F"/>
    <w:rsid w:val="009365E9"/>
    <w:rsid w:val="00937C45"/>
    <w:rsid w:val="00940109"/>
    <w:rsid w:val="00940AE9"/>
    <w:rsid w:val="00944B3A"/>
    <w:rsid w:val="00953057"/>
    <w:rsid w:val="00953C2D"/>
    <w:rsid w:val="0095433C"/>
    <w:rsid w:val="00964AF0"/>
    <w:rsid w:val="00974295"/>
    <w:rsid w:val="009B2633"/>
    <w:rsid w:val="009B28C4"/>
    <w:rsid w:val="009C1DD7"/>
    <w:rsid w:val="009C7B08"/>
    <w:rsid w:val="009D027E"/>
    <w:rsid w:val="009D2CEB"/>
    <w:rsid w:val="009F0BB6"/>
    <w:rsid w:val="009F7952"/>
    <w:rsid w:val="00A033C0"/>
    <w:rsid w:val="00A05696"/>
    <w:rsid w:val="00A12CAC"/>
    <w:rsid w:val="00A4665A"/>
    <w:rsid w:val="00A6224F"/>
    <w:rsid w:val="00A660AF"/>
    <w:rsid w:val="00A70226"/>
    <w:rsid w:val="00A705BB"/>
    <w:rsid w:val="00A74C5D"/>
    <w:rsid w:val="00A907BD"/>
    <w:rsid w:val="00A90EAD"/>
    <w:rsid w:val="00A93F8E"/>
    <w:rsid w:val="00A955DE"/>
    <w:rsid w:val="00AA4A00"/>
    <w:rsid w:val="00AA7E2F"/>
    <w:rsid w:val="00AC2C32"/>
    <w:rsid w:val="00AC3EF1"/>
    <w:rsid w:val="00AC6D97"/>
    <w:rsid w:val="00AD1088"/>
    <w:rsid w:val="00AD64F3"/>
    <w:rsid w:val="00AD75F9"/>
    <w:rsid w:val="00AE46FB"/>
    <w:rsid w:val="00B03699"/>
    <w:rsid w:val="00B14A41"/>
    <w:rsid w:val="00B23470"/>
    <w:rsid w:val="00B26CBE"/>
    <w:rsid w:val="00B32FD7"/>
    <w:rsid w:val="00B34F2B"/>
    <w:rsid w:val="00B40804"/>
    <w:rsid w:val="00B42736"/>
    <w:rsid w:val="00B528C2"/>
    <w:rsid w:val="00B63F44"/>
    <w:rsid w:val="00B64EF7"/>
    <w:rsid w:val="00B76D79"/>
    <w:rsid w:val="00B95D57"/>
    <w:rsid w:val="00BB0603"/>
    <w:rsid w:val="00BC0792"/>
    <w:rsid w:val="00BC61F4"/>
    <w:rsid w:val="00BF002F"/>
    <w:rsid w:val="00C05448"/>
    <w:rsid w:val="00C158C2"/>
    <w:rsid w:val="00C2634B"/>
    <w:rsid w:val="00C32174"/>
    <w:rsid w:val="00C40C5C"/>
    <w:rsid w:val="00C4782D"/>
    <w:rsid w:val="00C5408A"/>
    <w:rsid w:val="00C54C1F"/>
    <w:rsid w:val="00C61B02"/>
    <w:rsid w:val="00C71A5F"/>
    <w:rsid w:val="00C923EA"/>
    <w:rsid w:val="00CA08D9"/>
    <w:rsid w:val="00CB5816"/>
    <w:rsid w:val="00CB728F"/>
    <w:rsid w:val="00CD5660"/>
    <w:rsid w:val="00CE4402"/>
    <w:rsid w:val="00CE4B6D"/>
    <w:rsid w:val="00CF408D"/>
    <w:rsid w:val="00CF64D0"/>
    <w:rsid w:val="00D10801"/>
    <w:rsid w:val="00D427B5"/>
    <w:rsid w:val="00D527CF"/>
    <w:rsid w:val="00D5363E"/>
    <w:rsid w:val="00D6538B"/>
    <w:rsid w:val="00D76B61"/>
    <w:rsid w:val="00D76F11"/>
    <w:rsid w:val="00D772C7"/>
    <w:rsid w:val="00D905A8"/>
    <w:rsid w:val="00D90ACC"/>
    <w:rsid w:val="00D9624E"/>
    <w:rsid w:val="00DB0CFA"/>
    <w:rsid w:val="00DB5515"/>
    <w:rsid w:val="00DB6E43"/>
    <w:rsid w:val="00DF495F"/>
    <w:rsid w:val="00DF5757"/>
    <w:rsid w:val="00E00887"/>
    <w:rsid w:val="00E00EF5"/>
    <w:rsid w:val="00E026C8"/>
    <w:rsid w:val="00E0766C"/>
    <w:rsid w:val="00E10639"/>
    <w:rsid w:val="00E158DD"/>
    <w:rsid w:val="00E271E0"/>
    <w:rsid w:val="00E346E9"/>
    <w:rsid w:val="00E36D8D"/>
    <w:rsid w:val="00E5514C"/>
    <w:rsid w:val="00E6230B"/>
    <w:rsid w:val="00E6555B"/>
    <w:rsid w:val="00E76CC7"/>
    <w:rsid w:val="00E93BC0"/>
    <w:rsid w:val="00EB1500"/>
    <w:rsid w:val="00EB51BC"/>
    <w:rsid w:val="00EC37A2"/>
    <w:rsid w:val="00ED2BEB"/>
    <w:rsid w:val="00EE059C"/>
    <w:rsid w:val="00EF19E3"/>
    <w:rsid w:val="00EF5311"/>
    <w:rsid w:val="00F0674D"/>
    <w:rsid w:val="00F1289B"/>
    <w:rsid w:val="00F2239C"/>
    <w:rsid w:val="00F27C01"/>
    <w:rsid w:val="00F44332"/>
    <w:rsid w:val="00F57ADB"/>
    <w:rsid w:val="00F60957"/>
    <w:rsid w:val="00F63154"/>
    <w:rsid w:val="00F63D58"/>
    <w:rsid w:val="00F655D2"/>
    <w:rsid w:val="00F84601"/>
    <w:rsid w:val="00F9520E"/>
    <w:rsid w:val="00F97384"/>
    <w:rsid w:val="00FA779F"/>
    <w:rsid w:val="00FB61B4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FB1E"/>
  <w15:docId w15:val="{584FB060-43D0-4B6E-BCEE-F0C879B3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BE1"/>
    <w:pPr>
      <w:ind w:left="720"/>
      <w:contextualSpacing/>
    </w:pPr>
  </w:style>
  <w:style w:type="table" w:styleId="TableGrid">
    <w:name w:val="Table Grid"/>
    <w:basedOn w:val="TableNormal"/>
    <w:uiPriority w:val="59"/>
    <w:rsid w:val="00B3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6C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C05"/>
  </w:style>
  <w:style w:type="paragraph" w:styleId="Footer">
    <w:name w:val="footer"/>
    <w:basedOn w:val="Normal"/>
    <w:link w:val="FooterChar"/>
    <w:uiPriority w:val="99"/>
    <w:unhideWhenUsed/>
    <w:rsid w:val="0018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05"/>
  </w:style>
  <w:style w:type="paragraph" w:styleId="BalloonText">
    <w:name w:val="Balloon Text"/>
    <w:basedOn w:val="Normal"/>
    <w:link w:val="BalloonTextChar"/>
    <w:uiPriority w:val="99"/>
    <w:semiHidden/>
    <w:unhideWhenUsed/>
    <w:rsid w:val="0018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0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9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C2"/>
    <w:rsid w:val="00DD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CFFAACB2BD472B9B47C4E369A5F6CD">
    <w:name w:val="4FCFFAACB2BD472B9B47C4E369A5F6CD"/>
    <w:rsid w:val="00DD50C2"/>
  </w:style>
  <w:style w:type="paragraph" w:customStyle="1" w:styleId="A45CCE8BF34C481184CC18A5D0CB5133">
    <w:name w:val="A45CCE8BF34C481184CC18A5D0CB5133"/>
    <w:rsid w:val="00DD5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FE14A-36CD-41E2-9E2A-ABBAB40A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Kirven, Dave</dc:creator>
  <cp:lastModifiedBy>Dave Kirven (NLBC)</cp:lastModifiedBy>
  <cp:revision>3</cp:revision>
  <cp:lastPrinted>2020-02-28T09:05:00Z</cp:lastPrinted>
  <dcterms:created xsi:type="dcterms:W3CDTF">2020-02-28T09:08:00Z</dcterms:created>
  <dcterms:modified xsi:type="dcterms:W3CDTF">2020-02-28T11:57:00Z</dcterms:modified>
</cp:coreProperties>
</file>