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C5F4" w14:textId="1525927B" w:rsidR="00EA6887" w:rsidRPr="00D557A4" w:rsidRDefault="00EA6887" w:rsidP="00EA6887">
      <w:pPr>
        <w:rPr>
          <w:rFonts w:cs="Arial"/>
          <w:b/>
        </w:rPr>
      </w:pPr>
      <w:r w:rsidRPr="00EA6887">
        <w:rPr>
          <w:rFonts w:cs="Arial"/>
          <w:b/>
          <w:noProof/>
          <w:lang w:eastAsia="en-GB"/>
        </w:rPr>
        <w:drawing>
          <wp:inline distT="0" distB="0" distL="0" distR="0" wp14:anchorId="5793B679" wp14:editId="114FB9FD">
            <wp:extent cx="1726565" cy="103695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467" t="19746" r="12959" b="16626"/>
                    <a:stretch>
                      <a:fillRect/>
                    </a:stretch>
                  </pic:blipFill>
                  <pic:spPr bwMode="auto">
                    <a:xfrm>
                      <a:off x="0" y="0"/>
                      <a:ext cx="1726565" cy="1036955"/>
                    </a:xfrm>
                    <a:prstGeom prst="rect">
                      <a:avLst/>
                    </a:prstGeom>
                    <a:noFill/>
                    <a:ln>
                      <a:noFill/>
                    </a:ln>
                  </pic:spPr>
                </pic:pic>
              </a:graphicData>
            </a:graphic>
          </wp:inline>
        </w:drawing>
      </w:r>
    </w:p>
    <w:p w14:paraId="5ADFEAFE" w14:textId="77777777" w:rsidR="00EA6887" w:rsidRPr="00D557A4" w:rsidRDefault="00EA6887" w:rsidP="00EA6887">
      <w:pPr>
        <w:rPr>
          <w:rFonts w:cs="Arial"/>
          <w:b/>
        </w:rPr>
      </w:pPr>
    </w:p>
    <w:p w14:paraId="5B470BCE" w14:textId="77777777" w:rsidR="00EA6887" w:rsidRPr="00D557A4" w:rsidRDefault="00EA6887" w:rsidP="00EA6887">
      <w:pPr>
        <w:pStyle w:val="Title"/>
        <w:rPr>
          <w:rFonts w:cs="Arial"/>
        </w:rPr>
      </w:pPr>
      <w:r>
        <w:rPr>
          <w:rFonts w:cs="Arial"/>
        </w:rPr>
        <w:t>Schedule of fees for pre-application enquiries</w:t>
      </w:r>
    </w:p>
    <w:p w14:paraId="4F9CCF80" w14:textId="77777777" w:rsidR="00EA6887" w:rsidRPr="00D557A4" w:rsidRDefault="00EA6887" w:rsidP="00EA6887">
      <w:pPr>
        <w:pStyle w:val="Heading1"/>
        <w:jc w:val="center"/>
        <w:rPr>
          <w:rFonts w:cs="Arial"/>
        </w:rPr>
      </w:pPr>
      <w:r w:rsidRPr="00D557A4">
        <w:rPr>
          <w:rFonts w:cs="Arial"/>
        </w:rPr>
        <w:t>North East Lincolnshire Planning Service</w:t>
      </w:r>
    </w:p>
    <w:p w14:paraId="4B14F3A9" w14:textId="77777777" w:rsidR="007666F9" w:rsidRDefault="007666F9" w:rsidP="002B1BFA">
      <w:pPr>
        <w:ind w:left="142"/>
      </w:pPr>
      <w:r>
        <w:rPr>
          <w:b/>
          <w:sz w:val="28"/>
          <w:szCs w:val="28"/>
        </w:rPr>
        <w:t xml:space="preserve"> </w:t>
      </w:r>
    </w:p>
    <w:tbl>
      <w:tblPr>
        <w:tblStyle w:val="TableGrid"/>
        <w:tblW w:w="5000" w:type="pct"/>
        <w:tblLook w:val="0020" w:firstRow="1" w:lastRow="0" w:firstColumn="0" w:lastColumn="0" w:noHBand="0" w:noVBand="0"/>
      </w:tblPr>
      <w:tblGrid>
        <w:gridCol w:w="4675"/>
        <w:gridCol w:w="2551"/>
        <w:gridCol w:w="2119"/>
      </w:tblGrid>
      <w:tr w:rsidR="007666F9" w14:paraId="3D1F0654" w14:textId="77777777" w:rsidTr="00EA6887">
        <w:trPr>
          <w:trHeight w:val="870"/>
          <w:tblHeader/>
        </w:trPr>
        <w:tc>
          <w:tcPr>
            <w:tcW w:w="2500" w:type="pct"/>
            <w:shd w:val="clear" w:color="auto" w:fill="BFBFBF" w:themeFill="background1" w:themeFillShade="BF"/>
            <w:vAlign w:val="center"/>
          </w:tcPr>
          <w:p w14:paraId="7DD46971" w14:textId="68A0D51B" w:rsidR="007666F9" w:rsidRPr="00EA6887" w:rsidRDefault="00EA6887" w:rsidP="00EA6887">
            <w:pPr>
              <w:ind w:left="180"/>
              <w:jc w:val="center"/>
              <w:rPr>
                <w:rFonts w:cs="Arial"/>
                <w:b/>
                <w:bCs/>
                <w:lang w:eastAsia="en-GB"/>
              </w:rPr>
            </w:pPr>
            <w:r w:rsidRPr="00EA6887">
              <w:rPr>
                <w:rFonts w:cs="Arial"/>
                <w:b/>
                <w:bCs/>
                <w:lang w:eastAsia="en-GB"/>
              </w:rPr>
              <w:t>Application type and threshold</w:t>
            </w:r>
          </w:p>
        </w:tc>
        <w:tc>
          <w:tcPr>
            <w:tcW w:w="1365" w:type="pct"/>
            <w:shd w:val="clear" w:color="auto" w:fill="BFBFBF" w:themeFill="background1" w:themeFillShade="BF"/>
            <w:vAlign w:val="center"/>
          </w:tcPr>
          <w:p w14:paraId="58DE0617" w14:textId="433EE3EA" w:rsidR="007666F9" w:rsidRPr="00EA6887" w:rsidRDefault="00EA6887" w:rsidP="00EA6887">
            <w:pPr>
              <w:jc w:val="center"/>
              <w:rPr>
                <w:rFonts w:cs="Arial"/>
                <w:b/>
                <w:bCs/>
                <w:lang w:eastAsia="en-GB"/>
              </w:rPr>
            </w:pPr>
            <w:r w:rsidRPr="00EA6887">
              <w:rPr>
                <w:rFonts w:cs="Arial"/>
                <w:b/>
                <w:bCs/>
                <w:lang w:eastAsia="en-GB"/>
              </w:rPr>
              <w:t>Notes</w:t>
            </w:r>
          </w:p>
        </w:tc>
        <w:tc>
          <w:tcPr>
            <w:tcW w:w="1134" w:type="pct"/>
            <w:shd w:val="clear" w:color="auto" w:fill="BFBFBF" w:themeFill="background1" w:themeFillShade="BF"/>
            <w:vAlign w:val="center"/>
          </w:tcPr>
          <w:p w14:paraId="589C8BE0" w14:textId="2D7128B7" w:rsidR="007666F9" w:rsidRPr="00EA6887" w:rsidRDefault="00EA6887" w:rsidP="00EA6887">
            <w:pPr>
              <w:jc w:val="center"/>
              <w:rPr>
                <w:rFonts w:cs="Arial"/>
                <w:b/>
                <w:bCs/>
                <w:lang w:eastAsia="en-GB"/>
              </w:rPr>
            </w:pPr>
            <w:r w:rsidRPr="00EA6887">
              <w:rPr>
                <w:rFonts w:cs="Arial"/>
                <w:b/>
                <w:bCs/>
                <w:lang w:eastAsia="en-GB"/>
              </w:rPr>
              <w:t>Fee</w:t>
            </w:r>
          </w:p>
          <w:p w14:paraId="08AF0352" w14:textId="4D4F585F" w:rsidR="007666F9" w:rsidRPr="00EA6887" w:rsidRDefault="00EA6887" w:rsidP="00EA6887">
            <w:pPr>
              <w:jc w:val="center"/>
              <w:rPr>
                <w:rFonts w:cs="Arial"/>
                <w:b/>
                <w:bCs/>
                <w:lang w:eastAsia="en-GB"/>
              </w:rPr>
            </w:pPr>
            <w:r w:rsidRPr="00EA6887">
              <w:rPr>
                <w:rFonts w:cs="Arial"/>
                <w:b/>
                <w:bCs/>
                <w:lang w:eastAsia="en-GB"/>
              </w:rPr>
              <w:t>(including VAT)</w:t>
            </w:r>
          </w:p>
        </w:tc>
      </w:tr>
      <w:tr w:rsidR="001C11D5" w14:paraId="35EF0B5C" w14:textId="77777777" w:rsidTr="00EA6887">
        <w:trPr>
          <w:trHeight w:val="840"/>
        </w:trPr>
        <w:tc>
          <w:tcPr>
            <w:tcW w:w="2500" w:type="pct"/>
            <w:vAlign w:val="center"/>
          </w:tcPr>
          <w:p w14:paraId="6A429E6D" w14:textId="77777777" w:rsidR="001C11D5" w:rsidRDefault="001C11D5" w:rsidP="00EA6887">
            <w:pPr>
              <w:ind w:left="180" w:right="144"/>
              <w:rPr>
                <w:rFonts w:cs="Arial"/>
                <w:b/>
                <w:lang w:eastAsia="en-GB"/>
              </w:rPr>
            </w:pPr>
            <w:r>
              <w:rPr>
                <w:rFonts w:cs="Arial"/>
                <w:b/>
                <w:lang w:eastAsia="en-GB"/>
              </w:rPr>
              <w:t>Do I need planning permission?</w:t>
            </w:r>
          </w:p>
          <w:p w14:paraId="18C4BA9B" w14:textId="77777777" w:rsidR="001B0C22" w:rsidRPr="001B0C22" w:rsidRDefault="001B0C22" w:rsidP="00EA6887">
            <w:pPr>
              <w:ind w:left="180" w:right="144"/>
              <w:rPr>
                <w:rFonts w:cs="Arial"/>
                <w:lang w:eastAsia="en-GB"/>
              </w:rPr>
            </w:pPr>
            <w:r>
              <w:rPr>
                <w:rFonts w:cs="Arial"/>
                <w:lang w:eastAsia="en-GB"/>
              </w:rPr>
              <w:t>All development types</w:t>
            </w:r>
          </w:p>
        </w:tc>
        <w:tc>
          <w:tcPr>
            <w:tcW w:w="1365" w:type="pct"/>
            <w:vAlign w:val="center"/>
          </w:tcPr>
          <w:p w14:paraId="4E377B37" w14:textId="11ED29BE" w:rsidR="001C11D5" w:rsidRPr="001C11D5" w:rsidRDefault="00EA6887" w:rsidP="00EA6887">
            <w:pPr>
              <w:jc w:val="center"/>
              <w:rPr>
                <w:rFonts w:cs="Arial"/>
                <w:lang w:eastAsia="en-GB"/>
              </w:rPr>
            </w:pPr>
            <w:r>
              <w:rPr>
                <w:rFonts w:cs="Arial"/>
                <w:lang w:eastAsia="en-GB"/>
              </w:rPr>
              <w:t>-</w:t>
            </w:r>
          </w:p>
        </w:tc>
        <w:tc>
          <w:tcPr>
            <w:tcW w:w="1134" w:type="pct"/>
            <w:vAlign w:val="center"/>
          </w:tcPr>
          <w:p w14:paraId="417EBB95" w14:textId="6F6D2B11" w:rsidR="001C11D5" w:rsidRPr="001C11D5" w:rsidRDefault="001C11D5" w:rsidP="00EA6887">
            <w:pPr>
              <w:tabs>
                <w:tab w:val="left" w:pos="1080"/>
                <w:tab w:val="left" w:pos="1440"/>
              </w:tabs>
              <w:ind w:right="360"/>
              <w:jc w:val="center"/>
              <w:rPr>
                <w:rFonts w:cs="Arial"/>
                <w:b/>
                <w:lang w:eastAsia="en-GB"/>
              </w:rPr>
            </w:pPr>
            <w:r>
              <w:rPr>
                <w:rFonts w:cs="Arial"/>
                <w:lang w:eastAsia="en-GB"/>
              </w:rPr>
              <w:t>£</w:t>
            </w:r>
            <w:r w:rsidR="00DC3294">
              <w:rPr>
                <w:rFonts w:cs="Arial"/>
                <w:lang w:eastAsia="en-GB"/>
              </w:rPr>
              <w:t>42</w:t>
            </w:r>
          </w:p>
        </w:tc>
      </w:tr>
      <w:tr w:rsidR="007666F9" w14:paraId="17B35B75" w14:textId="77777777" w:rsidTr="00EA6887">
        <w:trPr>
          <w:trHeight w:val="1121"/>
        </w:trPr>
        <w:tc>
          <w:tcPr>
            <w:tcW w:w="2500" w:type="pct"/>
            <w:vAlign w:val="center"/>
          </w:tcPr>
          <w:p w14:paraId="2E93A629" w14:textId="77777777" w:rsidR="007666F9" w:rsidRDefault="001C11D5" w:rsidP="00EA6887">
            <w:pPr>
              <w:ind w:left="180" w:right="144"/>
              <w:rPr>
                <w:rFonts w:cs="Arial"/>
                <w:b/>
                <w:lang w:eastAsia="en-GB"/>
              </w:rPr>
            </w:pPr>
            <w:r>
              <w:rPr>
                <w:rFonts w:cs="Arial"/>
                <w:b/>
                <w:lang w:eastAsia="en-GB"/>
              </w:rPr>
              <w:t>Householder development</w:t>
            </w:r>
          </w:p>
          <w:p w14:paraId="715A2F49" w14:textId="77777777" w:rsidR="007666F9" w:rsidRDefault="001C11D5" w:rsidP="00EA6887">
            <w:pPr>
              <w:ind w:left="180" w:right="144"/>
              <w:rPr>
                <w:rFonts w:cs="Arial"/>
                <w:lang w:eastAsia="en-GB"/>
              </w:rPr>
            </w:pPr>
            <w:r>
              <w:rPr>
                <w:rFonts w:cs="Arial"/>
                <w:lang w:eastAsia="en-GB"/>
              </w:rPr>
              <w:t>House e</w:t>
            </w:r>
            <w:r w:rsidR="007666F9">
              <w:rPr>
                <w:rFonts w:cs="Arial"/>
                <w:lang w:eastAsia="en-GB"/>
              </w:rPr>
              <w:t>xtension/alteration</w:t>
            </w:r>
            <w:r>
              <w:rPr>
                <w:rFonts w:cs="Arial"/>
                <w:lang w:eastAsia="en-GB"/>
              </w:rPr>
              <w:t xml:space="preserve"> </w:t>
            </w:r>
            <w:r w:rsidR="007666F9">
              <w:rPr>
                <w:rFonts w:cs="Arial"/>
                <w:lang w:eastAsia="en-GB"/>
              </w:rPr>
              <w:t>etc.</w:t>
            </w:r>
          </w:p>
        </w:tc>
        <w:tc>
          <w:tcPr>
            <w:tcW w:w="1365" w:type="pct"/>
            <w:vAlign w:val="center"/>
          </w:tcPr>
          <w:p w14:paraId="2BD4ECCC" w14:textId="77777777" w:rsidR="007666F9" w:rsidRDefault="002F1FFC" w:rsidP="00EA6887">
            <w:pPr>
              <w:jc w:val="center"/>
              <w:rPr>
                <w:rFonts w:cs="Arial"/>
                <w:lang w:eastAsia="en-GB"/>
              </w:rPr>
            </w:pPr>
            <w:r>
              <w:rPr>
                <w:rFonts w:cs="Arial"/>
                <w:lang w:eastAsia="en-GB"/>
              </w:rPr>
              <w:t>Inclu</w:t>
            </w:r>
            <w:r w:rsidR="00B40EDD">
              <w:rPr>
                <w:rFonts w:cs="Arial"/>
                <w:lang w:eastAsia="en-GB"/>
              </w:rPr>
              <w:t>des up to one meeting and</w:t>
            </w:r>
            <w:r>
              <w:rPr>
                <w:rFonts w:cs="Arial"/>
                <w:lang w:eastAsia="en-GB"/>
              </w:rPr>
              <w:t xml:space="preserve"> </w:t>
            </w:r>
            <w:r w:rsidR="002B1BFA">
              <w:rPr>
                <w:rFonts w:cs="Arial"/>
                <w:lang w:eastAsia="en-GB"/>
              </w:rPr>
              <w:t xml:space="preserve">written </w:t>
            </w:r>
            <w:r>
              <w:rPr>
                <w:rFonts w:cs="Arial"/>
                <w:lang w:eastAsia="en-GB"/>
              </w:rPr>
              <w:t>advice</w:t>
            </w:r>
          </w:p>
        </w:tc>
        <w:tc>
          <w:tcPr>
            <w:tcW w:w="1134" w:type="pct"/>
            <w:vAlign w:val="center"/>
          </w:tcPr>
          <w:p w14:paraId="228D0988" w14:textId="37EBF099" w:rsidR="007666F9" w:rsidRDefault="007666F9" w:rsidP="00EA6887">
            <w:pPr>
              <w:tabs>
                <w:tab w:val="left" w:pos="1080"/>
                <w:tab w:val="left" w:pos="1440"/>
              </w:tabs>
              <w:ind w:right="360"/>
              <w:jc w:val="center"/>
              <w:rPr>
                <w:rFonts w:cs="Arial"/>
                <w:lang w:eastAsia="en-GB"/>
              </w:rPr>
            </w:pPr>
            <w:r>
              <w:rPr>
                <w:rFonts w:cs="Arial"/>
                <w:lang w:eastAsia="en-GB"/>
              </w:rPr>
              <w:t>£</w:t>
            </w:r>
            <w:r w:rsidR="00DC3294">
              <w:rPr>
                <w:rFonts w:cs="Arial"/>
                <w:lang w:eastAsia="en-GB"/>
              </w:rPr>
              <w:t>42</w:t>
            </w:r>
          </w:p>
        </w:tc>
      </w:tr>
      <w:tr w:rsidR="007666F9" w14:paraId="6FAC7A7A" w14:textId="77777777" w:rsidTr="00EA6887">
        <w:trPr>
          <w:trHeight w:val="1687"/>
        </w:trPr>
        <w:tc>
          <w:tcPr>
            <w:tcW w:w="2500" w:type="pct"/>
            <w:vAlign w:val="center"/>
          </w:tcPr>
          <w:p w14:paraId="56C8620E" w14:textId="4A1A271B" w:rsidR="007666F9" w:rsidRDefault="007666F9" w:rsidP="00EA6887">
            <w:pPr>
              <w:ind w:left="180" w:right="144"/>
              <w:rPr>
                <w:rFonts w:cs="Arial"/>
                <w:b/>
                <w:lang w:eastAsia="en-GB"/>
              </w:rPr>
            </w:pPr>
            <w:r>
              <w:rPr>
                <w:rFonts w:cs="Arial"/>
                <w:b/>
                <w:lang w:eastAsia="en-GB"/>
              </w:rPr>
              <w:t xml:space="preserve">Minor </w:t>
            </w:r>
            <w:r w:rsidR="008871EE">
              <w:rPr>
                <w:rFonts w:cs="Arial"/>
                <w:b/>
                <w:lang w:eastAsia="en-GB"/>
              </w:rPr>
              <w:t>and other D</w:t>
            </w:r>
            <w:r>
              <w:rPr>
                <w:rFonts w:cs="Arial"/>
                <w:b/>
                <w:lang w:eastAsia="en-GB"/>
              </w:rPr>
              <w:t>evelopment</w:t>
            </w:r>
          </w:p>
          <w:p w14:paraId="6066A905" w14:textId="77777777" w:rsidR="007666F9" w:rsidRDefault="008871EE" w:rsidP="00EA6887">
            <w:pPr>
              <w:numPr>
                <w:ilvl w:val="0"/>
                <w:numId w:val="2"/>
              </w:numPr>
              <w:ind w:right="144"/>
              <w:rPr>
                <w:rFonts w:cs="Arial"/>
                <w:lang w:eastAsia="en-GB"/>
              </w:rPr>
            </w:pPr>
            <w:r>
              <w:rPr>
                <w:rFonts w:cs="Arial"/>
                <w:lang w:eastAsia="en-GB"/>
              </w:rPr>
              <w:t>Dwellings: 0 - 9 / 0 - 0.5</w:t>
            </w:r>
            <w:r w:rsidR="007666F9">
              <w:rPr>
                <w:rFonts w:cs="Arial"/>
                <w:lang w:eastAsia="en-GB"/>
              </w:rPr>
              <w:t xml:space="preserve"> ha</w:t>
            </w:r>
          </w:p>
          <w:p w14:paraId="5D6F2145" w14:textId="77777777" w:rsidR="007666F9" w:rsidRDefault="007666F9" w:rsidP="00EA6887">
            <w:pPr>
              <w:numPr>
                <w:ilvl w:val="0"/>
                <w:numId w:val="2"/>
              </w:numPr>
              <w:ind w:right="144"/>
              <w:rPr>
                <w:rFonts w:cs="Arial"/>
                <w:lang w:eastAsia="en-GB"/>
              </w:rPr>
            </w:pPr>
            <w:r>
              <w:rPr>
                <w:rFonts w:cs="Arial"/>
                <w:lang w:eastAsia="en-GB"/>
              </w:rPr>
              <w:t xml:space="preserve">Other uses </w:t>
            </w:r>
            <w:r w:rsidR="008871EE">
              <w:rPr>
                <w:rFonts w:cs="Arial"/>
                <w:lang w:eastAsia="en-GB"/>
              </w:rPr>
              <w:t>less than 1,000</w:t>
            </w:r>
            <w:r>
              <w:rPr>
                <w:rFonts w:cs="Arial"/>
                <w:lang w:eastAsia="en-GB"/>
              </w:rPr>
              <w:t xml:space="preserve"> sq m / </w:t>
            </w:r>
            <w:r w:rsidR="008871EE">
              <w:rPr>
                <w:rFonts w:cs="Arial"/>
                <w:lang w:eastAsia="en-GB"/>
              </w:rPr>
              <w:t>or less than 1 hectare</w:t>
            </w:r>
          </w:p>
          <w:p w14:paraId="0B5C48F5" w14:textId="0B1E6503" w:rsidR="008871EE" w:rsidRDefault="008871EE" w:rsidP="00EA6887">
            <w:pPr>
              <w:numPr>
                <w:ilvl w:val="0"/>
                <w:numId w:val="2"/>
              </w:numPr>
              <w:ind w:right="144"/>
              <w:rPr>
                <w:rFonts w:cs="Arial"/>
                <w:lang w:eastAsia="en-GB"/>
              </w:rPr>
            </w:pPr>
            <w:r>
              <w:rPr>
                <w:rFonts w:cs="Arial"/>
                <w:lang w:eastAsia="en-GB"/>
              </w:rPr>
              <w:t>Adverts &amp; Changes of use</w:t>
            </w:r>
          </w:p>
        </w:tc>
        <w:tc>
          <w:tcPr>
            <w:tcW w:w="1365" w:type="pct"/>
            <w:vAlign w:val="center"/>
          </w:tcPr>
          <w:p w14:paraId="6E67A044" w14:textId="77777777" w:rsidR="007666F9" w:rsidRDefault="008871EE" w:rsidP="00EA6887">
            <w:pPr>
              <w:jc w:val="center"/>
              <w:rPr>
                <w:rFonts w:cs="Arial"/>
                <w:lang w:eastAsia="en-GB"/>
              </w:rPr>
            </w:pPr>
            <w:r>
              <w:rPr>
                <w:rFonts w:cs="Arial"/>
                <w:lang w:eastAsia="en-GB"/>
              </w:rPr>
              <w:t>Inclu</w:t>
            </w:r>
            <w:r w:rsidR="00B40EDD">
              <w:rPr>
                <w:rFonts w:cs="Arial"/>
                <w:lang w:eastAsia="en-GB"/>
              </w:rPr>
              <w:t>des up to one meeting and</w:t>
            </w:r>
            <w:r>
              <w:rPr>
                <w:rFonts w:cs="Arial"/>
                <w:lang w:eastAsia="en-GB"/>
              </w:rPr>
              <w:t xml:space="preserve"> </w:t>
            </w:r>
            <w:r w:rsidR="002B1BFA">
              <w:rPr>
                <w:rFonts w:cs="Arial"/>
                <w:lang w:eastAsia="en-GB"/>
              </w:rPr>
              <w:t xml:space="preserve">written </w:t>
            </w:r>
            <w:r>
              <w:rPr>
                <w:rFonts w:cs="Arial"/>
                <w:lang w:eastAsia="en-GB"/>
              </w:rPr>
              <w:t>advice</w:t>
            </w:r>
          </w:p>
        </w:tc>
        <w:tc>
          <w:tcPr>
            <w:tcW w:w="1134" w:type="pct"/>
            <w:vAlign w:val="center"/>
          </w:tcPr>
          <w:p w14:paraId="187C3290" w14:textId="77777777" w:rsidR="007666F9" w:rsidRDefault="007666F9" w:rsidP="00EA6887">
            <w:pPr>
              <w:jc w:val="center"/>
              <w:rPr>
                <w:rFonts w:cs="Arial"/>
                <w:lang w:eastAsia="en-GB"/>
              </w:rPr>
            </w:pPr>
            <w:r>
              <w:rPr>
                <w:rFonts w:cs="Arial"/>
                <w:lang w:eastAsia="en-GB"/>
              </w:rPr>
              <w:t>£</w:t>
            </w:r>
            <w:r w:rsidR="00DC3294">
              <w:rPr>
                <w:rFonts w:cs="Arial"/>
                <w:lang w:eastAsia="en-GB"/>
              </w:rPr>
              <w:t>216</w:t>
            </w:r>
          </w:p>
        </w:tc>
      </w:tr>
      <w:tr w:rsidR="007666F9" w14:paraId="3248B586" w14:textId="77777777" w:rsidTr="00EA6887">
        <w:trPr>
          <w:trHeight w:val="1413"/>
        </w:trPr>
        <w:tc>
          <w:tcPr>
            <w:tcW w:w="2500" w:type="pct"/>
            <w:vAlign w:val="center"/>
          </w:tcPr>
          <w:p w14:paraId="46E3950E" w14:textId="2815D4B8" w:rsidR="002F1FFC" w:rsidRPr="002F1FFC" w:rsidRDefault="007666F9" w:rsidP="00EA6887">
            <w:pPr>
              <w:ind w:left="180" w:right="144"/>
              <w:rPr>
                <w:rFonts w:cs="Arial"/>
                <w:b/>
                <w:lang w:eastAsia="en-GB"/>
              </w:rPr>
            </w:pPr>
            <w:r w:rsidRPr="002F1FFC">
              <w:rPr>
                <w:rFonts w:cs="Arial"/>
                <w:b/>
                <w:lang w:eastAsia="en-GB"/>
              </w:rPr>
              <w:t>Small-scale Major development</w:t>
            </w:r>
          </w:p>
          <w:p w14:paraId="23DA01F2" w14:textId="77777777" w:rsidR="007666F9" w:rsidRPr="002F1FFC" w:rsidRDefault="007666F9" w:rsidP="00EA6887">
            <w:pPr>
              <w:pStyle w:val="ListParagraph"/>
              <w:numPr>
                <w:ilvl w:val="0"/>
                <w:numId w:val="2"/>
              </w:numPr>
              <w:ind w:right="144"/>
              <w:rPr>
                <w:rFonts w:cs="Arial"/>
                <w:lang w:eastAsia="en-GB"/>
              </w:rPr>
            </w:pPr>
            <w:r w:rsidRPr="002F1FFC">
              <w:rPr>
                <w:rFonts w:cs="Arial"/>
                <w:lang w:eastAsia="en-GB"/>
              </w:rPr>
              <w:t>Dwellings: 10-199 / 0.5 - 4 ha</w:t>
            </w:r>
          </w:p>
          <w:p w14:paraId="1993E533" w14:textId="650ED1F3" w:rsidR="003B4940" w:rsidRPr="00EA6887" w:rsidRDefault="007666F9" w:rsidP="00EA6887">
            <w:pPr>
              <w:numPr>
                <w:ilvl w:val="0"/>
                <w:numId w:val="2"/>
              </w:numPr>
              <w:ind w:right="144"/>
              <w:rPr>
                <w:rFonts w:cs="Arial"/>
                <w:lang w:eastAsia="en-GB"/>
              </w:rPr>
            </w:pPr>
            <w:r>
              <w:rPr>
                <w:rFonts w:cs="Arial"/>
                <w:lang w:eastAsia="en-GB"/>
              </w:rPr>
              <w:t>Other uses: 1,000 – 9,999 sq m / 1 - 2 ha (Outline 0.5 – 4 ha)</w:t>
            </w:r>
          </w:p>
        </w:tc>
        <w:tc>
          <w:tcPr>
            <w:tcW w:w="1365" w:type="pct"/>
            <w:vAlign w:val="center"/>
          </w:tcPr>
          <w:p w14:paraId="59CC96A4" w14:textId="77777777" w:rsidR="007666F9" w:rsidRDefault="008871EE" w:rsidP="00EA6887">
            <w:pPr>
              <w:jc w:val="center"/>
              <w:rPr>
                <w:rFonts w:cs="Arial"/>
                <w:lang w:eastAsia="en-GB"/>
              </w:rPr>
            </w:pPr>
            <w:r>
              <w:rPr>
                <w:rFonts w:cs="Arial"/>
                <w:lang w:eastAsia="en-GB"/>
              </w:rPr>
              <w:t xml:space="preserve">Includes up to two meetings </w:t>
            </w:r>
            <w:r w:rsidR="002F1FFC">
              <w:rPr>
                <w:rFonts w:cs="Arial"/>
                <w:lang w:eastAsia="en-GB"/>
              </w:rPr>
              <w:t xml:space="preserve">and </w:t>
            </w:r>
            <w:r w:rsidR="00B40EDD">
              <w:rPr>
                <w:rFonts w:cs="Arial"/>
                <w:lang w:eastAsia="en-GB"/>
              </w:rPr>
              <w:t xml:space="preserve">written </w:t>
            </w:r>
            <w:r w:rsidR="002F1FFC">
              <w:rPr>
                <w:rFonts w:cs="Arial"/>
                <w:lang w:eastAsia="en-GB"/>
              </w:rPr>
              <w:t>advice</w:t>
            </w:r>
          </w:p>
        </w:tc>
        <w:tc>
          <w:tcPr>
            <w:tcW w:w="1134" w:type="pct"/>
            <w:vAlign w:val="center"/>
          </w:tcPr>
          <w:p w14:paraId="18BBE580" w14:textId="77777777" w:rsidR="007666F9" w:rsidRDefault="007666F9" w:rsidP="00EA6887">
            <w:pPr>
              <w:jc w:val="center"/>
              <w:rPr>
                <w:rFonts w:cs="Arial"/>
                <w:lang w:eastAsia="en-GB"/>
              </w:rPr>
            </w:pPr>
            <w:r>
              <w:rPr>
                <w:rFonts w:cs="Arial"/>
                <w:lang w:eastAsia="en-GB"/>
              </w:rPr>
              <w:t>£</w:t>
            </w:r>
            <w:r w:rsidR="00DC3294">
              <w:rPr>
                <w:rFonts w:cs="Arial"/>
                <w:lang w:eastAsia="en-GB"/>
              </w:rPr>
              <w:t>1200</w:t>
            </w:r>
          </w:p>
          <w:p w14:paraId="7B6023C2" w14:textId="77777777" w:rsidR="007666F9" w:rsidRDefault="007666F9" w:rsidP="00EA6887">
            <w:pPr>
              <w:jc w:val="center"/>
              <w:rPr>
                <w:rFonts w:cs="Arial"/>
                <w:lang w:eastAsia="en-GB"/>
              </w:rPr>
            </w:pPr>
          </w:p>
        </w:tc>
      </w:tr>
      <w:tr w:rsidR="007666F9" w14:paraId="21260E59" w14:textId="77777777" w:rsidTr="00EA6887">
        <w:trPr>
          <w:trHeight w:val="1830"/>
        </w:trPr>
        <w:tc>
          <w:tcPr>
            <w:tcW w:w="2500" w:type="pct"/>
            <w:vAlign w:val="center"/>
          </w:tcPr>
          <w:p w14:paraId="2A68ACD3" w14:textId="688E6C43" w:rsidR="002F1FFC" w:rsidRDefault="007666F9" w:rsidP="00EA6887">
            <w:pPr>
              <w:ind w:left="180" w:right="144"/>
              <w:rPr>
                <w:rFonts w:cs="Arial"/>
                <w:b/>
                <w:lang w:eastAsia="en-GB"/>
              </w:rPr>
            </w:pPr>
            <w:r>
              <w:rPr>
                <w:rFonts w:cs="Arial"/>
                <w:b/>
                <w:lang w:eastAsia="en-GB"/>
              </w:rPr>
              <w:t>Large-scale Major development</w:t>
            </w:r>
          </w:p>
          <w:p w14:paraId="0CBAD7A6" w14:textId="77777777" w:rsidR="007666F9" w:rsidRPr="002F1FFC" w:rsidRDefault="007666F9" w:rsidP="00EA6887">
            <w:pPr>
              <w:pStyle w:val="ListParagraph"/>
              <w:numPr>
                <w:ilvl w:val="0"/>
                <w:numId w:val="2"/>
              </w:numPr>
              <w:ind w:right="144"/>
              <w:rPr>
                <w:rFonts w:cs="Arial"/>
                <w:lang w:eastAsia="en-GB"/>
              </w:rPr>
            </w:pPr>
            <w:r w:rsidRPr="002F1FFC">
              <w:rPr>
                <w:rFonts w:cs="Arial"/>
                <w:lang w:eastAsia="en-GB"/>
              </w:rPr>
              <w:t>Dwellings: 200+ / more than 4</w:t>
            </w:r>
            <w:r w:rsidRPr="002F1FFC">
              <w:rPr>
                <w:rFonts w:cs="Arial"/>
                <w:b/>
                <w:lang w:eastAsia="en-GB"/>
              </w:rPr>
              <w:t xml:space="preserve"> </w:t>
            </w:r>
            <w:r w:rsidRPr="002F1FFC">
              <w:rPr>
                <w:rFonts w:cs="Arial"/>
                <w:lang w:eastAsia="en-GB"/>
              </w:rPr>
              <w:t>ha</w:t>
            </w:r>
          </w:p>
          <w:p w14:paraId="76EFA93C" w14:textId="3ADC22E0" w:rsidR="007666F9" w:rsidRDefault="007666F9" w:rsidP="00EA6887">
            <w:pPr>
              <w:numPr>
                <w:ilvl w:val="0"/>
                <w:numId w:val="4"/>
              </w:numPr>
              <w:ind w:right="144"/>
              <w:rPr>
                <w:rFonts w:cs="Arial"/>
                <w:lang w:eastAsia="en-GB"/>
              </w:rPr>
            </w:pPr>
            <w:r>
              <w:rPr>
                <w:rFonts w:cs="Arial"/>
                <w:lang w:eastAsia="en-GB"/>
              </w:rPr>
              <w:t>Offices/industry/retail: 10,000+ sq. m / more than 4 ha</w:t>
            </w:r>
          </w:p>
          <w:p w14:paraId="1AEBD400" w14:textId="07FFA134" w:rsidR="00C21F00" w:rsidRPr="00EA6887" w:rsidRDefault="007666F9" w:rsidP="00EA6887">
            <w:pPr>
              <w:numPr>
                <w:ilvl w:val="0"/>
                <w:numId w:val="4"/>
              </w:numPr>
              <w:rPr>
                <w:rFonts w:cs="Arial"/>
                <w:lang w:eastAsia="en-GB"/>
              </w:rPr>
            </w:pPr>
            <w:r>
              <w:rPr>
                <w:rFonts w:cs="Arial"/>
                <w:lang w:eastAsia="en-GB"/>
              </w:rPr>
              <w:t>Other uses: 10,000+ sq. m / more than 2 ha</w:t>
            </w:r>
          </w:p>
        </w:tc>
        <w:tc>
          <w:tcPr>
            <w:tcW w:w="1365" w:type="pct"/>
            <w:vAlign w:val="center"/>
          </w:tcPr>
          <w:p w14:paraId="6430B680" w14:textId="77777777" w:rsidR="007666F9" w:rsidRDefault="008871EE" w:rsidP="00EA6887">
            <w:pPr>
              <w:jc w:val="center"/>
              <w:rPr>
                <w:rFonts w:cs="Arial"/>
                <w:lang w:eastAsia="en-GB"/>
              </w:rPr>
            </w:pPr>
            <w:r>
              <w:rPr>
                <w:rFonts w:cs="Arial"/>
                <w:lang w:eastAsia="en-GB"/>
              </w:rPr>
              <w:t>Includes up to three meetings</w:t>
            </w:r>
            <w:r w:rsidR="002F1FFC">
              <w:rPr>
                <w:rFonts w:cs="Arial"/>
                <w:lang w:eastAsia="en-GB"/>
              </w:rPr>
              <w:t xml:space="preserve"> and</w:t>
            </w:r>
            <w:r w:rsidR="00B40EDD">
              <w:rPr>
                <w:rFonts w:cs="Arial"/>
                <w:lang w:eastAsia="en-GB"/>
              </w:rPr>
              <w:t xml:space="preserve"> written </w:t>
            </w:r>
            <w:r w:rsidR="002F1FFC">
              <w:rPr>
                <w:rFonts w:cs="Arial"/>
                <w:lang w:eastAsia="en-GB"/>
              </w:rPr>
              <w:t>advice</w:t>
            </w:r>
          </w:p>
        </w:tc>
        <w:tc>
          <w:tcPr>
            <w:tcW w:w="1134" w:type="pct"/>
            <w:vAlign w:val="center"/>
          </w:tcPr>
          <w:p w14:paraId="3BD636AD" w14:textId="77777777" w:rsidR="007666F9" w:rsidRDefault="007666F9" w:rsidP="00EA6887">
            <w:pPr>
              <w:jc w:val="center"/>
              <w:rPr>
                <w:rFonts w:cs="Arial"/>
                <w:lang w:eastAsia="en-GB"/>
              </w:rPr>
            </w:pPr>
            <w:r>
              <w:rPr>
                <w:rFonts w:cs="Arial"/>
                <w:lang w:eastAsia="en-GB"/>
              </w:rPr>
              <w:t>£</w:t>
            </w:r>
            <w:r w:rsidR="00DC3294">
              <w:rPr>
                <w:rFonts w:cs="Arial"/>
                <w:lang w:eastAsia="en-GB"/>
              </w:rPr>
              <w:t>2400</w:t>
            </w:r>
          </w:p>
          <w:p w14:paraId="23FC4D16" w14:textId="77777777" w:rsidR="007666F9" w:rsidRDefault="007666F9" w:rsidP="00EA6887">
            <w:pPr>
              <w:jc w:val="center"/>
              <w:rPr>
                <w:rFonts w:cs="Arial"/>
                <w:lang w:eastAsia="en-GB"/>
              </w:rPr>
            </w:pPr>
          </w:p>
        </w:tc>
      </w:tr>
      <w:tr w:rsidR="009061A9" w14:paraId="5C6CF910" w14:textId="77777777" w:rsidTr="00EA6887">
        <w:trPr>
          <w:trHeight w:val="1103"/>
        </w:trPr>
        <w:tc>
          <w:tcPr>
            <w:tcW w:w="2500" w:type="pct"/>
            <w:vAlign w:val="center"/>
          </w:tcPr>
          <w:p w14:paraId="4C013F81" w14:textId="77777777" w:rsidR="009061A9" w:rsidRDefault="009061A9" w:rsidP="00EA6887">
            <w:pPr>
              <w:ind w:left="249" w:right="144"/>
              <w:rPr>
                <w:rFonts w:cs="Arial"/>
                <w:b/>
                <w:lang w:eastAsia="en-GB"/>
              </w:rPr>
            </w:pPr>
            <w:r>
              <w:rPr>
                <w:rFonts w:cs="Arial"/>
                <w:b/>
                <w:lang w:eastAsia="en-GB"/>
              </w:rPr>
              <w:t>Advertising</w:t>
            </w:r>
          </w:p>
          <w:p w14:paraId="66EE032A" w14:textId="77777777" w:rsidR="009061A9" w:rsidRPr="00C21F00" w:rsidRDefault="009061A9" w:rsidP="00EA6887">
            <w:pPr>
              <w:ind w:left="249" w:right="144"/>
              <w:rPr>
                <w:rFonts w:cs="Arial"/>
                <w:lang w:eastAsia="en-GB"/>
              </w:rPr>
            </w:pPr>
            <w:r>
              <w:rPr>
                <w:rFonts w:cs="Arial"/>
                <w:lang w:eastAsia="en-GB"/>
              </w:rPr>
              <w:t>All types</w:t>
            </w:r>
          </w:p>
          <w:p w14:paraId="53FC5127" w14:textId="77777777" w:rsidR="009061A9" w:rsidRPr="002B1BFA" w:rsidRDefault="009061A9" w:rsidP="00EA6887">
            <w:pPr>
              <w:pStyle w:val="ListParagraph"/>
              <w:ind w:left="900" w:right="144"/>
              <w:rPr>
                <w:rFonts w:cs="Arial"/>
                <w:lang w:eastAsia="en-GB"/>
              </w:rPr>
            </w:pPr>
          </w:p>
        </w:tc>
        <w:tc>
          <w:tcPr>
            <w:tcW w:w="1365" w:type="pct"/>
            <w:vAlign w:val="center"/>
          </w:tcPr>
          <w:p w14:paraId="11C2186B" w14:textId="77777777" w:rsidR="009061A9" w:rsidRDefault="009061A9" w:rsidP="00EA6887">
            <w:pPr>
              <w:jc w:val="center"/>
              <w:rPr>
                <w:rFonts w:cs="Arial"/>
                <w:lang w:eastAsia="en-GB"/>
              </w:rPr>
            </w:pPr>
            <w:r>
              <w:rPr>
                <w:rFonts w:cs="Arial"/>
                <w:lang w:eastAsia="en-GB"/>
              </w:rPr>
              <w:t>Includes up to one meeting and written advice</w:t>
            </w:r>
          </w:p>
        </w:tc>
        <w:tc>
          <w:tcPr>
            <w:tcW w:w="1134" w:type="pct"/>
            <w:vAlign w:val="center"/>
          </w:tcPr>
          <w:p w14:paraId="5E2F6CC7" w14:textId="77777777" w:rsidR="009061A9" w:rsidRDefault="009061A9" w:rsidP="00EA6887">
            <w:pPr>
              <w:jc w:val="center"/>
              <w:rPr>
                <w:rFonts w:cs="Arial"/>
                <w:lang w:eastAsia="en-GB"/>
              </w:rPr>
            </w:pPr>
            <w:r>
              <w:rPr>
                <w:rFonts w:cs="Arial"/>
                <w:lang w:eastAsia="en-GB"/>
              </w:rPr>
              <w:t>£216</w:t>
            </w:r>
          </w:p>
        </w:tc>
      </w:tr>
    </w:tbl>
    <w:p w14:paraId="5B9BD4CB" w14:textId="77777777" w:rsidR="002B1BFA" w:rsidRDefault="002B1BFA" w:rsidP="00250A59">
      <w:pPr>
        <w:autoSpaceDE w:val="0"/>
        <w:autoSpaceDN w:val="0"/>
        <w:adjustRightInd w:val="0"/>
        <w:rPr>
          <w:rFonts w:cs="Arial"/>
          <w:color w:val="000000"/>
          <w:lang w:eastAsia="en-GB"/>
        </w:rPr>
      </w:pPr>
    </w:p>
    <w:p w14:paraId="55E95AC0" w14:textId="77777777" w:rsidR="00EA6887" w:rsidRDefault="00EA6887">
      <w:pPr>
        <w:rPr>
          <w:b/>
          <w:u w:val="single"/>
        </w:rPr>
      </w:pPr>
      <w:r>
        <w:rPr>
          <w:b/>
          <w:u w:val="single"/>
        </w:rPr>
        <w:br w:type="page"/>
      </w:r>
    </w:p>
    <w:p w14:paraId="0F0D2218" w14:textId="693544CA" w:rsidR="00250A59" w:rsidRPr="00EA6887" w:rsidRDefault="001A04F1" w:rsidP="00EA6887">
      <w:pPr>
        <w:pStyle w:val="Heading1"/>
        <w:spacing w:before="100" w:beforeAutospacing="1" w:after="100" w:afterAutospacing="1"/>
        <w:rPr>
          <w:b/>
          <w:bCs/>
          <w:sz w:val="26"/>
          <w:szCs w:val="26"/>
        </w:rPr>
      </w:pPr>
      <w:r w:rsidRPr="00EA6887">
        <w:rPr>
          <w:b/>
          <w:bCs/>
          <w:sz w:val="26"/>
          <w:szCs w:val="26"/>
        </w:rPr>
        <w:lastRenderedPageBreak/>
        <w:t xml:space="preserve">Fee </w:t>
      </w:r>
      <w:r w:rsidR="00441883" w:rsidRPr="00EA6887">
        <w:rPr>
          <w:b/>
          <w:bCs/>
          <w:sz w:val="26"/>
          <w:szCs w:val="26"/>
        </w:rPr>
        <w:t>Exemptions</w:t>
      </w:r>
      <w:bookmarkStart w:id="0" w:name="_GoBack"/>
      <w:bookmarkEnd w:id="0"/>
    </w:p>
    <w:p w14:paraId="05E1A1DA" w14:textId="77777777" w:rsidR="004436C1" w:rsidRPr="004436C1" w:rsidRDefault="006C76CC" w:rsidP="006C76CC">
      <w:pPr>
        <w:autoSpaceDE w:val="0"/>
        <w:autoSpaceDN w:val="0"/>
        <w:rPr>
          <w:rFonts w:cs="Arial"/>
          <w:lang w:eastAsia="en-GB"/>
        </w:rPr>
      </w:pPr>
      <w:r w:rsidRPr="004436C1">
        <w:rPr>
          <w:rFonts w:cs="Arial"/>
          <w:lang w:eastAsia="en-GB"/>
        </w:rPr>
        <w:t>Exemptions to the above fees apply in the following circumstances:</w:t>
      </w:r>
    </w:p>
    <w:p w14:paraId="3C0AE556" w14:textId="77777777" w:rsidR="00441883" w:rsidRPr="004436C1" w:rsidRDefault="00441883" w:rsidP="00202FFA">
      <w:pPr>
        <w:pStyle w:val="Default"/>
        <w:numPr>
          <w:ilvl w:val="0"/>
          <w:numId w:val="9"/>
        </w:numPr>
        <w:spacing w:line="260" w:lineRule="atLeast"/>
      </w:pPr>
      <w:r w:rsidRPr="004436C1">
        <w:t xml:space="preserve">People with disabilities - </w:t>
      </w:r>
      <w:r w:rsidR="006C76CC" w:rsidRPr="004436C1">
        <w:rPr>
          <w:lang w:eastAsia="en-GB"/>
        </w:rPr>
        <w:t xml:space="preserve">The fee is exempt if the proposed works are to create access for, or to provide for or improve the safety, health or comfort of a disabled </w:t>
      </w:r>
      <w:proofErr w:type="gramStart"/>
      <w:r w:rsidR="006C76CC" w:rsidRPr="004436C1">
        <w:rPr>
          <w:lang w:eastAsia="en-GB"/>
        </w:rPr>
        <w:t>person;</w:t>
      </w:r>
      <w:proofErr w:type="gramEnd"/>
    </w:p>
    <w:p w14:paraId="090CF67A" w14:textId="77777777" w:rsidR="00441883" w:rsidRPr="004436C1" w:rsidRDefault="00441883" w:rsidP="00202FFA">
      <w:pPr>
        <w:pStyle w:val="Default"/>
        <w:numPr>
          <w:ilvl w:val="0"/>
          <w:numId w:val="9"/>
        </w:numPr>
        <w:spacing w:line="260" w:lineRule="atLeast"/>
      </w:pPr>
      <w:r w:rsidRPr="004436C1">
        <w:t xml:space="preserve">Registered charities - </w:t>
      </w:r>
      <w:r w:rsidR="006C76CC" w:rsidRPr="004436C1">
        <w:rPr>
          <w:lang w:eastAsia="en-GB"/>
        </w:rPr>
        <w:t xml:space="preserve">exempt if the development is for or on behalf of a </w:t>
      </w:r>
      <w:proofErr w:type="gramStart"/>
      <w:r w:rsidR="006C76CC" w:rsidRPr="004436C1">
        <w:rPr>
          <w:lang w:eastAsia="en-GB"/>
        </w:rPr>
        <w:t>charity;</w:t>
      </w:r>
      <w:proofErr w:type="gramEnd"/>
    </w:p>
    <w:p w14:paraId="51585ED1" w14:textId="77777777" w:rsidR="00441883" w:rsidRPr="004436C1" w:rsidRDefault="006C76CC" w:rsidP="00202FFA">
      <w:pPr>
        <w:pStyle w:val="Default"/>
        <w:numPr>
          <w:ilvl w:val="0"/>
          <w:numId w:val="9"/>
        </w:numPr>
        <w:spacing w:line="260" w:lineRule="atLeast"/>
      </w:pPr>
      <w:r w:rsidRPr="004436C1">
        <w:t xml:space="preserve">Town and Parish Councils </w:t>
      </w:r>
      <w:proofErr w:type="gramStart"/>
      <w:r w:rsidRPr="004436C1">
        <w:t xml:space="preserve">- </w:t>
      </w:r>
      <w:r w:rsidRPr="004436C1">
        <w:rPr>
          <w:lang w:eastAsia="en-GB"/>
        </w:rPr>
        <w:t xml:space="preserve"> exempt</w:t>
      </w:r>
      <w:proofErr w:type="gramEnd"/>
      <w:r w:rsidRPr="004436C1">
        <w:rPr>
          <w:lang w:eastAsia="en-GB"/>
        </w:rPr>
        <w:t xml:space="preserve"> if the development is for or on behalf of a Town or Parish Council;</w:t>
      </w:r>
    </w:p>
    <w:p w14:paraId="463A501E" w14:textId="77777777" w:rsidR="00441883" w:rsidRPr="004436C1" w:rsidRDefault="00441883" w:rsidP="00202FFA">
      <w:pPr>
        <w:pStyle w:val="Default"/>
        <w:numPr>
          <w:ilvl w:val="0"/>
          <w:numId w:val="9"/>
        </w:numPr>
        <w:spacing w:line="260" w:lineRule="atLeast"/>
      </w:pPr>
      <w:r w:rsidRPr="004436C1">
        <w:t>Listed Building applications (any works which would only require listed building cons</w:t>
      </w:r>
      <w:r w:rsidR="006C76CC" w:rsidRPr="004436C1">
        <w:t>ent and not a full application</w:t>
      </w:r>
      <w:proofErr w:type="gramStart"/>
      <w:r w:rsidR="006C76CC" w:rsidRPr="004436C1">
        <w:t>);</w:t>
      </w:r>
      <w:proofErr w:type="gramEnd"/>
    </w:p>
    <w:p w14:paraId="112F0FF8" w14:textId="5C3EA201" w:rsidR="00441883" w:rsidRPr="00EA6887" w:rsidRDefault="00441883" w:rsidP="00EA6887">
      <w:pPr>
        <w:pStyle w:val="Default"/>
        <w:numPr>
          <w:ilvl w:val="0"/>
          <w:numId w:val="9"/>
        </w:numPr>
        <w:spacing w:line="260" w:lineRule="atLeast"/>
      </w:pPr>
      <w:r w:rsidRPr="004436C1">
        <w:t>Applications made by North East Lincolnshire Council or upon its behalf.</w:t>
      </w:r>
    </w:p>
    <w:p w14:paraId="53D3D784" w14:textId="69D9F267" w:rsidR="001A04F1" w:rsidRPr="00EA6887" w:rsidRDefault="001A04F1" w:rsidP="00EA6887">
      <w:pPr>
        <w:pStyle w:val="Heading1"/>
        <w:spacing w:before="100" w:beforeAutospacing="1" w:after="100" w:afterAutospacing="1"/>
        <w:rPr>
          <w:b/>
          <w:bCs/>
          <w:sz w:val="26"/>
          <w:szCs w:val="26"/>
        </w:rPr>
      </w:pPr>
      <w:r w:rsidRPr="00EA6887">
        <w:rPr>
          <w:b/>
          <w:bCs/>
          <w:sz w:val="26"/>
          <w:szCs w:val="26"/>
        </w:rPr>
        <w:t>Notes</w:t>
      </w:r>
    </w:p>
    <w:p w14:paraId="00FFC0FE" w14:textId="77777777" w:rsidR="001A04F1" w:rsidRDefault="001A04F1" w:rsidP="001A04F1">
      <w:pPr>
        <w:autoSpaceDE w:val="0"/>
        <w:autoSpaceDN w:val="0"/>
        <w:adjustRightInd w:val="0"/>
        <w:jc w:val="both"/>
        <w:rPr>
          <w:rFonts w:eastAsia="Calibri" w:cs="Arial"/>
        </w:rPr>
      </w:pPr>
      <w:r w:rsidRPr="006D66A5">
        <w:rPr>
          <w:rFonts w:eastAsia="Calibri" w:cs="Arial"/>
        </w:rPr>
        <w:t>We provide, without charge, general, advice, either on the phone or face to face, about the planning process and the Council’s planning policies.  Beyond this, in order to obtain site specific advice, you must first pay a fee as detailed above.  If a fee is not paid then advice will not be given.</w:t>
      </w:r>
    </w:p>
    <w:p w14:paraId="6E9B822C" w14:textId="77777777" w:rsidR="002D3CC9" w:rsidRDefault="002D3CC9" w:rsidP="001A04F1">
      <w:pPr>
        <w:autoSpaceDE w:val="0"/>
        <w:autoSpaceDN w:val="0"/>
        <w:adjustRightInd w:val="0"/>
        <w:jc w:val="both"/>
        <w:rPr>
          <w:rFonts w:eastAsia="Calibri" w:cs="Arial"/>
        </w:rPr>
      </w:pPr>
    </w:p>
    <w:p w14:paraId="5EDDD123" w14:textId="77777777" w:rsidR="001A04F1" w:rsidRPr="002D3CC9" w:rsidRDefault="002D3CC9" w:rsidP="002D3CC9">
      <w:pPr>
        <w:pStyle w:val="NormalWeb"/>
        <w:shd w:val="clear" w:color="auto" w:fill="FFFFFF"/>
        <w:jc w:val="both"/>
        <w:rPr>
          <w:rFonts w:ascii="Helvetica" w:hAnsi="Helvetica" w:cs="Helvetica"/>
          <w:lang w:val="en"/>
        </w:rPr>
      </w:pPr>
      <w:r>
        <w:rPr>
          <w:rFonts w:ascii="Helvetica" w:hAnsi="Helvetica" w:cs="Helvetica"/>
          <w:lang w:val="en"/>
        </w:rPr>
        <w:t>P</w:t>
      </w:r>
      <w:r w:rsidRPr="000E2CEA">
        <w:rPr>
          <w:rFonts w:ascii="Helvetica" w:hAnsi="Helvetica" w:cs="Helvetica"/>
          <w:lang w:val="en"/>
        </w:rPr>
        <w:t xml:space="preserve">ayment can be </w:t>
      </w:r>
      <w:r>
        <w:rPr>
          <w:rFonts w:ascii="Helvetica" w:hAnsi="Helvetica" w:cs="Helvetica"/>
          <w:lang w:val="en"/>
        </w:rPr>
        <w:t xml:space="preserve">made by cheque, payable to </w:t>
      </w:r>
      <w:r w:rsidR="00932C05">
        <w:rPr>
          <w:rFonts w:ascii="Helvetica" w:hAnsi="Helvetica" w:cs="Helvetica"/>
          <w:lang w:val="en"/>
        </w:rPr>
        <w:t>ENGIE Services Ltd</w:t>
      </w:r>
      <w:r>
        <w:rPr>
          <w:rFonts w:ascii="Helvetica" w:hAnsi="Helvetica" w:cs="Helvetica"/>
          <w:lang w:val="en"/>
        </w:rPr>
        <w:t>, or</w:t>
      </w:r>
      <w:r w:rsidRPr="000E2CEA">
        <w:rPr>
          <w:rFonts w:ascii="Helvetica" w:hAnsi="Helvetica" w:cs="Helvetica"/>
          <w:lang w:val="en"/>
        </w:rPr>
        <w:t xml:space="preserve"> by debit card by contacting </w:t>
      </w:r>
      <w:r>
        <w:rPr>
          <w:rFonts w:ascii="Helvetica" w:hAnsi="Helvetica" w:cs="Helvetica"/>
          <w:lang w:val="en"/>
        </w:rPr>
        <w:t xml:space="preserve">01472 326289 – Option 1.  If paying by </w:t>
      </w:r>
      <w:proofErr w:type="gramStart"/>
      <w:r>
        <w:rPr>
          <w:rFonts w:ascii="Helvetica" w:hAnsi="Helvetica" w:cs="Helvetica"/>
          <w:lang w:val="en"/>
        </w:rPr>
        <w:t>card</w:t>
      </w:r>
      <w:proofErr w:type="gramEnd"/>
      <w:r>
        <w:rPr>
          <w:rFonts w:ascii="Helvetica" w:hAnsi="Helvetica" w:cs="Helvetica"/>
          <w:lang w:val="en"/>
        </w:rPr>
        <w:t xml:space="preserve"> please quote the development address or enquiry number if you have this.</w:t>
      </w:r>
      <w:r w:rsidR="005410D4">
        <w:rPr>
          <w:rFonts w:ascii="Helvetica" w:hAnsi="Helvetica" w:cs="Helvetica"/>
          <w:lang w:val="en"/>
        </w:rPr>
        <w:t xml:space="preserve">  Please note, payments cannot be made on the Council website.</w:t>
      </w:r>
    </w:p>
    <w:p w14:paraId="7EAD1A88" w14:textId="77777777" w:rsidR="001A04F1" w:rsidRPr="006D66A5" w:rsidRDefault="001A04F1" w:rsidP="001A04F1">
      <w:pPr>
        <w:autoSpaceDE w:val="0"/>
        <w:autoSpaceDN w:val="0"/>
        <w:adjustRightInd w:val="0"/>
        <w:jc w:val="both"/>
        <w:rPr>
          <w:rFonts w:eastAsia="Calibri" w:cs="Arial"/>
        </w:rPr>
      </w:pPr>
      <w:r w:rsidRPr="006D66A5">
        <w:rPr>
          <w:rFonts w:eastAsia="Calibri" w:cs="Arial"/>
        </w:rPr>
        <w:t>The above fees will be the subject of annual review.</w:t>
      </w:r>
    </w:p>
    <w:p w14:paraId="51DFC60C" w14:textId="77777777" w:rsidR="001A04F1" w:rsidRPr="006D66A5" w:rsidRDefault="001A04F1" w:rsidP="001A04F1">
      <w:pPr>
        <w:autoSpaceDE w:val="0"/>
        <w:autoSpaceDN w:val="0"/>
        <w:adjustRightInd w:val="0"/>
        <w:jc w:val="both"/>
        <w:rPr>
          <w:rFonts w:eastAsia="Calibri" w:cs="Arial"/>
        </w:rPr>
      </w:pPr>
    </w:p>
    <w:p w14:paraId="10BD90E8" w14:textId="77777777" w:rsidR="001A04F1" w:rsidRPr="006D66A5" w:rsidRDefault="001A04F1" w:rsidP="001A04F1">
      <w:pPr>
        <w:autoSpaceDE w:val="0"/>
        <w:autoSpaceDN w:val="0"/>
        <w:adjustRightInd w:val="0"/>
        <w:jc w:val="both"/>
        <w:rPr>
          <w:rFonts w:eastAsia="Calibri" w:cs="Arial"/>
        </w:rPr>
      </w:pPr>
      <w:r w:rsidRPr="006D66A5">
        <w:rPr>
          <w:rFonts w:eastAsia="Calibri" w:cs="Arial"/>
        </w:rPr>
        <w:t>A fee will not be returned in cases where planning permission is subsequently refused or does not fully meet an applicant’s requirements.  The advice given at the pre-application stage does not, in any way, bind the Council, in its determination of an application, to follow the advice provided.</w:t>
      </w:r>
    </w:p>
    <w:p w14:paraId="536CBFE3" w14:textId="77777777" w:rsidR="001A04F1" w:rsidRPr="006D66A5" w:rsidRDefault="001A04F1" w:rsidP="001A04F1">
      <w:pPr>
        <w:autoSpaceDE w:val="0"/>
        <w:autoSpaceDN w:val="0"/>
        <w:adjustRightInd w:val="0"/>
        <w:jc w:val="both"/>
        <w:rPr>
          <w:rFonts w:eastAsia="Calibri" w:cs="Arial"/>
        </w:rPr>
      </w:pPr>
    </w:p>
    <w:p w14:paraId="0E0A5CBB" w14:textId="77777777" w:rsidR="001A04F1" w:rsidRPr="006D66A5" w:rsidRDefault="001A04F1" w:rsidP="001A04F1">
      <w:pPr>
        <w:autoSpaceDE w:val="0"/>
        <w:autoSpaceDN w:val="0"/>
        <w:adjustRightInd w:val="0"/>
        <w:jc w:val="both"/>
        <w:rPr>
          <w:rFonts w:eastAsia="Calibri" w:cs="Arial"/>
        </w:rPr>
      </w:pPr>
      <w:r w:rsidRPr="006D66A5">
        <w:rPr>
          <w:rFonts w:eastAsia="Calibri" w:cs="Arial"/>
        </w:rPr>
        <w:t>In the case of dissatisfaction with the pre-application service provided this should, in the first instance, be taken up with the Planning and Building Control Improvement Manager (</w:t>
      </w:r>
      <w:hyperlink r:id="rId9" w:history="1">
        <w:r w:rsidRPr="006D66A5">
          <w:rPr>
            <w:rStyle w:val="Hyperlink"/>
            <w:rFonts w:eastAsia="Calibri" w:cs="Arial"/>
          </w:rPr>
          <w:t>Pauline.cooke@nelincs.gov.uk</w:t>
        </w:r>
      </w:hyperlink>
      <w:r w:rsidRPr="006D66A5">
        <w:rPr>
          <w:rFonts w:eastAsia="Calibri" w:cs="Arial"/>
        </w:rPr>
        <w:t xml:space="preserve"> or 01472 326940).  </w:t>
      </w:r>
    </w:p>
    <w:p w14:paraId="3E942FAD" w14:textId="77777777" w:rsidR="00571047" w:rsidRPr="003B4940" w:rsidRDefault="00571047" w:rsidP="003B4940">
      <w:pPr>
        <w:ind w:left="180" w:right="144"/>
        <w:rPr>
          <w:rFonts w:cs="Arial"/>
          <w:b/>
          <w:lang w:eastAsia="en-GB"/>
        </w:rPr>
      </w:pPr>
    </w:p>
    <w:sectPr w:rsidR="00571047" w:rsidRPr="003B4940" w:rsidSect="00272E1B">
      <w:headerReference w:type="default" r:id="rId10"/>
      <w:footerReference w:type="even" r:id="rId11"/>
      <w:footerReference w:type="default" r:id="rId12"/>
      <w:pgSz w:w="11906" w:h="16838"/>
      <w:pgMar w:top="1440"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D622" w14:textId="77777777" w:rsidR="009565EB" w:rsidRDefault="009565EB">
      <w:r>
        <w:separator/>
      </w:r>
    </w:p>
  </w:endnote>
  <w:endnote w:type="continuationSeparator" w:id="0">
    <w:p w14:paraId="0DBF3FC2" w14:textId="77777777" w:rsidR="009565EB" w:rsidRDefault="0095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825F" w14:textId="77777777" w:rsidR="009F5D78" w:rsidRDefault="00046B04">
    <w:pPr>
      <w:pStyle w:val="Footer"/>
    </w:pPr>
    <w: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BDD5" w14:textId="77777777" w:rsidR="002B1BFA" w:rsidRDefault="00710706">
    <w:pPr>
      <w:pStyle w:val="Footer"/>
    </w:pPr>
    <w: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CFD4" w14:textId="77777777" w:rsidR="009565EB" w:rsidRDefault="009565EB">
      <w:r>
        <w:separator/>
      </w:r>
    </w:p>
  </w:footnote>
  <w:footnote w:type="continuationSeparator" w:id="0">
    <w:p w14:paraId="41C67326" w14:textId="77777777" w:rsidR="009565EB" w:rsidRDefault="0095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9026" w14:textId="77777777" w:rsidR="002F1FFC" w:rsidRDefault="002F1FFC" w:rsidP="00250A59">
    <w:pPr>
      <w:pStyle w:val="Header"/>
      <w:tabs>
        <w:tab w:val="clear" w:pos="4153"/>
        <w:tab w:val="clear" w:pos="8306"/>
        <w:tab w:val="left" w:pos="2115"/>
        <w:tab w:val="center" w:pos="6379"/>
        <w:tab w:val="right" w:pos="935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74A"/>
    <w:multiLevelType w:val="hybridMultilevel"/>
    <w:tmpl w:val="72CEDC22"/>
    <w:lvl w:ilvl="0" w:tplc="B288892A">
      <w:start w:val="1"/>
      <w:numFmt w:val="bullet"/>
      <w:lvlText w:val=""/>
      <w:lvlJc w:val="left"/>
      <w:pPr>
        <w:tabs>
          <w:tab w:val="num" w:pos="396"/>
        </w:tabs>
        <w:ind w:left="396" w:hanging="216"/>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7455D52"/>
    <w:multiLevelType w:val="hybridMultilevel"/>
    <w:tmpl w:val="C4F0A9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D7D066C"/>
    <w:multiLevelType w:val="hybridMultilevel"/>
    <w:tmpl w:val="3E662498"/>
    <w:lvl w:ilvl="0" w:tplc="B288892A">
      <w:start w:val="1"/>
      <w:numFmt w:val="bullet"/>
      <w:lvlText w:val=""/>
      <w:lvlJc w:val="left"/>
      <w:pPr>
        <w:tabs>
          <w:tab w:val="num" w:pos="396"/>
        </w:tabs>
        <w:ind w:left="396" w:hanging="216"/>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36A5A75"/>
    <w:multiLevelType w:val="hybridMultilevel"/>
    <w:tmpl w:val="429E1CA0"/>
    <w:lvl w:ilvl="0" w:tplc="B288892A">
      <w:start w:val="1"/>
      <w:numFmt w:val="bullet"/>
      <w:lvlText w:val=""/>
      <w:lvlJc w:val="left"/>
      <w:pPr>
        <w:tabs>
          <w:tab w:val="num" w:pos="396"/>
        </w:tabs>
        <w:ind w:left="396" w:hanging="216"/>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87E2327"/>
    <w:multiLevelType w:val="hybridMultilevel"/>
    <w:tmpl w:val="79ECE07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A202A23"/>
    <w:multiLevelType w:val="hybridMultilevel"/>
    <w:tmpl w:val="84D2FE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3A3F46C0"/>
    <w:multiLevelType w:val="hybridMultilevel"/>
    <w:tmpl w:val="CBBA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AA1"/>
    <w:multiLevelType w:val="hybridMultilevel"/>
    <w:tmpl w:val="14A0AA5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60927C24"/>
    <w:multiLevelType w:val="hybridMultilevel"/>
    <w:tmpl w:val="9252E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35BC5"/>
    <w:multiLevelType w:val="hybridMultilevel"/>
    <w:tmpl w:val="A43E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F7024"/>
    <w:multiLevelType w:val="hybridMultilevel"/>
    <w:tmpl w:val="A3D6E740"/>
    <w:lvl w:ilvl="0" w:tplc="7CF42BB2">
      <w:start w:val="1"/>
      <w:numFmt w:val="bullet"/>
      <w:lvlText w:val=""/>
      <w:lvlJc w:val="left"/>
      <w:pPr>
        <w:tabs>
          <w:tab w:val="num" w:pos="432"/>
        </w:tabs>
        <w:ind w:left="432"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8"/>
  </w:num>
  <w:num w:numId="6">
    <w:abstractNumId w:val="4"/>
  </w:num>
  <w:num w:numId="7">
    <w:abstractNumId w:val="9"/>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EA"/>
    <w:rsid w:val="00046B04"/>
    <w:rsid w:val="000612E4"/>
    <w:rsid w:val="000616EA"/>
    <w:rsid w:val="00087703"/>
    <w:rsid w:val="000B674F"/>
    <w:rsid w:val="000C02B7"/>
    <w:rsid w:val="000F04E9"/>
    <w:rsid w:val="001A04F1"/>
    <w:rsid w:val="001A41EC"/>
    <w:rsid w:val="001B0C22"/>
    <w:rsid w:val="001C11D5"/>
    <w:rsid w:val="001C2E39"/>
    <w:rsid w:val="001E3485"/>
    <w:rsid w:val="00202FFA"/>
    <w:rsid w:val="002308C1"/>
    <w:rsid w:val="00250A59"/>
    <w:rsid w:val="00272E1B"/>
    <w:rsid w:val="002B1BFA"/>
    <w:rsid w:val="002D3CC9"/>
    <w:rsid w:val="002F1FFC"/>
    <w:rsid w:val="003076AA"/>
    <w:rsid w:val="00311974"/>
    <w:rsid w:val="003170B1"/>
    <w:rsid w:val="0032022C"/>
    <w:rsid w:val="00362629"/>
    <w:rsid w:val="003A052B"/>
    <w:rsid w:val="003B4940"/>
    <w:rsid w:val="003E123C"/>
    <w:rsid w:val="003E4D76"/>
    <w:rsid w:val="0040223F"/>
    <w:rsid w:val="00441883"/>
    <w:rsid w:val="004436C1"/>
    <w:rsid w:val="00444C7E"/>
    <w:rsid w:val="00454E70"/>
    <w:rsid w:val="004634E5"/>
    <w:rsid w:val="00465E13"/>
    <w:rsid w:val="00482830"/>
    <w:rsid w:val="004863C6"/>
    <w:rsid w:val="00496B68"/>
    <w:rsid w:val="004B6088"/>
    <w:rsid w:val="004C6A42"/>
    <w:rsid w:val="004E6E94"/>
    <w:rsid w:val="005410D4"/>
    <w:rsid w:val="005448BE"/>
    <w:rsid w:val="005503DE"/>
    <w:rsid w:val="0055514B"/>
    <w:rsid w:val="00555B22"/>
    <w:rsid w:val="00564F54"/>
    <w:rsid w:val="0057059D"/>
    <w:rsid w:val="00571047"/>
    <w:rsid w:val="005725C1"/>
    <w:rsid w:val="005A04F6"/>
    <w:rsid w:val="005B0236"/>
    <w:rsid w:val="005C4AA4"/>
    <w:rsid w:val="006272A5"/>
    <w:rsid w:val="006827D1"/>
    <w:rsid w:val="00691034"/>
    <w:rsid w:val="006A1186"/>
    <w:rsid w:val="006B4958"/>
    <w:rsid w:val="006C76CC"/>
    <w:rsid w:val="006D66A5"/>
    <w:rsid w:val="006E2E5A"/>
    <w:rsid w:val="006E6CE5"/>
    <w:rsid w:val="00701C61"/>
    <w:rsid w:val="00710706"/>
    <w:rsid w:val="00733315"/>
    <w:rsid w:val="007641A4"/>
    <w:rsid w:val="007666F9"/>
    <w:rsid w:val="007832F2"/>
    <w:rsid w:val="00786C59"/>
    <w:rsid w:val="007E756D"/>
    <w:rsid w:val="00806C3F"/>
    <w:rsid w:val="00835F0D"/>
    <w:rsid w:val="00841FD4"/>
    <w:rsid w:val="008556DC"/>
    <w:rsid w:val="008871EE"/>
    <w:rsid w:val="008B0C3F"/>
    <w:rsid w:val="008C2E0C"/>
    <w:rsid w:val="008F1BDD"/>
    <w:rsid w:val="009061A9"/>
    <w:rsid w:val="00932C05"/>
    <w:rsid w:val="009565EB"/>
    <w:rsid w:val="009D17FC"/>
    <w:rsid w:val="009F5D78"/>
    <w:rsid w:val="00A46CB4"/>
    <w:rsid w:val="00B1503C"/>
    <w:rsid w:val="00B20197"/>
    <w:rsid w:val="00B40EDD"/>
    <w:rsid w:val="00B53064"/>
    <w:rsid w:val="00B75E19"/>
    <w:rsid w:val="00B921A8"/>
    <w:rsid w:val="00B96733"/>
    <w:rsid w:val="00BC4BBD"/>
    <w:rsid w:val="00BC70B4"/>
    <w:rsid w:val="00C21F00"/>
    <w:rsid w:val="00C22E6A"/>
    <w:rsid w:val="00C40F3D"/>
    <w:rsid w:val="00D73B64"/>
    <w:rsid w:val="00D817B4"/>
    <w:rsid w:val="00DC3294"/>
    <w:rsid w:val="00DE7F8F"/>
    <w:rsid w:val="00E11220"/>
    <w:rsid w:val="00EA6887"/>
    <w:rsid w:val="00ED5B99"/>
    <w:rsid w:val="00F04F25"/>
    <w:rsid w:val="00F540CC"/>
    <w:rsid w:val="00FB5285"/>
    <w:rsid w:val="00FC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3F1A4"/>
  <w15:chartTrackingRefBased/>
  <w15:docId w15:val="{02D4659C-C8BC-4792-94F9-1078D032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EA6887"/>
    <w:pPr>
      <w:keepNext/>
      <w:keepLines/>
      <w:spacing w:before="2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5B0236"/>
    <w:rPr>
      <w:rFonts w:ascii="Tahoma" w:hAnsi="Tahoma" w:cs="Tahoma"/>
      <w:sz w:val="16"/>
      <w:szCs w:val="16"/>
    </w:rPr>
  </w:style>
  <w:style w:type="character" w:customStyle="1" w:styleId="BalloonTextChar">
    <w:name w:val="Balloon Text Char"/>
    <w:link w:val="BalloonText"/>
    <w:rsid w:val="005B0236"/>
    <w:rPr>
      <w:rFonts w:ascii="Tahoma" w:hAnsi="Tahoma" w:cs="Tahoma"/>
      <w:sz w:val="16"/>
      <w:szCs w:val="16"/>
      <w:lang w:eastAsia="en-US"/>
    </w:rPr>
  </w:style>
  <w:style w:type="character" w:customStyle="1" w:styleId="HeaderChar">
    <w:name w:val="Header Char"/>
    <w:link w:val="Header"/>
    <w:uiPriority w:val="99"/>
    <w:rsid w:val="006B4958"/>
    <w:rPr>
      <w:rFonts w:ascii="Arial" w:hAnsi="Arial"/>
      <w:sz w:val="24"/>
      <w:szCs w:val="24"/>
      <w:lang w:eastAsia="en-US"/>
    </w:rPr>
  </w:style>
  <w:style w:type="character" w:customStyle="1" w:styleId="FooterChar">
    <w:name w:val="Footer Char"/>
    <w:link w:val="Footer"/>
    <w:uiPriority w:val="99"/>
    <w:rsid w:val="00C40F3D"/>
    <w:rPr>
      <w:rFonts w:ascii="Arial" w:hAnsi="Arial"/>
      <w:sz w:val="24"/>
      <w:szCs w:val="24"/>
      <w:lang w:eastAsia="en-US"/>
    </w:rPr>
  </w:style>
  <w:style w:type="paragraph" w:customStyle="1" w:styleId="Default">
    <w:name w:val="Default"/>
    <w:rsid w:val="0044188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unhideWhenUsed/>
    <w:rsid w:val="00441883"/>
    <w:rPr>
      <w:sz w:val="16"/>
      <w:szCs w:val="16"/>
    </w:rPr>
  </w:style>
  <w:style w:type="paragraph" w:styleId="CommentText">
    <w:name w:val="annotation text"/>
    <w:basedOn w:val="Normal"/>
    <w:link w:val="CommentTextChar"/>
    <w:uiPriority w:val="99"/>
    <w:unhideWhenUsed/>
    <w:rsid w:val="00441883"/>
    <w:pPr>
      <w:spacing w:after="200"/>
    </w:pPr>
    <w:rPr>
      <w:rFonts w:ascii="Calibri" w:eastAsia="Calibri" w:hAnsi="Calibri"/>
      <w:sz w:val="20"/>
      <w:szCs w:val="20"/>
    </w:rPr>
  </w:style>
  <w:style w:type="character" w:customStyle="1" w:styleId="CommentTextChar">
    <w:name w:val="Comment Text Char"/>
    <w:link w:val="CommentText"/>
    <w:uiPriority w:val="99"/>
    <w:rsid w:val="00441883"/>
    <w:rPr>
      <w:rFonts w:ascii="Calibri" w:eastAsia="Calibri" w:hAnsi="Calibri" w:cs="Times New Roman"/>
      <w:lang w:eastAsia="en-US"/>
    </w:rPr>
  </w:style>
  <w:style w:type="paragraph" w:styleId="ListParagraph">
    <w:name w:val="List Paragraph"/>
    <w:basedOn w:val="Normal"/>
    <w:uiPriority w:val="34"/>
    <w:qFormat/>
    <w:rsid w:val="002F1FFC"/>
    <w:pPr>
      <w:ind w:left="720"/>
      <w:contextualSpacing/>
    </w:pPr>
  </w:style>
  <w:style w:type="paragraph" w:styleId="CommentSubject">
    <w:name w:val="annotation subject"/>
    <w:basedOn w:val="CommentText"/>
    <w:next w:val="CommentText"/>
    <w:link w:val="CommentSubjectChar"/>
    <w:rsid w:val="00571047"/>
    <w:pPr>
      <w:spacing w:after="0"/>
    </w:pPr>
    <w:rPr>
      <w:rFonts w:ascii="Arial" w:eastAsia="Times New Roman" w:hAnsi="Arial"/>
      <w:b/>
      <w:bCs/>
    </w:rPr>
  </w:style>
  <w:style w:type="character" w:customStyle="1" w:styleId="CommentSubjectChar">
    <w:name w:val="Comment Subject Char"/>
    <w:link w:val="CommentSubject"/>
    <w:rsid w:val="00571047"/>
    <w:rPr>
      <w:rFonts w:ascii="Arial" w:eastAsia="Calibri" w:hAnsi="Arial" w:cs="Times New Roman"/>
      <w:b/>
      <w:bCs/>
      <w:lang w:eastAsia="en-US"/>
    </w:rPr>
  </w:style>
  <w:style w:type="paragraph" w:styleId="NormalWeb">
    <w:name w:val="Normal (Web)"/>
    <w:basedOn w:val="Normal"/>
    <w:uiPriority w:val="99"/>
    <w:unhideWhenUsed/>
    <w:rsid w:val="002D3CC9"/>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EA6887"/>
    <w:rPr>
      <w:rFonts w:ascii="Arial" w:hAnsi="Arial"/>
      <w:sz w:val="32"/>
      <w:szCs w:val="32"/>
      <w:lang w:eastAsia="en-US"/>
    </w:rPr>
  </w:style>
  <w:style w:type="paragraph" w:styleId="Title">
    <w:name w:val="Title"/>
    <w:basedOn w:val="Normal"/>
    <w:next w:val="Normal"/>
    <w:link w:val="TitleChar"/>
    <w:uiPriority w:val="10"/>
    <w:qFormat/>
    <w:rsid w:val="00EA6887"/>
    <w:pPr>
      <w:contextualSpacing/>
      <w:jc w:val="center"/>
    </w:pPr>
    <w:rPr>
      <w:spacing w:val="-10"/>
      <w:kern w:val="28"/>
      <w:sz w:val="56"/>
      <w:szCs w:val="56"/>
    </w:rPr>
  </w:style>
  <w:style w:type="character" w:customStyle="1" w:styleId="TitleChar">
    <w:name w:val="Title Char"/>
    <w:basedOn w:val="DefaultParagraphFont"/>
    <w:link w:val="Title"/>
    <w:uiPriority w:val="10"/>
    <w:rsid w:val="00EA6887"/>
    <w:rPr>
      <w:rFonts w:ascii="Arial" w:hAnsi="Arial"/>
      <w:spacing w:val="-10"/>
      <w:kern w:val="28"/>
      <w:sz w:val="56"/>
      <w:szCs w:val="56"/>
      <w:lang w:eastAsia="en-US"/>
    </w:rPr>
  </w:style>
  <w:style w:type="table" w:styleId="TableGrid">
    <w:name w:val="Table Grid"/>
    <w:basedOn w:val="TableNormal"/>
    <w:rsid w:val="00EA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e.cooke@nelin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AD2D-ACE5-44B5-BC73-9D85EFD4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WHAT’S NEW ARTICLE</vt:lpstr>
    </vt:vector>
  </TitlesOfParts>
  <Company>Sheffield City Council</Company>
  <LinksUpToDate>false</LinksUpToDate>
  <CharactersWithSpaces>2825</CharactersWithSpaces>
  <SharedDoc>false</SharedDoc>
  <HLinks>
    <vt:vector size="6" baseType="variant">
      <vt:variant>
        <vt:i4>7929923</vt:i4>
      </vt:variant>
      <vt:variant>
        <vt:i4>0</vt:i4>
      </vt:variant>
      <vt:variant>
        <vt:i4>0</vt:i4>
      </vt:variant>
      <vt:variant>
        <vt:i4>5</vt:i4>
      </vt:variant>
      <vt:variant>
        <vt:lpwstr>mailto:Pauline.cooke@nelincs.gov.uk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ARTICLE</dc:title>
  <dc:subject/>
  <dc:creator>gw97711</dc:creator>
  <cp:keywords/>
  <cp:lastModifiedBy>Grace Chidley (NELC)</cp:lastModifiedBy>
  <cp:revision>2</cp:revision>
  <cp:lastPrinted>2016-10-07T13:43:00Z</cp:lastPrinted>
  <dcterms:created xsi:type="dcterms:W3CDTF">2020-04-01T14:51:00Z</dcterms:created>
  <dcterms:modified xsi:type="dcterms:W3CDTF">2020-04-01T14:51:00Z</dcterms:modified>
</cp:coreProperties>
</file>